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8B74" w14:textId="026F88EC" w:rsidR="00B22055" w:rsidRPr="00B22055" w:rsidRDefault="00B22055" w:rsidP="00B22055">
      <w:pPr>
        <w:pStyle w:val="Ttulo1"/>
        <w:rPr>
          <w:rStyle w:val="Textoennegrita"/>
          <w:rFonts w:ascii="Times New Roman" w:hAnsi="Times New Roman" w:cs="Times New Roman"/>
          <w:b w:val="0"/>
          <w:bCs w:val="0"/>
          <w:lang w:val="en-US"/>
        </w:rPr>
      </w:pPr>
      <w:r w:rsidRPr="00B22055">
        <w:rPr>
          <w:rStyle w:val="Textoennegrita"/>
          <w:rFonts w:ascii="Times New Roman" w:hAnsi="Times New Roman" w:cs="Times New Roman"/>
          <w:b w:val="0"/>
          <w:bCs w:val="0"/>
          <w:lang w:val="en-US"/>
        </w:rPr>
        <w:t>Highlights</w:t>
      </w:r>
    </w:p>
    <w:p w14:paraId="39759831" w14:textId="77777777" w:rsidR="00B22055" w:rsidRPr="00B22055" w:rsidRDefault="00B22055" w:rsidP="00B22055">
      <w:pPr>
        <w:pStyle w:val="NormalWeb"/>
        <w:spacing w:line="480" w:lineRule="auto"/>
        <w:jc w:val="both"/>
        <w:rPr>
          <w:rStyle w:val="Textoennegrita"/>
          <w:rFonts w:eastAsiaTheme="majorEastAsia"/>
          <w:b w:val="0"/>
          <w:bCs w:val="0"/>
          <w:lang w:val="en-US"/>
        </w:rPr>
      </w:pPr>
    </w:p>
    <w:p w14:paraId="65C95DF2" w14:textId="47FFC000" w:rsidR="00B22055" w:rsidRPr="00B22055" w:rsidRDefault="00B22055" w:rsidP="00B22055">
      <w:pPr>
        <w:pStyle w:val="NormalWeb"/>
        <w:spacing w:line="480" w:lineRule="auto"/>
        <w:jc w:val="both"/>
        <w:rPr>
          <w:lang w:val="en-US"/>
        </w:rPr>
      </w:pPr>
      <w:r w:rsidRPr="00B22055">
        <w:rPr>
          <w:rStyle w:val="Textoennegrita"/>
          <w:rFonts w:eastAsiaTheme="majorEastAsia"/>
          <w:b w:val="0"/>
          <w:bCs w:val="0"/>
          <w:lang w:val="en-US"/>
        </w:rPr>
        <w:t>• Volatility shows strong long-memory features, while returns remain short-memory.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FIGARCH matches the multifractal persistence found in variance diagnostics.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FIGARCH improves tail-risk coverage only in markets with stable persistence.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GARCH performs similarly when persistence is weak or volatility shifts regimes.</w:t>
      </w:r>
      <w:r w:rsidRPr="00B22055">
        <w:rPr>
          <w:lang w:val="en-US"/>
        </w:rPr>
        <w:br/>
      </w:r>
      <w:r w:rsidRPr="00B22055">
        <w:rPr>
          <w:rStyle w:val="Textoennegrita"/>
          <w:rFonts w:eastAsiaTheme="majorEastAsia"/>
          <w:b w:val="0"/>
          <w:bCs w:val="0"/>
          <w:lang w:val="en-US"/>
        </w:rPr>
        <w:t>• Fractional integration adds interpretive value but limited forecasting gains.</w:t>
      </w:r>
    </w:p>
    <w:p w14:paraId="07B5F008" w14:textId="77777777" w:rsidR="007F64FE" w:rsidRPr="00B22055" w:rsidRDefault="007F64FE" w:rsidP="00B22055">
      <w:pPr>
        <w:spacing w:line="480" w:lineRule="auto"/>
        <w:jc w:val="both"/>
        <w:rPr>
          <w:lang w:val="en-US"/>
        </w:rPr>
      </w:pPr>
    </w:p>
    <w:sectPr w:rsidR="007F64FE" w:rsidRPr="00B22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55"/>
    <w:rsid w:val="007F64FE"/>
    <w:rsid w:val="00A71CF6"/>
    <w:rsid w:val="00AB2DF5"/>
    <w:rsid w:val="00B22055"/>
    <w:rsid w:val="00F6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4491"/>
  <w15:chartTrackingRefBased/>
  <w15:docId w15:val="{DF09A84F-21C6-9D43-AC34-E4258E10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0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0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0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0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0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0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0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0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0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0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B22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Gamo</dc:creator>
  <cp:keywords/>
  <dc:description/>
  <cp:lastModifiedBy>Jose Luis Gamo</cp:lastModifiedBy>
  <cp:revision>2</cp:revision>
  <dcterms:created xsi:type="dcterms:W3CDTF">2025-12-08T17:50:00Z</dcterms:created>
  <dcterms:modified xsi:type="dcterms:W3CDTF">2025-12-08T17:50:00Z</dcterms:modified>
</cp:coreProperties>
</file>