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CF0C0" w14:textId="77777777" w:rsidR="001C4F0B" w:rsidRPr="00B0201F" w:rsidRDefault="001C4F0B" w:rsidP="001C4F0B">
      <w:pPr>
        <w:spacing w:before="100" w:beforeAutospacing="1" w:after="100" w:afterAutospacing="1"/>
        <w:jc w:val="both"/>
        <w:outlineLvl w:val="0"/>
        <w:rPr>
          <w:b/>
          <w:bCs/>
          <w:noProof/>
          <w:kern w:val="36"/>
          <w:sz w:val="32"/>
          <w:szCs w:val="32"/>
          <w:lang w:val="en-US"/>
        </w:rPr>
      </w:pPr>
    </w:p>
    <w:p w14:paraId="55BE9A0B" w14:textId="3AA65162" w:rsidR="00E90E38" w:rsidRPr="00E90E38" w:rsidRDefault="00E90E38" w:rsidP="001C4F0B">
      <w:pPr>
        <w:spacing w:before="100" w:beforeAutospacing="1" w:after="100" w:afterAutospacing="1"/>
        <w:jc w:val="both"/>
        <w:outlineLvl w:val="0"/>
        <w:rPr>
          <w:b/>
          <w:bCs/>
          <w:noProof/>
          <w:kern w:val="36"/>
          <w:sz w:val="32"/>
          <w:szCs w:val="32"/>
          <w:lang w:val="en-US"/>
        </w:rPr>
      </w:pPr>
      <w:r w:rsidRPr="00E90E38">
        <w:rPr>
          <w:b/>
          <w:bCs/>
          <w:noProof/>
          <w:kern w:val="36"/>
          <w:sz w:val="32"/>
          <w:szCs w:val="32"/>
          <w:lang w:val="en-US"/>
        </w:rPr>
        <w:t>Modeling Financial Volatility with Long Memory: An Empirical Comparison of GARCH and FIGARCH Models</w:t>
      </w:r>
    </w:p>
    <w:p w14:paraId="1C6FAAF5" w14:textId="39A5B7C6" w:rsidR="001C4F0B" w:rsidRPr="00B0201F" w:rsidRDefault="001C4F0B" w:rsidP="004C272D">
      <w:pPr>
        <w:spacing w:line="360" w:lineRule="auto"/>
        <w:jc w:val="center"/>
        <w:rPr>
          <w:noProof/>
          <w:sz w:val="22"/>
          <w:szCs w:val="22"/>
          <w:lang w:val="en-US"/>
        </w:rPr>
      </w:pPr>
      <w:r w:rsidRPr="00E90E38">
        <w:rPr>
          <w:i/>
          <w:iCs/>
          <w:noProof/>
          <w:sz w:val="22"/>
          <w:szCs w:val="22"/>
          <w:lang w:val="en-US"/>
        </w:rPr>
        <w:t>Submitted to International Review of Financial Analysis</w:t>
      </w:r>
    </w:p>
    <w:p w14:paraId="16ECFB41" w14:textId="77777777" w:rsidR="001C4F0B" w:rsidRPr="00B0201F" w:rsidRDefault="001C4F0B" w:rsidP="001C4F0B">
      <w:pPr>
        <w:spacing w:after="100" w:afterAutospacing="1"/>
        <w:jc w:val="center"/>
        <w:rPr>
          <w:noProof/>
          <w:lang w:val="en-US"/>
        </w:rPr>
      </w:pPr>
    </w:p>
    <w:p w14:paraId="44BF941D" w14:textId="77777777" w:rsidR="001C4F0B" w:rsidRPr="00B0201F" w:rsidRDefault="001C4F0B" w:rsidP="004368BB">
      <w:pPr>
        <w:spacing w:after="100" w:afterAutospacing="1"/>
        <w:rPr>
          <w:noProof/>
          <w:lang w:val="en-US"/>
        </w:rPr>
        <w:sectPr w:rsidR="001C4F0B" w:rsidRPr="00B0201F">
          <w:footerReference w:type="default" r:id="rId8"/>
          <w:pgSz w:w="11906" w:h="16838"/>
          <w:pgMar w:top="1417" w:right="1701" w:bottom="1417" w:left="1701" w:header="708" w:footer="708" w:gutter="0"/>
          <w:cols w:space="708"/>
          <w:docGrid w:linePitch="360"/>
        </w:sectPr>
      </w:pPr>
    </w:p>
    <w:p w14:paraId="484320D5" w14:textId="77777777" w:rsidR="00E90E38" w:rsidRPr="00E90E38" w:rsidRDefault="00E90E38" w:rsidP="00594904">
      <w:pPr>
        <w:pStyle w:val="Ttulo2"/>
        <w:rPr>
          <w:noProof/>
          <w:lang w:val="en-US"/>
        </w:rPr>
      </w:pPr>
      <w:r w:rsidRPr="00E90E38">
        <w:rPr>
          <w:noProof/>
          <w:lang w:val="en-US"/>
        </w:rPr>
        <w:lastRenderedPageBreak/>
        <w:t>Abstract</w:t>
      </w:r>
    </w:p>
    <w:p w14:paraId="6737EE34" w14:textId="362747A9" w:rsidR="005C038B" w:rsidRPr="005C038B" w:rsidRDefault="00E90E38" w:rsidP="00EB7093">
      <w:pPr>
        <w:spacing w:before="100" w:beforeAutospacing="1" w:after="100" w:afterAutospacing="1" w:line="480" w:lineRule="auto"/>
        <w:jc w:val="both"/>
        <w:rPr>
          <w:lang w:val="en-US"/>
        </w:rPr>
      </w:pPr>
      <w:r w:rsidRPr="00E90E38">
        <w:rPr>
          <w:noProof/>
          <w:lang w:val="en-US"/>
        </w:rPr>
        <w:t xml:space="preserve">This study examines the practical relevance of long-memory models in financial volatility by comparing </w:t>
      </w:r>
      <w:r w:rsidRPr="00CE4DEF">
        <w:rPr>
          <w:b/>
          <w:bCs/>
          <w:noProof/>
          <w:lang w:val="en-US"/>
        </w:rPr>
        <w:t>GARCH(1,1)</w:t>
      </w:r>
      <w:r w:rsidRPr="00E90E38">
        <w:rPr>
          <w:noProof/>
          <w:lang w:val="en-US"/>
        </w:rPr>
        <w:t xml:space="preserve"> and </w:t>
      </w:r>
      <w:r w:rsidRPr="00CE4DEF">
        <w:rPr>
          <w:b/>
          <w:bCs/>
          <w:noProof/>
          <w:lang w:val="en-US"/>
        </w:rPr>
        <w:t>FIGARCH(1,</w:t>
      </w:r>
      <w:r w:rsidR="00CE4DEF" w:rsidRPr="00CE4DEF">
        <w:rPr>
          <w:b/>
          <w:bCs/>
          <w:noProof/>
          <w:lang w:val="en-US"/>
        </w:rPr>
        <w:t xml:space="preserve"> </w:t>
      </w:r>
      <w:r w:rsidRPr="00CE4DEF">
        <w:rPr>
          <w:b/>
          <w:bCs/>
          <w:noProof/>
          <w:lang w:val="en-US"/>
        </w:rPr>
        <w:t>d,</w:t>
      </w:r>
      <w:r w:rsidR="00CE4DEF" w:rsidRPr="00CE4DEF">
        <w:rPr>
          <w:b/>
          <w:bCs/>
          <w:noProof/>
          <w:lang w:val="en-US"/>
        </w:rPr>
        <w:t xml:space="preserve"> </w:t>
      </w:r>
      <w:r w:rsidRPr="00CE4DEF">
        <w:rPr>
          <w:b/>
          <w:bCs/>
          <w:noProof/>
          <w:lang w:val="en-US"/>
        </w:rPr>
        <w:t>1)</w:t>
      </w:r>
      <w:r w:rsidRPr="00E90E38">
        <w:rPr>
          <w:noProof/>
          <w:lang w:val="en-US"/>
        </w:rPr>
        <w:t xml:space="preserve"> specifications across major asset classes</w:t>
      </w:r>
      <w:r w:rsidR="004368BB">
        <w:rPr>
          <w:noProof/>
          <w:lang w:val="en-US"/>
        </w:rPr>
        <w:t>-</w:t>
      </w:r>
      <w:r w:rsidRPr="00E90E38">
        <w:rPr>
          <w:noProof/>
          <w:lang w:val="en-US"/>
        </w:rPr>
        <w:t xml:space="preserve">equities (S&amp;P 500, IBEX 35, Tesla), cryptocurrencies (Bitcoin), and emerging markets (BOVESPA). Using </w:t>
      </w:r>
      <w:r w:rsidR="009C0704">
        <w:rPr>
          <w:noProof/>
          <w:lang w:val="en-US"/>
        </w:rPr>
        <w:t>M</w:t>
      </w:r>
      <w:r w:rsidRPr="00E90E38">
        <w:rPr>
          <w:noProof/>
          <w:lang w:val="en-US"/>
        </w:rPr>
        <w:t>ulti</w:t>
      </w:r>
      <w:r w:rsidR="009C0704">
        <w:rPr>
          <w:noProof/>
          <w:lang w:val="en-US"/>
        </w:rPr>
        <w:t>F</w:t>
      </w:r>
      <w:r w:rsidRPr="00E90E38">
        <w:rPr>
          <w:noProof/>
          <w:lang w:val="en-US"/>
        </w:rPr>
        <w:t xml:space="preserve">ractal </w:t>
      </w:r>
      <w:r w:rsidR="009C0704">
        <w:rPr>
          <w:noProof/>
          <w:lang w:val="en-US"/>
        </w:rPr>
        <w:t>D</w:t>
      </w:r>
      <w:r w:rsidRPr="00E90E38">
        <w:rPr>
          <w:noProof/>
          <w:lang w:val="en-US"/>
        </w:rPr>
        <w:t xml:space="preserve">etrended </w:t>
      </w:r>
      <w:r w:rsidR="009C0704">
        <w:rPr>
          <w:noProof/>
          <w:lang w:val="en-US"/>
        </w:rPr>
        <w:t>F</w:t>
      </w:r>
      <w:r w:rsidRPr="00E90E38">
        <w:rPr>
          <w:noProof/>
          <w:lang w:val="en-US"/>
        </w:rPr>
        <w:t xml:space="preserve">luctuation </w:t>
      </w:r>
      <w:r w:rsidR="009C0704">
        <w:rPr>
          <w:noProof/>
          <w:lang w:val="en-US"/>
        </w:rPr>
        <w:t>A</w:t>
      </w:r>
      <w:r w:rsidRPr="00E90E38">
        <w:rPr>
          <w:noProof/>
          <w:lang w:val="en-US"/>
        </w:rPr>
        <w:t xml:space="preserve">nalysis (MF-DFA) and Lo’s modified R/S test, we document multifractal and persistent dynamics in the conditional variance, while return series behave </w:t>
      </w:r>
      <w:r w:rsidR="005C038B">
        <w:rPr>
          <w:noProof/>
          <w:lang w:val="en-US"/>
        </w:rPr>
        <w:t xml:space="preserve">approximately </w:t>
      </w:r>
      <w:r w:rsidRPr="00E90E38">
        <w:rPr>
          <w:noProof/>
          <w:lang w:val="en-US"/>
        </w:rPr>
        <w:t xml:space="preserve">as white noise. FIGARCH models capture this persistence parametrically, yielding volatility forecasts </w:t>
      </w:r>
      <w:r w:rsidR="005C038B" w:rsidRPr="005C038B">
        <w:rPr>
          <w:lang w:val="en-US"/>
        </w:rPr>
        <w:t>consistent with nonparametric multifractal diagnostics</w:t>
      </w:r>
      <w:r w:rsidRPr="00E90E38">
        <w:rPr>
          <w:noProof/>
          <w:lang w:val="en-US"/>
        </w:rPr>
        <w:t>. However, improvements in goodness</w:t>
      </w:r>
      <w:r w:rsidR="004368BB">
        <w:rPr>
          <w:noProof/>
          <w:lang w:val="en-US"/>
        </w:rPr>
        <w:t xml:space="preserve"> </w:t>
      </w:r>
      <w:r w:rsidRPr="00E90E38">
        <w:rPr>
          <w:noProof/>
          <w:lang w:val="en-US"/>
        </w:rPr>
        <w:t>of</w:t>
      </w:r>
      <w:r w:rsidR="004368BB">
        <w:rPr>
          <w:noProof/>
          <w:lang w:val="en-US"/>
        </w:rPr>
        <w:t xml:space="preserve"> </w:t>
      </w:r>
      <w:r w:rsidRPr="00E90E38">
        <w:rPr>
          <w:noProof/>
          <w:lang w:val="en-US"/>
        </w:rPr>
        <w:t xml:space="preserve">fit, predictive accuracy (RMSE), and risk coverage (Kupiec VaR backtesting) remain limited. In highly idiosyncratic series such as Tesla, FIGARCH collapses to the IGARCH </w:t>
      </w:r>
      <w:r w:rsidR="004368BB">
        <w:rPr>
          <w:noProof/>
          <w:lang w:val="en-US"/>
        </w:rPr>
        <w:t>bound</w:t>
      </w:r>
      <w:r w:rsidRPr="00E90E38">
        <w:rPr>
          <w:noProof/>
          <w:lang w:val="en-US"/>
        </w:rPr>
        <w:t xml:space="preserve">, </w:t>
      </w:r>
      <w:r w:rsidR="004368BB">
        <w:rPr>
          <w:noProof/>
          <w:lang w:val="en-US"/>
        </w:rPr>
        <w:t>highlighting</w:t>
      </w:r>
      <w:r w:rsidRPr="00E90E38">
        <w:rPr>
          <w:noProof/>
          <w:lang w:val="en-US"/>
        </w:rPr>
        <w:t xml:space="preserve"> its fragility under regime shifts. </w:t>
      </w:r>
      <w:r w:rsidR="005C038B" w:rsidRPr="005C038B">
        <w:rPr>
          <w:lang w:val="en-US"/>
        </w:rPr>
        <w:t xml:space="preserve">The results clarify the conditions under which fractional integration is informative, and when it </w:t>
      </w:r>
      <w:r w:rsidR="004368BB">
        <w:rPr>
          <w:lang w:val="en-US"/>
        </w:rPr>
        <w:t>is of</w:t>
      </w:r>
      <w:r w:rsidR="005C038B" w:rsidRPr="005C038B">
        <w:rPr>
          <w:lang w:val="en-US"/>
        </w:rPr>
        <w:t xml:space="preserve"> limited practical </w:t>
      </w:r>
      <w:r w:rsidR="004368BB">
        <w:rPr>
          <w:lang w:val="en-US"/>
        </w:rPr>
        <w:t>use</w:t>
      </w:r>
      <w:r w:rsidR="005C038B" w:rsidRPr="005C038B">
        <w:rPr>
          <w:lang w:val="en-US"/>
        </w:rPr>
        <w:t>.</w:t>
      </w:r>
    </w:p>
    <w:p w14:paraId="485B8480" w14:textId="58DE6790" w:rsidR="00E90E38" w:rsidRPr="00E90E38" w:rsidRDefault="00E90E38" w:rsidP="00EB7093">
      <w:pPr>
        <w:spacing w:before="100" w:beforeAutospacing="1" w:after="100" w:afterAutospacing="1" w:line="480" w:lineRule="auto"/>
        <w:jc w:val="both"/>
        <w:rPr>
          <w:noProof/>
          <w:lang w:val="en-US"/>
        </w:rPr>
      </w:pPr>
      <w:r w:rsidRPr="00E90E38">
        <w:rPr>
          <w:b/>
          <w:bCs/>
          <w:noProof/>
          <w:lang w:val="en-US"/>
        </w:rPr>
        <w:t>Keywords:</w:t>
      </w:r>
      <w:r w:rsidRPr="00E90E38">
        <w:rPr>
          <w:noProof/>
          <w:lang w:val="en-US"/>
        </w:rPr>
        <w:t xml:space="preserve"> Long memory; FIGARCH; GARCH; volatility modeling; multifractality; VaR backtesting; risk forecasting; financial time series.</w:t>
      </w:r>
    </w:p>
    <w:p w14:paraId="79F70EC5" w14:textId="4288BAF9" w:rsidR="00E90E38" w:rsidRPr="00E90E38" w:rsidRDefault="00E90E38" w:rsidP="00EB7093">
      <w:pPr>
        <w:spacing w:line="480" w:lineRule="auto"/>
        <w:jc w:val="both"/>
        <w:rPr>
          <w:noProof/>
          <w:lang w:val="en-US"/>
        </w:rPr>
      </w:pPr>
    </w:p>
    <w:p w14:paraId="02812716" w14:textId="77777777" w:rsidR="00E90E38" w:rsidRPr="00E90E38" w:rsidRDefault="00E90E38" w:rsidP="00EB7093">
      <w:pPr>
        <w:spacing w:before="100" w:beforeAutospacing="1" w:after="100" w:afterAutospacing="1" w:line="480" w:lineRule="auto"/>
        <w:jc w:val="both"/>
        <w:outlineLvl w:val="1"/>
        <w:rPr>
          <w:b/>
          <w:bCs/>
          <w:noProof/>
          <w:sz w:val="36"/>
          <w:szCs w:val="36"/>
          <w:lang w:val="en-US"/>
        </w:rPr>
      </w:pPr>
      <w:r w:rsidRPr="00E90E38">
        <w:rPr>
          <w:b/>
          <w:bCs/>
          <w:noProof/>
          <w:sz w:val="36"/>
          <w:szCs w:val="36"/>
          <w:lang w:val="en-US"/>
        </w:rPr>
        <w:t>1. Introduction</w:t>
      </w:r>
    </w:p>
    <w:p w14:paraId="16F8EE6C" w14:textId="77777777" w:rsidR="00E17119" w:rsidRDefault="00E90E38" w:rsidP="00EB7093">
      <w:pPr>
        <w:spacing w:before="100" w:beforeAutospacing="1" w:after="100" w:afterAutospacing="1" w:line="480" w:lineRule="auto"/>
        <w:jc w:val="both"/>
      </w:pPr>
      <w:r w:rsidRPr="00E90E38">
        <w:rPr>
          <w:noProof/>
          <w:lang w:val="en-US"/>
        </w:rPr>
        <w:t xml:space="preserve">Financial volatility has long been recognized as a central determinant of risk, asset pricing, and market efficiency. Since Engle (1982) introduced the ARCH model and Bollerslev (1986) generalized it into GARCH, conditional heteroskedasticity has become a cornerstone of empirical finance. These models capture the fact that large shocks tend to cluster in time—periods of high volatility are followed by other periods of high volatility—reflecting the </w:t>
      </w:r>
      <w:r w:rsidR="00E17119" w:rsidRPr="00E17119">
        <w:rPr>
          <w:lang w:val="en-US"/>
        </w:rPr>
        <w:t>slow decay of volatility shocks observed in empirical finance.</w:t>
      </w:r>
    </w:p>
    <w:p w14:paraId="3AF24426" w14:textId="41E16DE0" w:rsidR="00E90E38" w:rsidRPr="00E90E38" w:rsidRDefault="004A331F" w:rsidP="00EB7093">
      <w:pPr>
        <w:spacing w:before="100" w:beforeAutospacing="1" w:after="100" w:afterAutospacing="1" w:line="480" w:lineRule="auto"/>
        <w:jc w:val="both"/>
        <w:rPr>
          <w:noProof/>
          <w:lang w:val="en-US"/>
        </w:rPr>
      </w:pPr>
      <w:r w:rsidRPr="004A331F">
        <w:rPr>
          <w:lang w:val="en-US"/>
        </w:rPr>
        <w:lastRenderedPageBreak/>
        <w:t>However, while traditional GARCH models imply an exponential decay of volatility autocorrelations, a large body of research has shown that in many financial series these autocorrelations decay at a much slower rate</w:t>
      </w:r>
      <w:r w:rsidR="00E90E38" w:rsidRPr="004A331F">
        <w:rPr>
          <w:noProof/>
          <w:lang w:val="en-US"/>
        </w:rPr>
        <w:t>. This</w:t>
      </w:r>
      <w:r w:rsidR="00E90E38" w:rsidRPr="00E90E38">
        <w:rPr>
          <w:noProof/>
          <w:lang w:val="en-US"/>
        </w:rPr>
        <w:t xml:space="preserve"> property, known as </w:t>
      </w:r>
      <w:r w:rsidR="00E90E38" w:rsidRPr="00E90E38">
        <w:rPr>
          <w:b/>
          <w:bCs/>
          <w:noProof/>
          <w:lang w:val="en-US"/>
        </w:rPr>
        <w:t>long memory</w:t>
      </w:r>
      <w:r w:rsidR="00406F3C">
        <w:rPr>
          <w:noProof/>
          <w:lang w:val="en-US"/>
        </w:rPr>
        <w:t xml:space="preserve"> </w:t>
      </w:r>
      <w:r w:rsidR="00E90E38" w:rsidRPr="00E90E38">
        <w:rPr>
          <w:b/>
          <w:bCs/>
          <w:noProof/>
          <w:lang w:val="en-US"/>
        </w:rPr>
        <w:t>dependence</w:t>
      </w:r>
      <w:r w:rsidR="00E90E38" w:rsidRPr="00E90E38">
        <w:rPr>
          <w:noProof/>
          <w:lang w:val="en-US"/>
        </w:rPr>
        <w:t xml:space="preserve">, means that the impact of past shocks on volatility diminishes hyperbolically rather than exponentially. Baillie, Bollerslev, and Mikkelsen (1996) proposed the </w:t>
      </w:r>
      <w:r w:rsidR="00E90E38" w:rsidRPr="00E90E38">
        <w:rPr>
          <w:b/>
          <w:bCs/>
          <w:noProof/>
          <w:lang w:val="en-US"/>
        </w:rPr>
        <w:t>Fractionally Integrated GARCH (FIGARCH)</w:t>
      </w:r>
      <w:r w:rsidR="00E90E38" w:rsidRPr="00E90E38">
        <w:rPr>
          <w:noProof/>
          <w:lang w:val="en-US"/>
        </w:rPr>
        <w:t xml:space="preserve"> model to incorporate this phenomenon explicitly through a fractional</w:t>
      </w:r>
      <w:r w:rsidR="00836A2E">
        <w:rPr>
          <w:noProof/>
          <w:lang w:val="en-US"/>
        </w:rPr>
        <w:t>-</w:t>
      </w:r>
      <w:r w:rsidR="00E90E38" w:rsidRPr="00E90E38">
        <w:rPr>
          <w:noProof/>
          <w:lang w:val="en-US"/>
        </w:rPr>
        <w:t xml:space="preserve">differencing parameter </w:t>
      </w:r>
      <m:oMath>
        <m:r>
          <w:rPr>
            <w:rFonts w:ascii="Cambria Math" w:hAnsi="Cambria Math"/>
            <w:noProof/>
            <w:lang w:val="en-US"/>
          </w:rPr>
          <m:t>d∈(0,1)</m:t>
        </m:r>
      </m:oMath>
      <w:r w:rsidR="00E90E38" w:rsidRPr="00E90E38">
        <w:rPr>
          <w:noProof/>
          <w:lang w:val="en-US"/>
        </w:rPr>
        <w:t>, which allows a flexible transition between short- and long-memory behavior.</w:t>
      </w:r>
    </w:p>
    <w:p w14:paraId="7B2D26B0" w14:textId="64C7AA54"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The concept of long memory in volatility is not merely statistical: it reflects deeper features of market microstructure and investor behavior. </w:t>
      </w:r>
      <w:r w:rsidR="005C038B" w:rsidRPr="005C038B">
        <w:rPr>
          <w:lang w:val="en-US"/>
        </w:rPr>
        <w:t xml:space="preserve">Persistence may reflect heterogeneous trader horizons, gradual information diffusion, or nonlinear feedback mechanisms. </w:t>
      </w:r>
      <w:r w:rsidRPr="005C038B">
        <w:rPr>
          <w:noProof/>
          <w:lang w:val="en-US"/>
        </w:rPr>
        <w:t>Consequently, understanding whether financial volatility indeed exhibits fractional pe</w:t>
      </w:r>
      <w:r w:rsidRPr="00E90E38">
        <w:rPr>
          <w:noProof/>
          <w:lang w:val="en-US"/>
        </w:rPr>
        <w:t>rsistence is essential both for theory and for the practical management of risk.</w:t>
      </w:r>
    </w:p>
    <w:p w14:paraId="70D45F39" w14:textId="40BA85EE" w:rsidR="00AB6906" w:rsidRPr="00AB6906" w:rsidRDefault="00E90E38" w:rsidP="00EB7093">
      <w:pPr>
        <w:spacing w:before="100" w:beforeAutospacing="1" w:after="100" w:afterAutospacing="1" w:line="480" w:lineRule="auto"/>
        <w:jc w:val="both"/>
        <w:rPr>
          <w:lang w:val="en-US"/>
        </w:rPr>
      </w:pPr>
      <w:r w:rsidRPr="00E90E38">
        <w:rPr>
          <w:noProof/>
          <w:lang w:val="en-US"/>
        </w:rPr>
        <w:t xml:space="preserve">Despite the theoretical elegance of FIGARCH, its </w:t>
      </w:r>
      <w:r w:rsidRPr="00E90E38">
        <w:rPr>
          <w:b/>
          <w:bCs/>
          <w:noProof/>
          <w:lang w:val="en-US"/>
        </w:rPr>
        <w:t>empirical value</w:t>
      </w:r>
      <w:r w:rsidRPr="00E90E38">
        <w:rPr>
          <w:noProof/>
          <w:lang w:val="en-US"/>
        </w:rPr>
        <w:t xml:space="preserve"> remains debated. The key question is whether incorporating fractional integration provides tangible improvements in volatility forecasting, risk estimation, or model robustness—beyond merely offering a more realistic description of persistence. </w:t>
      </w:r>
      <w:r w:rsidR="00AB6906" w:rsidRPr="00AB6906">
        <w:rPr>
          <w:lang w:val="en-US"/>
        </w:rPr>
        <w:t>Early evidence on FIGARCH was mixed: although several studies reported clear in-sample gains relative to GARCH when volatility persistence was strong (Baillie et al., 1996; Bollerslev &amp; Mikkelsen, 1996), improvements in out-of-sample forecasts were generally small or statistically negligible, particularly at short horizons (Andersen et al., 2006).</w:t>
      </w:r>
    </w:p>
    <w:p w14:paraId="37DB98E9" w14:textId="15A623F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This paper contributes to that debate by providing a </w:t>
      </w:r>
      <w:r w:rsidRPr="00E90E38">
        <w:rPr>
          <w:b/>
          <w:bCs/>
          <w:noProof/>
          <w:lang w:val="en-US"/>
        </w:rPr>
        <w:t>comprehensive empirical comparison between GARCH(1,1) and FIGARCH(1,</w:t>
      </w:r>
      <w:r w:rsidR="00CE4DEF">
        <w:rPr>
          <w:b/>
          <w:bCs/>
          <w:noProof/>
          <w:lang w:val="en-US"/>
        </w:rPr>
        <w:t xml:space="preserve"> </w:t>
      </w:r>
      <w:r w:rsidRPr="00E90E38">
        <w:rPr>
          <w:b/>
          <w:bCs/>
          <w:noProof/>
          <w:lang w:val="en-US"/>
        </w:rPr>
        <w:t>d,</w:t>
      </w:r>
      <w:r w:rsidR="00CE4DEF">
        <w:rPr>
          <w:b/>
          <w:bCs/>
          <w:noProof/>
          <w:lang w:val="en-US"/>
        </w:rPr>
        <w:t xml:space="preserve"> </w:t>
      </w:r>
      <w:r w:rsidRPr="00E90E38">
        <w:rPr>
          <w:b/>
          <w:bCs/>
          <w:noProof/>
          <w:lang w:val="en-US"/>
        </w:rPr>
        <w:t>1)</w:t>
      </w:r>
      <w:r w:rsidRPr="00E90E38">
        <w:rPr>
          <w:noProof/>
          <w:lang w:val="en-US"/>
        </w:rPr>
        <w:t xml:space="preserve"> across five distinct assets: the S&amp;P 500, IBEX 35, Tesla, Bitcoin, and the BOVESPA index. These assets were </w:t>
      </w:r>
      <w:r w:rsidRPr="00E90E38">
        <w:rPr>
          <w:noProof/>
          <w:lang w:val="en-US"/>
        </w:rPr>
        <w:lastRenderedPageBreak/>
        <w:t>chosen to represent a wide spectrum of market conditions: developed vs. emerging, traditional equities vs. cryptocurrencies, and stable vs. highly idiosyncratic volatility structures.</w:t>
      </w:r>
    </w:p>
    <w:p w14:paraId="5A4C3D9B" w14:textId="77777777" w:rsidR="005F3523" w:rsidRDefault="00E90E38" w:rsidP="00EB7093">
      <w:pPr>
        <w:spacing w:before="100" w:beforeAutospacing="1" w:after="100" w:afterAutospacing="1" w:line="480" w:lineRule="auto"/>
        <w:jc w:val="both"/>
      </w:pPr>
      <w:r w:rsidRPr="00E90E38">
        <w:rPr>
          <w:noProof/>
          <w:lang w:val="en-US"/>
        </w:rPr>
        <w:t xml:space="preserve">Our approach integrates </w:t>
      </w:r>
      <w:r w:rsidRPr="00E90E38">
        <w:rPr>
          <w:b/>
          <w:bCs/>
          <w:noProof/>
          <w:lang w:val="en-US"/>
        </w:rPr>
        <w:t>parametric and non-parametric perspectives</w:t>
      </w:r>
      <w:r w:rsidRPr="00E90E38">
        <w:rPr>
          <w:noProof/>
          <w:lang w:val="en-US"/>
        </w:rPr>
        <w:t xml:space="preserve">. We first diagnose long-memory properties using the </w:t>
      </w:r>
      <w:r w:rsidRPr="00E90E38">
        <w:rPr>
          <w:b/>
          <w:bCs/>
          <w:noProof/>
          <w:lang w:val="en-US"/>
        </w:rPr>
        <w:t>Hurst exponent</w:t>
      </w:r>
      <w:r w:rsidRPr="00E90E38">
        <w:rPr>
          <w:noProof/>
          <w:lang w:val="en-US"/>
        </w:rPr>
        <w:t xml:space="preserve">, </w:t>
      </w:r>
      <w:r w:rsidRPr="00E90E38">
        <w:rPr>
          <w:b/>
          <w:bCs/>
          <w:noProof/>
          <w:lang w:val="en-US"/>
        </w:rPr>
        <w:t>Lo’s modified R/S test</w:t>
      </w:r>
      <w:r w:rsidRPr="00E90E38">
        <w:rPr>
          <w:noProof/>
          <w:lang w:val="en-US"/>
        </w:rPr>
        <w:t xml:space="preserve">, and </w:t>
      </w:r>
      <w:r w:rsidRPr="00E90E38">
        <w:rPr>
          <w:b/>
          <w:bCs/>
          <w:noProof/>
          <w:lang w:val="en-US"/>
        </w:rPr>
        <w:t>Multifractal Detrended Fluctuation Analysis (MF-DFA)</w:t>
      </w:r>
      <w:r w:rsidRPr="00E90E38">
        <w:rPr>
          <w:noProof/>
          <w:lang w:val="en-US"/>
        </w:rPr>
        <w:t xml:space="preserve">. These diagnostics allow us to establish whether persistence is present in the data and whether it is homogeneous or multifractal. We then estimate both GARCH and FIGARCH models for each asset and evaluate them on multiple dimensions: goodness-of-fit (AIC/BIC), out-of-sample forecasting accuracy (RMSE), and risk coverage through </w:t>
      </w:r>
      <w:r w:rsidRPr="00E90E38">
        <w:rPr>
          <w:b/>
          <w:bCs/>
          <w:noProof/>
          <w:lang w:val="en-US"/>
        </w:rPr>
        <w:t>Value-at-Risk (VaR)</w:t>
      </w:r>
      <w:r w:rsidRPr="00E90E38">
        <w:rPr>
          <w:noProof/>
          <w:lang w:val="en-US"/>
        </w:rPr>
        <w:t xml:space="preserve"> backtesting based on </w:t>
      </w:r>
      <w:r w:rsidRPr="00E90E38">
        <w:rPr>
          <w:b/>
          <w:bCs/>
          <w:noProof/>
          <w:lang w:val="en-US"/>
        </w:rPr>
        <w:t>Kupiec’s (1995)</w:t>
      </w:r>
      <w:r w:rsidRPr="00E90E38">
        <w:rPr>
          <w:noProof/>
          <w:lang w:val="en-US"/>
        </w:rPr>
        <w:t xml:space="preserve"> test.</w:t>
      </w:r>
      <w:r w:rsidR="005F3523" w:rsidRPr="005F3523">
        <w:t xml:space="preserve"> </w:t>
      </w:r>
    </w:p>
    <w:p w14:paraId="7E85EE2B" w14:textId="35365433" w:rsidR="00E90E38" w:rsidRPr="00E90E38" w:rsidRDefault="005F3523" w:rsidP="00EB7093">
      <w:pPr>
        <w:spacing w:before="100" w:beforeAutospacing="1" w:after="100" w:afterAutospacing="1" w:line="480" w:lineRule="auto"/>
        <w:jc w:val="both"/>
        <w:rPr>
          <w:noProof/>
          <w:lang w:val="en-US"/>
        </w:rPr>
      </w:pPr>
      <w:r w:rsidRPr="005F3523">
        <w:rPr>
          <w:lang w:val="en-US"/>
        </w:rPr>
        <w:t>Because the relevance of fractional integration cannot be assumed a priori, the empirical strategy begins with a diagnostic stage that determines whether long</w:t>
      </w:r>
      <w:r w:rsidR="00406F3C">
        <w:rPr>
          <w:lang w:val="en-US"/>
        </w:rPr>
        <w:t xml:space="preserve"> memory</w:t>
      </w:r>
      <w:r w:rsidRPr="005F3523">
        <w:rPr>
          <w:lang w:val="en-US"/>
        </w:rPr>
        <w:t xml:space="preserve"> dependence is present and therefore whether FIGARCH </w:t>
      </w:r>
      <w:r>
        <w:rPr>
          <w:lang w:val="en-US"/>
        </w:rPr>
        <w:t>could be</w:t>
      </w:r>
      <w:r w:rsidRPr="005F3523">
        <w:rPr>
          <w:lang w:val="en-US"/>
        </w:rPr>
        <w:t xml:space="preserve"> economically and statistically meaningful.</w:t>
      </w:r>
    </w:p>
    <w:p w14:paraId="730EEB6B" w14:textId="4DD9D34E" w:rsidR="00E90E38" w:rsidRPr="00E90E38" w:rsidRDefault="00CA18F1" w:rsidP="00EB7093">
      <w:pPr>
        <w:spacing w:before="100" w:beforeAutospacing="1" w:after="100" w:afterAutospacing="1" w:line="480" w:lineRule="auto"/>
        <w:jc w:val="both"/>
        <w:rPr>
          <w:noProof/>
          <w:lang w:val="en-US"/>
        </w:rPr>
      </w:pPr>
      <w:r w:rsidRPr="00CA18F1">
        <w:rPr>
          <w:lang w:val="en-US"/>
        </w:rPr>
        <w:t>This sequence—diagnostics followed by model estimation—ensures that persistence is established before being modelled.</w:t>
      </w:r>
      <w:r>
        <w:t xml:space="preserve"> </w:t>
      </w:r>
      <w:r w:rsidR="00E90E38" w:rsidRPr="00E90E38">
        <w:rPr>
          <w:noProof/>
          <w:lang w:val="en-US"/>
        </w:rPr>
        <w:t xml:space="preserve">First, while FIGARCH can model fractional persistence, it is not guaranteed that such persistence exists in all markets; hence the diagnostic stage is crucial. Second, even when persistence is statistically significant, it may or may not translate into better predictive performance or risk estimates. By combining structural diagnostics and model comparison, the study aims to clarify </w:t>
      </w:r>
      <w:r w:rsidR="00E90E38" w:rsidRPr="00E90E38">
        <w:rPr>
          <w:b/>
          <w:bCs/>
          <w:noProof/>
          <w:lang w:val="en-US"/>
        </w:rPr>
        <w:t>when and why fractional integration matters</w:t>
      </w:r>
      <w:r w:rsidR="00E90E38" w:rsidRPr="00E90E38">
        <w:rPr>
          <w:noProof/>
          <w:lang w:val="en-US"/>
        </w:rPr>
        <w:t>.</w:t>
      </w:r>
    </w:p>
    <w:p w14:paraId="1E6A5532"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lastRenderedPageBreak/>
        <w:t>Our results show that for most assets, volatility indeed displays multifractal and long-memory features, whereas returns themselves behave approximately as white noise. FIGARCH models capture the persistence of variance in a way that is structurally consistent with multifractal evidence. Yet the practical benefits in terms of predictive accuracy or VaR coverage are limited. In some cases—particularly for Tesla—the fractional model becomes unstable, converging toward the IGARCH limit (d≈1), which lacks economic interpretability.</w:t>
      </w:r>
    </w:p>
    <w:p w14:paraId="281E8401" w14:textId="47C47D93" w:rsidR="00CA18F1" w:rsidRPr="004A331F" w:rsidRDefault="004A331F" w:rsidP="00EB7093">
      <w:pPr>
        <w:pStyle w:val="NormalWeb"/>
        <w:spacing w:line="480" w:lineRule="auto"/>
        <w:jc w:val="both"/>
        <w:rPr>
          <w:lang w:val="en-US"/>
        </w:rPr>
      </w:pPr>
      <w:r w:rsidRPr="004A331F">
        <w:rPr>
          <w:lang w:val="en-US"/>
        </w:rPr>
        <w:t>The contributions of this paper are threefold</w:t>
      </w:r>
      <w:r w:rsidR="00CA18F1" w:rsidRPr="004A331F">
        <w:rPr>
          <w:lang w:val="en-US"/>
        </w:rPr>
        <w:t>:</w:t>
      </w:r>
    </w:p>
    <w:p w14:paraId="35BAEF7C" w14:textId="77777777" w:rsidR="00CA18F1" w:rsidRPr="00CA18F1" w:rsidRDefault="00CA18F1" w:rsidP="00EB7093">
      <w:pPr>
        <w:pStyle w:val="NormalWeb"/>
        <w:numPr>
          <w:ilvl w:val="0"/>
          <w:numId w:val="42"/>
        </w:numPr>
        <w:spacing w:line="480" w:lineRule="auto"/>
        <w:jc w:val="both"/>
        <w:rPr>
          <w:lang w:val="en-US"/>
        </w:rPr>
      </w:pPr>
      <w:r w:rsidRPr="00CA18F1">
        <w:rPr>
          <w:lang w:val="en-US"/>
        </w:rPr>
        <w:t>It links fractal diagnostics with econometric volatility modelling within a unified empirical framework.</w:t>
      </w:r>
    </w:p>
    <w:p w14:paraId="5F8228B5" w14:textId="77777777" w:rsidR="00CA18F1" w:rsidRPr="00CA18F1" w:rsidRDefault="00CA18F1" w:rsidP="00EB7093">
      <w:pPr>
        <w:pStyle w:val="NormalWeb"/>
        <w:numPr>
          <w:ilvl w:val="0"/>
          <w:numId w:val="42"/>
        </w:numPr>
        <w:spacing w:line="480" w:lineRule="auto"/>
        <w:jc w:val="both"/>
        <w:rPr>
          <w:lang w:val="en-US"/>
        </w:rPr>
      </w:pPr>
      <w:r w:rsidRPr="00CA18F1">
        <w:rPr>
          <w:lang w:val="en-US"/>
        </w:rPr>
        <w:t>It evaluates whether fractional integration improves both in-sample fit and out-of-sample tail-risk forecasts.</w:t>
      </w:r>
    </w:p>
    <w:p w14:paraId="1F609E98" w14:textId="77777777" w:rsidR="00CA18F1" w:rsidRPr="00CA18F1" w:rsidRDefault="00CA18F1" w:rsidP="00EB7093">
      <w:pPr>
        <w:pStyle w:val="NormalWeb"/>
        <w:numPr>
          <w:ilvl w:val="0"/>
          <w:numId w:val="42"/>
        </w:numPr>
        <w:spacing w:line="480" w:lineRule="auto"/>
        <w:jc w:val="both"/>
        <w:rPr>
          <w:lang w:val="en-US"/>
        </w:rPr>
      </w:pPr>
      <w:r w:rsidRPr="00CA18F1">
        <w:rPr>
          <w:lang w:val="en-US"/>
        </w:rPr>
        <w:t>It identifies the conditions under which FIGARCH succeeds or fails—particularly in the presence of structural breaks.</w:t>
      </w:r>
    </w:p>
    <w:p w14:paraId="0FBAB35D" w14:textId="76F692B1" w:rsidR="00B0201F" w:rsidRPr="005F3523" w:rsidRDefault="005F3523" w:rsidP="00EB7093">
      <w:pPr>
        <w:spacing w:before="100" w:beforeAutospacing="1" w:after="100" w:afterAutospacing="1" w:line="480" w:lineRule="auto"/>
        <w:jc w:val="both"/>
        <w:rPr>
          <w:noProof/>
          <w:lang w:val="en-US"/>
        </w:rPr>
      </w:pPr>
      <w:r w:rsidRPr="005F3523">
        <w:rPr>
          <w:lang w:val="en-US"/>
        </w:rPr>
        <w:t xml:space="preserve">Building on </w:t>
      </w:r>
      <w:r>
        <w:rPr>
          <w:lang w:val="en-US"/>
        </w:rPr>
        <w:t>the</w:t>
      </w:r>
      <w:r w:rsidRPr="005F3523">
        <w:rPr>
          <w:lang w:val="en-US"/>
        </w:rPr>
        <w:t xml:space="preserve"> diagnostic–modelling logic</w:t>
      </w:r>
      <w:r>
        <w:rPr>
          <w:lang w:val="en-US"/>
        </w:rPr>
        <w:t xml:space="preserve"> explained above</w:t>
      </w:r>
      <w:r w:rsidRPr="005F3523">
        <w:rPr>
          <w:lang w:val="en-US"/>
        </w:rPr>
        <w:t>, the remainder of the paper is structured as follows:</w:t>
      </w:r>
    </w:p>
    <w:p w14:paraId="0DB8D23D" w14:textId="2BF5CCB3" w:rsidR="004C272D" w:rsidRPr="00B0201F" w:rsidRDefault="00E90E38" w:rsidP="00EB7093">
      <w:pPr>
        <w:spacing w:before="100" w:beforeAutospacing="1" w:line="480" w:lineRule="auto"/>
        <w:jc w:val="both"/>
        <w:rPr>
          <w:noProof/>
          <w:lang w:val="en-US"/>
        </w:rPr>
      </w:pPr>
      <w:r w:rsidRPr="00E90E38">
        <w:rPr>
          <w:noProof/>
          <w:lang w:val="en-US"/>
        </w:rPr>
        <w:t>Section 2 describes the data and preliminary diagnostics, including evidence of multifractality.</w:t>
      </w:r>
    </w:p>
    <w:p w14:paraId="41EBE866" w14:textId="10021963" w:rsidR="00D43F60" w:rsidRDefault="00E90E38" w:rsidP="00EB7093">
      <w:pPr>
        <w:spacing w:line="480" w:lineRule="auto"/>
        <w:jc w:val="both"/>
        <w:rPr>
          <w:noProof/>
          <w:lang w:val="en-US"/>
        </w:rPr>
      </w:pPr>
      <w:r w:rsidRPr="00E90E38">
        <w:rPr>
          <w:noProof/>
          <w:lang w:val="en-US"/>
        </w:rPr>
        <w:t xml:space="preserve">Section 3 outlines the econometric methodology, estimation, and evaluation </w:t>
      </w:r>
      <w:r w:rsidR="00B0201F" w:rsidRPr="00B0201F">
        <w:rPr>
          <w:noProof/>
          <w:lang w:val="en-US"/>
        </w:rPr>
        <w:t>criteri</w:t>
      </w:r>
      <w:r w:rsidR="00544A9C">
        <w:rPr>
          <w:noProof/>
          <w:lang w:val="en-US"/>
        </w:rPr>
        <w:t>a</w:t>
      </w:r>
      <w:r w:rsidR="00B0201F" w:rsidRPr="00B0201F">
        <w:rPr>
          <w:noProof/>
          <w:lang w:val="en-US"/>
        </w:rPr>
        <w:t>.</w:t>
      </w:r>
    </w:p>
    <w:p w14:paraId="1CCAD262" w14:textId="72DDCC1A" w:rsidR="00B0201F" w:rsidRPr="00B0201F" w:rsidRDefault="00E90E38" w:rsidP="00EB7093">
      <w:pPr>
        <w:spacing w:line="480" w:lineRule="auto"/>
        <w:jc w:val="both"/>
        <w:rPr>
          <w:noProof/>
          <w:lang w:val="en-US"/>
        </w:rPr>
      </w:pPr>
      <w:r w:rsidRPr="00E90E38">
        <w:rPr>
          <w:noProof/>
          <w:lang w:val="en-US"/>
        </w:rPr>
        <w:t>Section 4 presents empirical results, while Section 5 focuses on the risk-based evaluation through VaR backtesting</w:t>
      </w:r>
      <w:r w:rsidR="00B0201F" w:rsidRPr="00B0201F">
        <w:rPr>
          <w:noProof/>
          <w:lang w:val="en-US"/>
        </w:rPr>
        <w:t xml:space="preserve">. </w:t>
      </w:r>
    </w:p>
    <w:p w14:paraId="007705C2" w14:textId="77777777" w:rsidR="00D43F60" w:rsidRDefault="00E90E38" w:rsidP="00EB7093">
      <w:pPr>
        <w:spacing w:line="480" w:lineRule="auto"/>
        <w:jc w:val="both"/>
        <w:rPr>
          <w:noProof/>
          <w:lang w:val="en-US"/>
        </w:rPr>
      </w:pPr>
      <w:r w:rsidRPr="00E90E38">
        <w:rPr>
          <w:noProof/>
          <w:lang w:val="en-US"/>
        </w:rPr>
        <w:t>Section 6 discusses broader implications, robustness, and computational aspects.</w:t>
      </w:r>
    </w:p>
    <w:p w14:paraId="58BA1152" w14:textId="6568CC6B" w:rsidR="00E90E38" w:rsidRPr="00E90E38" w:rsidRDefault="00E90E38" w:rsidP="00EB7093">
      <w:pPr>
        <w:spacing w:after="100" w:afterAutospacing="1" w:line="480" w:lineRule="auto"/>
        <w:jc w:val="both"/>
        <w:rPr>
          <w:noProof/>
          <w:lang w:val="en-US"/>
        </w:rPr>
      </w:pPr>
      <w:r w:rsidRPr="00E90E38">
        <w:rPr>
          <w:noProof/>
          <w:lang w:val="en-US"/>
        </w:rPr>
        <w:lastRenderedPageBreak/>
        <w:t>Section 7 concludes with insights on the interpretive and practical value of long-memory volatility models.</w:t>
      </w:r>
    </w:p>
    <w:p w14:paraId="61F23AFE" w14:textId="77777777" w:rsidR="00E90E38" w:rsidRPr="00E90E38" w:rsidRDefault="00E90E38" w:rsidP="00EB7093">
      <w:pPr>
        <w:spacing w:before="100" w:beforeAutospacing="1" w:after="100" w:afterAutospacing="1" w:line="480" w:lineRule="auto"/>
        <w:jc w:val="both"/>
        <w:outlineLvl w:val="1"/>
        <w:rPr>
          <w:b/>
          <w:bCs/>
          <w:noProof/>
          <w:sz w:val="36"/>
          <w:szCs w:val="36"/>
          <w:lang w:val="en-US"/>
        </w:rPr>
      </w:pPr>
      <w:r w:rsidRPr="00E90E38">
        <w:rPr>
          <w:b/>
          <w:bCs/>
          <w:noProof/>
          <w:sz w:val="36"/>
          <w:szCs w:val="36"/>
          <w:lang w:val="en-US"/>
        </w:rPr>
        <w:t>2. Data and Preliminary Diagnostics</w:t>
      </w:r>
    </w:p>
    <w:p w14:paraId="24CDFD50" w14:textId="77777777" w:rsidR="00E90E38" w:rsidRPr="00E90E38" w:rsidRDefault="00E90E38" w:rsidP="00EB7093">
      <w:pPr>
        <w:spacing w:before="100" w:beforeAutospacing="1" w:after="100" w:afterAutospacing="1" w:line="480" w:lineRule="auto"/>
        <w:jc w:val="both"/>
        <w:outlineLvl w:val="2"/>
        <w:rPr>
          <w:b/>
          <w:bCs/>
          <w:noProof/>
          <w:sz w:val="27"/>
          <w:szCs w:val="27"/>
          <w:lang w:val="en-US"/>
        </w:rPr>
      </w:pPr>
      <w:r w:rsidRPr="00E90E38">
        <w:rPr>
          <w:b/>
          <w:bCs/>
          <w:noProof/>
          <w:sz w:val="27"/>
          <w:szCs w:val="27"/>
          <w:lang w:val="en-US"/>
        </w:rPr>
        <w:t>2.1. Data Description</w:t>
      </w:r>
    </w:p>
    <w:p w14:paraId="2682A716" w14:textId="77777777" w:rsidR="00481FE6" w:rsidRPr="00481FE6" w:rsidRDefault="00481FE6" w:rsidP="00EB7093">
      <w:pPr>
        <w:spacing w:before="100" w:beforeAutospacing="1" w:after="100" w:afterAutospacing="1" w:line="480" w:lineRule="auto"/>
        <w:jc w:val="both"/>
        <w:rPr>
          <w:lang w:val="en-US"/>
        </w:rPr>
      </w:pPr>
      <w:r w:rsidRPr="00481FE6">
        <w:rPr>
          <w:lang w:val="en-US"/>
        </w:rPr>
        <w:t>The empirical analysis uses daily data for five representative financial assets: the S&amp;P 500 Index, the IBEX 35 Index, Tesla Inc., Bitcoin, and the BOVESPA Index (Brazil). These series were selected to cover a broad spectrum of markets—developed and emerging, traditional equities and cryptocurrencies, diversified indices and single-firm assets—so that long-memory effects, if present, could be contrasted under different structural conditions.</w:t>
      </w:r>
    </w:p>
    <w:p w14:paraId="7D50C7FC" w14:textId="632AB1B0" w:rsidR="00481FE6" w:rsidRPr="00481FE6" w:rsidRDefault="00481FE6" w:rsidP="00EB7093">
      <w:pPr>
        <w:spacing w:before="100" w:beforeAutospacing="1" w:after="100" w:afterAutospacing="1" w:line="480" w:lineRule="auto"/>
        <w:jc w:val="both"/>
        <w:rPr>
          <w:lang w:val="en-US"/>
        </w:rPr>
      </w:pPr>
      <w:r w:rsidRPr="00481FE6">
        <w:rPr>
          <w:lang w:val="en-US"/>
        </w:rPr>
        <w:t>All price series were obtained from Yahoo Finance.</w:t>
      </w:r>
      <w:r w:rsidR="00AB6906">
        <w:rPr>
          <w:lang w:val="en-US"/>
        </w:rPr>
        <w:t xml:space="preserve"> </w:t>
      </w:r>
      <w:r w:rsidRPr="00481FE6">
        <w:rPr>
          <w:lang w:val="en-US"/>
        </w:rPr>
        <w:t xml:space="preserve">For S&amp;P 500, IBEX 35 and BOVESPA, the sample spans </w:t>
      </w:r>
      <w:r w:rsidRPr="00481FE6">
        <w:rPr>
          <w:b/>
          <w:bCs/>
          <w:lang w:val="en-US"/>
        </w:rPr>
        <w:t>2000–2023</w:t>
      </w:r>
      <w:r w:rsidRPr="00481FE6">
        <w:rPr>
          <w:lang w:val="en-US"/>
        </w:rPr>
        <w:t xml:space="preserve">, yielding approximately </w:t>
      </w:r>
      <w:r w:rsidRPr="00481FE6">
        <w:rPr>
          <w:b/>
          <w:bCs/>
          <w:lang w:val="en-US"/>
        </w:rPr>
        <w:t>6,000</w:t>
      </w:r>
      <w:r w:rsidRPr="00481FE6">
        <w:rPr>
          <w:lang w:val="en-US"/>
        </w:rPr>
        <w:t xml:space="preserve"> daily observations per index.</w:t>
      </w:r>
      <w:r w:rsidR="00AB6906">
        <w:rPr>
          <w:lang w:val="en-US"/>
        </w:rPr>
        <w:t xml:space="preserve"> </w:t>
      </w:r>
      <w:r w:rsidRPr="00481FE6">
        <w:rPr>
          <w:lang w:val="en-US"/>
        </w:rPr>
        <w:t>Tesla and Bitcoin enter the dataset later—</w:t>
      </w:r>
      <w:r w:rsidRPr="00481FE6">
        <w:rPr>
          <w:b/>
          <w:bCs/>
          <w:lang w:val="en-US"/>
        </w:rPr>
        <w:t>both from 2015 onward</w:t>
      </w:r>
      <w:r w:rsidRPr="00481FE6">
        <w:rPr>
          <w:lang w:val="en-US"/>
        </w:rPr>
        <w:t xml:space="preserve">—to ensure sufficient liquidity and comparability across assets. After alignment, Tesla provides about </w:t>
      </w:r>
      <w:r w:rsidRPr="00481FE6">
        <w:rPr>
          <w:b/>
          <w:bCs/>
          <w:lang w:val="en-US"/>
        </w:rPr>
        <w:t>3,500</w:t>
      </w:r>
      <w:r w:rsidRPr="00481FE6">
        <w:rPr>
          <w:lang w:val="en-US"/>
        </w:rPr>
        <w:t xml:space="preserve"> observations and Bitcoin roughly </w:t>
      </w:r>
      <w:r w:rsidRPr="00481FE6">
        <w:rPr>
          <w:b/>
          <w:bCs/>
          <w:lang w:val="en-US"/>
        </w:rPr>
        <w:t>3,200</w:t>
      </w:r>
      <w:r w:rsidRPr="00481FE6">
        <w:rPr>
          <w:lang w:val="en-US"/>
        </w:rPr>
        <w:t>.</w:t>
      </w:r>
    </w:p>
    <w:p w14:paraId="1F151C50" w14:textId="77777777" w:rsidR="00481FE6" w:rsidRPr="00481FE6" w:rsidRDefault="00481FE6" w:rsidP="00EB7093">
      <w:pPr>
        <w:spacing w:before="100" w:beforeAutospacing="1" w:after="100" w:afterAutospacing="1" w:line="480" w:lineRule="auto"/>
        <w:jc w:val="both"/>
        <w:rPr>
          <w:lang w:val="en-US"/>
        </w:rPr>
      </w:pPr>
      <w:r w:rsidRPr="00481FE6">
        <w:rPr>
          <w:lang w:val="en-US"/>
        </w:rPr>
        <w:t xml:space="preserve">Daily returns are computed as </w:t>
      </w:r>
      <w:r w:rsidRPr="00481FE6">
        <w:rPr>
          <w:b/>
          <w:bCs/>
          <w:lang w:val="en-US"/>
        </w:rPr>
        <w:t>continuously compounded log-differences</w:t>
      </w:r>
      <w:r w:rsidRPr="00481FE6">
        <w:rPr>
          <w:lang w:val="en-US"/>
        </w:rPr>
        <w:t>:</w:t>
      </w:r>
    </w:p>
    <w:p w14:paraId="07EBF605" w14:textId="77777777" w:rsidR="00481FE6" w:rsidRPr="00481FE6" w:rsidRDefault="00000000" w:rsidP="00EB7093">
      <w:pPr>
        <w:spacing w:line="480" w:lineRule="auto"/>
        <w:jc w:val="both"/>
        <w:rPr>
          <w:lang w:val="en-US"/>
        </w:rPr>
      </w:pPr>
      <m:oMathPara>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m:t>ln</m:t>
          </m:r>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m:t>ln</m:t>
          </m:r>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t-1</m:t>
              </m:r>
            </m:sub>
          </m:sSub>
          <m:r>
            <w:rPr>
              <w:rFonts w:ascii="Cambria Math" w:hAnsi="Cambria Math"/>
              <w:lang w:val="en-US"/>
            </w:rPr>
            <m:t>),</m:t>
          </m:r>
          <m:r>
            <m:rPr>
              <m:sty m:val="p"/>
            </m:rPr>
            <w:rPr>
              <w:rFonts w:ascii="Cambria Math" w:hAnsi="Cambria Math"/>
              <w:lang w:val="en-US"/>
            </w:rPr>
            <w:br/>
          </m:r>
        </m:oMath>
      </m:oMathPara>
    </w:p>
    <w:p w14:paraId="0249BFD7" w14:textId="7E4590F3" w:rsidR="00481FE6" w:rsidRPr="00481FE6" w:rsidRDefault="00481FE6" w:rsidP="00EB7093">
      <w:pPr>
        <w:spacing w:before="100" w:beforeAutospacing="1" w:after="100" w:afterAutospacing="1" w:line="480" w:lineRule="auto"/>
        <w:jc w:val="both"/>
        <w:rPr>
          <w:lang w:val="en-US"/>
        </w:rPr>
      </w:pPr>
      <w:r w:rsidRPr="00481FE6">
        <w:rPr>
          <w:lang w:val="en-US"/>
        </w:rPr>
        <w:t xml:space="preserve">where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m:t>
            </m:r>
          </m:sub>
        </m:sSub>
      </m:oMath>
      <w:r w:rsidR="00AB6906">
        <w:rPr>
          <w:lang w:val="en-US"/>
        </w:rPr>
        <w:t xml:space="preserve"> </w:t>
      </w:r>
      <w:r w:rsidRPr="00481FE6">
        <w:rPr>
          <w:lang w:val="en-US"/>
        </w:rPr>
        <w:t>denotes the daily closing price.</w:t>
      </w:r>
      <w:r w:rsidR="00AB6906">
        <w:rPr>
          <w:lang w:val="en-US"/>
        </w:rPr>
        <w:t xml:space="preserve"> </w:t>
      </w:r>
      <w:r w:rsidRPr="00481FE6">
        <w:rPr>
          <w:lang w:val="en-US"/>
        </w:rPr>
        <w:t xml:space="preserve">Because log-returns are </w:t>
      </w:r>
      <w:r w:rsidRPr="00481FE6">
        <w:rPr>
          <w:b/>
          <w:bCs/>
          <w:lang w:val="en-US"/>
        </w:rPr>
        <w:t>scale-free</w:t>
      </w:r>
      <w:r w:rsidRPr="00481FE6">
        <w:rPr>
          <w:lang w:val="en-US"/>
        </w:rPr>
        <w:t xml:space="preserve"> and independent of the price level, they are directly comparable across assets with different nominal prices.</w:t>
      </w:r>
    </w:p>
    <w:p w14:paraId="62513A0D" w14:textId="77C9864D" w:rsidR="00481FE6" w:rsidRPr="00481FE6" w:rsidRDefault="00481FE6" w:rsidP="00EB7093">
      <w:pPr>
        <w:spacing w:before="100" w:beforeAutospacing="1" w:after="100" w:afterAutospacing="1" w:line="480" w:lineRule="auto"/>
        <w:jc w:val="both"/>
        <w:rPr>
          <w:lang w:val="en-US"/>
        </w:rPr>
      </w:pPr>
      <w:r w:rsidRPr="00481FE6">
        <w:rPr>
          <w:lang w:val="en-US"/>
        </w:rPr>
        <w:lastRenderedPageBreak/>
        <w:t>The length and heterogeneity of the resulting panel make it well suited for identifying both short- and long</w:t>
      </w:r>
      <w:r w:rsidR="00406F3C">
        <w:rPr>
          <w:lang w:val="en-US"/>
        </w:rPr>
        <w:t xml:space="preserve"> memory</w:t>
      </w:r>
      <w:r w:rsidRPr="00481FE6">
        <w:rPr>
          <w:lang w:val="en-US"/>
        </w:rPr>
        <w:t xml:space="preserve"> dependence.</w:t>
      </w:r>
    </w:p>
    <w:p w14:paraId="267F30DC" w14:textId="77777777" w:rsidR="00544A9C" w:rsidRPr="00544A9C" w:rsidRDefault="00E90E38" w:rsidP="00544A9C">
      <w:pPr>
        <w:spacing w:before="100" w:beforeAutospacing="1" w:after="100" w:afterAutospacing="1" w:line="480" w:lineRule="auto"/>
        <w:jc w:val="both"/>
        <w:rPr>
          <w:lang w:val="en-US"/>
        </w:rPr>
      </w:pPr>
      <w:r w:rsidRPr="00E90E38">
        <w:rPr>
          <w:noProof/>
          <w:lang w:val="en-US"/>
        </w:rPr>
        <w:t xml:space="preserve">Descriptive statistics reveal strong deviations from Gaussianity. All return distributions exhibit </w:t>
      </w:r>
      <w:r w:rsidRPr="00E90E38">
        <w:rPr>
          <w:b/>
          <w:bCs/>
          <w:noProof/>
          <w:lang w:val="en-US"/>
        </w:rPr>
        <w:t>leptokurtosis</w:t>
      </w:r>
      <w:r w:rsidRPr="00E90E38">
        <w:rPr>
          <w:noProof/>
          <w:lang w:val="en-US"/>
        </w:rPr>
        <w:t xml:space="preserve"> and, for most assets, </w:t>
      </w:r>
      <w:r w:rsidRPr="00E90E38">
        <w:rPr>
          <w:b/>
          <w:bCs/>
          <w:noProof/>
          <w:lang w:val="en-US"/>
        </w:rPr>
        <w:t>negative skewness</w:t>
      </w:r>
      <w:r w:rsidR="00544A9C">
        <w:rPr>
          <w:noProof/>
          <w:lang w:val="en-US"/>
        </w:rPr>
        <w:t xml:space="preserve"> and therefore show marked departures from gaussianity</w:t>
      </w:r>
      <w:r w:rsidR="00544A9C" w:rsidRPr="00544A9C">
        <w:rPr>
          <w:noProof/>
          <w:lang w:val="en-US"/>
        </w:rPr>
        <w:t xml:space="preserve">. </w:t>
      </w:r>
      <w:r w:rsidRPr="00544A9C">
        <w:rPr>
          <w:noProof/>
          <w:lang w:val="en-US"/>
        </w:rPr>
        <w:t xml:space="preserve"> </w:t>
      </w:r>
      <w:r w:rsidR="00544A9C" w:rsidRPr="00544A9C">
        <w:rPr>
          <w:lang w:val="en-US"/>
        </w:rPr>
        <w:t>These heavy-tailed features are typical of daily financial returns and do not affect the consistency of Gaussian QML estimation for GARCH-type models.</w:t>
      </w:r>
    </w:p>
    <w:p w14:paraId="17089A14" w14:textId="355027F9" w:rsidR="00544A9C" w:rsidRDefault="00E90E38" w:rsidP="00EB7093">
      <w:pPr>
        <w:spacing w:before="100" w:beforeAutospacing="1" w:after="100" w:afterAutospacing="1" w:line="480" w:lineRule="auto"/>
        <w:jc w:val="both"/>
      </w:pPr>
      <w:r w:rsidRPr="00E90E38">
        <w:rPr>
          <w:noProof/>
          <w:lang w:val="en-US"/>
        </w:rPr>
        <w:t xml:space="preserve">The magnitude of excess kurtosis is highest for Bitcoin (≈ 12) and Tesla (≈ 9), indicating fat tails and a high probability of extreme movements. The S&amp;P 500 and IBEX 35 show more moderate but still significant departures from normality. </w:t>
      </w:r>
    </w:p>
    <w:p w14:paraId="0F35074D" w14:textId="54713B9B"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Visual inspection and the autocorrelation functions of squared returns confirm the well-known pattern of </w:t>
      </w:r>
      <w:r w:rsidRPr="00E90E38">
        <w:rPr>
          <w:b/>
          <w:bCs/>
          <w:noProof/>
          <w:lang w:val="en-US"/>
        </w:rPr>
        <w:t>volatility clustering</w:t>
      </w:r>
      <w:r w:rsidRPr="00E90E38">
        <w:rPr>
          <w:noProof/>
          <w:lang w:val="en-US"/>
        </w:rPr>
        <w:t>: large returns tend to be followed by other large returns in absolute value. This property justifies the use of GARCH-type models as the baseline for conditional variance modeling.</w:t>
      </w:r>
    </w:p>
    <w:p w14:paraId="0065D856" w14:textId="77777777" w:rsidR="00E90E38" w:rsidRPr="00087470" w:rsidRDefault="00E90E38" w:rsidP="00EB7093">
      <w:pPr>
        <w:spacing w:before="100" w:beforeAutospacing="1" w:after="100" w:afterAutospacing="1" w:line="480" w:lineRule="auto"/>
        <w:jc w:val="both"/>
        <w:outlineLvl w:val="2"/>
        <w:rPr>
          <w:b/>
          <w:bCs/>
          <w:noProof/>
          <w:sz w:val="27"/>
          <w:szCs w:val="27"/>
          <w:lang w:val="en-US"/>
        </w:rPr>
      </w:pPr>
      <w:r w:rsidRPr="00087470">
        <w:rPr>
          <w:b/>
          <w:bCs/>
          <w:noProof/>
          <w:sz w:val="27"/>
          <w:szCs w:val="27"/>
          <w:lang w:val="en-US"/>
        </w:rPr>
        <w:t>2.2. Stationarity and Heteroskedasticity Tests</w:t>
      </w:r>
    </w:p>
    <w:p w14:paraId="46C6B77F" w14:textId="6DA3115E" w:rsidR="00034953" w:rsidRPr="00087470" w:rsidRDefault="00034953" w:rsidP="00EB7093">
      <w:pPr>
        <w:pStyle w:val="NormalWeb"/>
        <w:spacing w:line="480" w:lineRule="auto"/>
        <w:jc w:val="both"/>
        <w:rPr>
          <w:lang w:val="en-US"/>
        </w:rPr>
      </w:pPr>
      <w:r w:rsidRPr="00087470">
        <w:rPr>
          <w:lang w:val="en-US"/>
        </w:rPr>
        <w:t>Before assessing persistence, we first verify that the return series are stationary. Augmented Dickey–Fuller (ADF) tests were applied to daily returns for all assets. In every case, the ADF test rejects the null of a unit root at conventional significance levels, indicating that returns behave as stationary processes and are suitable for long-memory analysis.</w:t>
      </w:r>
    </w:p>
    <w:p w14:paraId="4AA60AD8" w14:textId="023F8153" w:rsidR="00087470" w:rsidRPr="00087470" w:rsidRDefault="00034953" w:rsidP="00EB7093">
      <w:pPr>
        <w:pStyle w:val="NormalWeb"/>
        <w:spacing w:line="480" w:lineRule="auto"/>
        <w:jc w:val="both"/>
        <w:rPr>
          <w:lang w:val="en-US"/>
        </w:rPr>
      </w:pPr>
      <w:r w:rsidRPr="00087470">
        <w:rPr>
          <w:lang w:val="en-US"/>
        </w:rPr>
        <w:lastRenderedPageBreak/>
        <w:t xml:space="preserve">Volatility, however, is clearly time-varying. Rolling estimates of realized volatility computed over 100-day windows show pronounced swings across the sample, and the autocorrelation functions of squared returns decay slowly rather than </w:t>
      </w:r>
      <w:proofErr w:type="spellStart"/>
      <w:r w:rsidR="00D26AA3">
        <w:rPr>
          <w:lang w:val="en-US"/>
        </w:rPr>
        <w:t>dissapear</w:t>
      </w:r>
      <w:proofErr w:type="spellEnd"/>
      <w:r w:rsidRPr="00087470">
        <w:rPr>
          <w:lang w:val="en-US"/>
        </w:rPr>
        <w:t xml:space="preserve"> quickly. </w:t>
      </w:r>
    </w:p>
    <w:p w14:paraId="764D7AFA" w14:textId="5CBB4EDA" w:rsidR="00E90E38" w:rsidRPr="00E90E38" w:rsidRDefault="00034953" w:rsidP="00EB7093">
      <w:pPr>
        <w:pStyle w:val="NormalWeb"/>
        <w:spacing w:line="480" w:lineRule="auto"/>
        <w:jc w:val="both"/>
        <w:rPr>
          <w:lang w:val="en-US"/>
        </w:rPr>
      </w:pPr>
      <w:r w:rsidRPr="00087470">
        <w:rPr>
          <w:lang w:val="en-US"/>
        </w:rPr>
        <w:t>This combination of volatility clustering and long</w:t>
      </w:r>
      <w:r w:rsidR="009C0704">
        <w:rPr>
          <w:lang w:val="en-US"/>
        </w:rPr>
        <w:t xml:space="preserve"> memory</w:t>
      </w:r>
      <w:r w:rsidRPr="00087470">
        <w:rPr>
          <w:lang w:val="en-US"/>
        </w:rPr>
        <w:t xml:space="preserve"> dependence in squared returns is consistent with conditional heteroskedasticity and provides a natural motivation for estimating GARCH-type and FIGARCH models in the following sections.</w:t>
      </w:r>
    </w:p>
    <w:p w14:paraId="09E9CCAE" w14:textId="77777777" w:rsidR="00E17119" w:rsidRDefault="00E17119" w:rsidP="00EB7093">
      <w:pPr>
        <w:spacing w:before="100" w:beforeAutospacing="1" w:after="100" w:afterAutospacing="1" w:line="480" w:lineRule="auto"/>
        <w:jc w:val="both"/>
        <w:outlineLvl w:val="2"/>
        <w:rPr>
          <w:b/>
          <w:bCs/>
          <w:noProof/>
          <w:sz w:val="27"/>
          <w:szCs w:val="27"/>
          <w:lang w:val="en-US"/>
        </w:rPr>
      </w:pPr>
    </w:p>
    <w:p w14:paraId="1573CEA5" w14:textId="18CCF543" w:rsidR="00E90E38" w:rsidRPr="00E90E38" w:rsidRDefault="00E90E38" w:rsidP="00EB7093">
      <w:pPr>
        <w:spacing w:before="100" w:beforeAutospacing="1" w:after="100" w:afterAutospacing="1" w:line="480" w:lineRule="auto"/>
        <w:jc w:val="both"/>
        <w:outlineLvl w:val="2"/>
        <w:rPr>
          <w:b/>
          <w:bCs/>
          <w:noProof/>
          <w:sz w:val="27"/>
          <w:szCs w:val="27"/>
          <w:lang w:val="en-US"/>
        </w:rPr>
      </w:pPr>
      <w:r w:rsidRPr="00E90E38">
        <w:rPr>
          <w:b/>
          <w:bCs/>
          <w:noProof/>
          <w:sz w:val="27"/>
          <w:szCs w:val="27"/>
          <w:lang w:val="en-US"/>
        </w:rPr>
        <w:t>2.3. Evidence of Long Memory</w:t>
      </w:r>
    </w:p>
    <w:p w14:paraId="16CB534E"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The central question of this paper is whether the observed volatility persistence follows an exponential or a hyperbolic decay. To explore this, we use three complementary diagnostics: </w:t>
      </w:r>
      <w:r w:rsidRPr="00E90E38">
        <w:rPr>
          <w:b/>
          <w:bCs/>
          <w:noProof/>
          <w:lang w:val="en-US"/>
        </w:rPr>
        <w:t>the Hurst exponent (H)</w:t>
      </w:r>
      <w:r w:rsidRPr="00E90E38">
        <w:rPr>
          <w:noProof/>
          <w:lang w:val="en-US"/>
        </w:rPr>
        <w:t xml:space="preserve">, </w:t>
      </w:r>
      <w:r w:rsidRPr="00E90E38">
        <w:rPr>
          <w:b/>
          <w:bCs/>
          <w:noProof/>
          <w:lang w:val="en-US"/>
        </w:rPr>
        <w:t>Lo’s modified R/S test</w:t>
      </w:r>
      <w:r w:rsidRPr="00E90E38">
        <w:rPr>
          <w:noProof/>
          <w:lang w:val="en-US"/>
        </w:rPr>
        <w:t xml:space="preserve">, and </w:t>
      </w:r>
      <w:r w:rsidRPr="00E90E38">
        <w:rPr>
          <w:b/>
          <w:bCs/>
          <w:noProof/>
          <w:lang w:val="en-US"/>
        </w:rPr>
        <w:t>Multifractal Detrended Fluctuation Analysis (MF-DFA)</w:t>
      </w:r>
      <w:r w:rsidRPr="00E90E38">
        <w:rPr>
          <w:noProof/>
          <w:lang w:val="en-US"/>
        </w:rPr>
        <w:t>.</w:t>
      </w:r>
    </w:p>
    <w:p w14:paraId="11479621" w14:textId="77777777" w:rsidR="00E90E38" w:rsidRPr="00E90E38" w:rsidRDefault="00E90E38" w:rsidP="00EB7093">
      <w:pPr>
        <w:spacing w:before="100" w:beforeAutospacing="1" w:after="100" w:afterAutospacing="1" w:line="480" w:lineRule="auto"/>
        <w:jc w:val="both"/>
        <w:outlineLvl w:val="3"/>
        <w:rPr>
          <w:b/>
          <w:bCs/>
          <w:noProof/>
          <w:lang w:val="en-US"/>
        </w:rPr>
      </w:pPr>
      <w:r w:rsidRPr="00E90E38">
        <w:rPr>
          <w:b/>
          <w:bCs/>
          <w:noProof/>
          <w:lang w:val="en-US"/>
        </w:rPr>
        <w:t>(a) Hurst exponent</w:t>
      </w:r>
    </w:p>
    <w:p w14:paraId="27EF7E97" w14:textId="4EB0C1E5" w:rsidR="00DC3A2A" w:rsidRPr="00EB34E3" w:rsidRDefault="00DC3A2A" w:rsidP="00EB7093">
      <w:pPr>
        <w:pStyle w:val="NormalWeb"/>
        <w:spacing w:line="480" w:lineRule="auto"/>
        <w:jc w:val="both"/>
        <w:rPr>
          <w:lang w:val="en-US"/>
        </w:rPr>
      </w:pPr>
      <w:r w:rsidRPr="00EB34E3">
        <w:rPr>
          <w:lang w:val="en-US"/>
        </w:rPr>
        <w:t xml:space="preserve">The Hurst exponent </w:t>
      </w:r>
      <m:oMath>
        <m:r>
          <w:rPr>
            <w:rFonts w:ascii="Cambria Math" w:hAnsi="Cambria Math"/>
            <w:lang w:val="en-US"/>
          </w:rPr>
          <m:t>H</m:t>
        </m:r>
      </m:oMath>
      <w:r w:rsidR="00EB34E3">
        <w:rPr>
          <w:lang w:val="en-US"/>
        </w:rPr>
        <w:t xml:space="preserve"> </w:t>
      </w:r>
      <w:r w:rsidRPr="00EB34E3">
        <w:rPr>
          <w:lang w:val="en-US"/>
        </w:rPr>
        <w:t>measures the degree of long</w:t>
      </w:r>
      <w:r w:rsidR="00406F3C">
        <w:rPr>
          <w:lang w:val="en-US"/>
        </w:rPr>
        <w:t xml:space="preserve"> m</w:t>
      </w:r>
      <w:r w:rsidR="007B3FE5">
        <w:rPr>
          <w:lang w:val="en-US"/>
        </w:rPr>
        <w:t>e</w:t>
      </w:r>
      <w:r w:rsidR="00406F3C">
        <w:rPr>
          <w:lang w:val="en-US"/>
        </w:rPr>
        <w:t>mory</w:t>
      </w:r>
      <w:r w:rsidRPr="00EB34E3">
        <w:rPr>
          <w:lang w:val="en-US"/>
        </w:rPr>
        <w:t xml:space="preserve"> dependence in a time series. Values around </w:t>
      </w:r>
      <m:oMath>
        <m:r>
          <w:rPr>
            <w:rFonts w:ascii="Cambria Math" w:hAnsi="Cambria Math"/>
            <w:lang w:val="en-US"/>
          </w:rPr>
          <m:t xml:space="preserve">H=0.5 </m:t>
        </m:r>
      </m:oMath>
      <w:r w:rsidRPr="00EB34E3">
        <w:rPr>
          <w:lang w:val="en-US"/>
        </w:rPr>
        <w:t xml:space="preserve">indicate absence of long-term correlation, </w:t>
      </w:r>
      <m:oMath>
        <m:r>
          <w:rPr>
            <w:rFonts w:ascii="Cambria Math" w:hAnsi="Cambria Math"/>
            <w:lang w:val="en-US"/>
          </w:rPr>
          <m:t xml:space="preserve">H&gt;0.5 </m:t>
        </m:r>
      </m:oMath>
      <w:r w:rsidRPr="00EB34E3">
        <w:rPr>
          <w:lang w:val="en-US"/>
        </w:rPr>
        <w:t xml:space="preserve">suggests persistence, and </w:t>
      </w:r>
      <m:oMath>
        <m:r>
          <w:rPr>
            <w:rFonts w:ascii="Cambria Math" w:hAnsi="Cambria Math"/>
            <w:lang w:val="en-US"/>
          </w:rPr>
          <m:t xml:space="preserve">H&lt;0.5 </m:t>
        </m:r>
      </m:oMath>
      <w:r w:rsidRPr="00EB34E3">
        <w:rPr>
          <w:lang w:val="en-US"/>
        </w:rPr>
        <w:t xml:space="preserve">indicates anti-persistence. We estimate </w:t>
      </w:r>
      <m:oMath>
        <m:r>
          <w:rPr>
            <w:rFonts w:ascii="Cambria Math" w:hAnsi="Cambria Math"/>
            <w:lang w:val="en-US"/>
          </w:rPr>
          <m:t xml:space="preserve">H  </m:t>
        </m:r>
      </m:oMath>
      <w:r w:rsidRPr="00EB34E3">
        <w:rPr>
          <w:lang w:val="en-US"/>
        </w:rPr>
        <w:t>using the classical rescaled-range (R/S) method (Mandelbrot and Wallis, 1969), a standard non-parametric approach for detecting deviations from short-memory behaviour.</w:t>
      </w:r>
    </w:p>
    <w:p w14:paraId="29D82606" w14:textId="77777777" w:rsidR="00DC3A2A" w:rsidRPr="00EB34E3" w:rsidRDefault="00DC3A2A" w:rsidP="00EB7093">
      <w:pPr>
        <w:pStyle w:val="NormalWeb"/>
        <w:spacing w:line="480" w:lineRule="auto"/>
        <w:jc w:val="both"/>
        <w:rPr>
          <w:lang w:val="en-US"/>
        </w:rPr>
      </w:pPr>
      <w:r w:rsidRPr="00EB34E3">
        <w:rPr>
          <w:lang w:val="en-US"/>
        </w:rPr>
        <w:t xml:space="preserve">For </w:t>
      </w:r>
      <w:r w:rsidRPr="00EB34E3">
        <w:rPr>
          <w:rStyle w:val="Textoennegrita"/>
          <w:rFonts w:eastAsiaTheme="majorEastAsia"/>
          <w:lang w:val="en-US"/>
        </w:rPr>
        <w:t>raw returns</w:t>
      </w:r>
      <w:r w:rsidRPr="00EB34E3">
        <w:rPr>
          <w:lang w:val="en-US"/>
        </w:rPr>
        <w:t xml:space="preserve">, estimated Hurst exponents cluster tightly around </w:t>
      </w:r>
      <m:oMath>
        <m:r>
          <w:rPr>
            <w:rFonts w:ascii="Cambria Math" w:hAnsi="Cambria Math"/>
            <w:lang w:val="en-US"/>
          </w:rPr>
          <m:t>0.50</m:t>
        </m:r>
      </m:oMath>
      <w:r w:rsidRPr="00EB34E3">
        <w:rPr>
          <w:lang w:val="en-US"/>
        </w:rPr>
        <w:t>–</w:t>
      </w:r>
      <m:oMath>
        <m:r>
          <w:rPr>
            <w:rFonts w:ascii="Cambria Math" w:hAnsi="Cambria Math"/>
            <w:lang w:val="en-US"/>
          </w:rPr>
          <m:t>0.53</m:t>
        </m:r>
      </m:oMath>
      <w:r w:rsidRPr="00EB34E3">
        <w:rPr>
          <w:lang w:val="en-US"/>
        </w:rPr>
        <w:t>, consistent with weak or negligible long-term dependence. This aligns with the typical behaviour reported in daily financial returns.</w:t>
      </w:r>
    </w:p>
    <w:p w14:paraId="2C78C049" w14:textId="3EDFD5FD" w:rsidR="00E90E38" w:rsidRPr="00E90E38" w:rsidRDefault="00DC3A2A" w:rsidP="00EB7093">
      <w:pPr>
        <w:pStyle w:val="NormalWeb"/>
        <w:spacing w:line="480" w:lineRule="auto"/>
        <w:jc w:val="both"/>
        <w:rPr>
          <w:lang w:val="en-US"/>
        </w:rPr>
      </w:pPr>
      <w:r w:rsidRPr="00EB34E3">
        <w:rPr>
          <w:lang w:val="en-US"/>
        </w:rPr>
        <w:lastRenderedPageBreak/>
        <w:t xml:space="preserve">For </w:t>
      </w:r>
      <w:r w:rsidRPr="00EB34E3">
        <w:rPr>
          <w:rStyle w:val="Textoennegrita"/>
          <w:rFonts w:eastAsiaTheme="majorEastAsia"/>
          <w:lang w:val="en-US"/>
        </w:rPr>
        <w:t>squared returns</w:t>
      </w:r>
      <w:r w:rsidRPr="00EB34E3">
        <w:rPr>
          <w:lang w:val="en-US"/>
        </w:rPr>
        <w:t>, however, estimated values are substantially higher</w:t>
      </w:r>
      <w:r w:rsidR="00EB34E3">
        <w:rPr>
          <w:lang w:val="en-US"/>
        </w:rPr>
        <w:t xml:space="preserve">, </w:t>
      </w:r>
      <w:r w:rsidRPr="00EB34E3">
        <w:rPr>
          <w:lang w:val="en-US"/>
        </w:rPr>
        <w:t xml:space="preserve">ranging from approximately </w:t>
      </w:r>
      <w:r w:rsidRPr="00EB34E3">
        <w:rPr>
          <w:rStyle w:val="Textoennegrita"/>
          <w:rFonts w:eastAsiaTheme="majorEastAsia"/>
          <w:lang w:val="en-US"/>
        </w:rPr>
        <w:t>0.65</w:t>
      </w:r>
      <w:r w:rsidRPr="00EB34E3">
        <w:rPr>
          <w:lang w:val="en-US"/>
        </w:rPr>
        <w:t xml:space="preserve"> (IBEX 35) to </w:t>
      </w:r>
      <w:r w:rsidRPr="00EB34E3">
        <w:rPr>
          <w:rStyle w:val="Textoennegrita"/>
          <w:rFonts w:eastAsiaTheme="majorEastAsia"/>
          <w:lang w:val="en-US"/>
        </w:rPr>
        <w:t>0.80</w:t>
      </w:r>
      <w:r w:rsidRPr="00EB34E3">
        <w:rPr>
          <w:lang w:val="en-US"/>
        </w:rPr>
        <w:t xml:space="preserve"> (Bitcoin). These figures indicate strong persistence in volatility, suggesting that the second moment exhibits lo</w:t>
      </w:r>
      <w:r w:rsidR="009C0704">
        <w:rPr>
          <w:lang w:val="en-US"/>
        </w:rPr>
        <w:t>ng memory</w:t>
      </w:r>
      <w:r w:rsidRPr="00EB34E3">
        <w:rPr>
          <w:lang w:val="en-US"/>
        </w:rPr>
        <w:t xml:space="preserve"> dependence even when the mean dynamics do not. This pattern</w:t>
      </w:r>
      <w:r w:rsidR="00D26AA3">
        <w:rPr>
          <w:lang w:val="en-US"/>
        </w:rPr>
        <w:t xml:space="preserve"> reflects</w:t>
      </w:r>
      <w:r w:rsidR="00680BEB">
        <w:rPr>
          <w:lang w:val="en-US"/>
        </w:rPr>
        <w:t xml:space="preserve"> </w:t>
      </w:r>
      <w:r w:rsidR="00D26AA3">
        <w:rPr>
          <w:lang w:val="en-US"/>
        </w:rPr>
        <w:t>v</w:t>
      </w:r>
      <w:r w:rsidRPr="00EB34E3">
        <w:rPr>
          <w:lang w:val="en-US"/>
        </w:rPr>
        <w:t>olatility clustering and provides preliminary motivation for long-memory volatility models such as FIGARCH.</w:t>
      </w:r>
    </w:p>
    <w:p w14:paraId="2F75723C" w14:textId="77777777" w:rsidR="00E90E38" w:rsidRPr="00E90E38" w:rsidRDefault="00E90E38" w:rsidP="00EB7093">
      <w:pPr>
        <w:spacing w:before="100" w:beforeAutospacing="1" w:after="100" w:afterAutospacing="1" w:line="480" w:lineRule="auto"/>
        <w:jc w:val="both"/>
        <w:outlineLvl w:val="3"/>
        <w:rPr>
          <w:b/>
          <w:bCs/>
          <w:noProof/>
          <w:lang w:val="en-US"/>
        </w:rPr>
      </w:pPr>
      <w:r w:rsidRPr="00E90E38">
        <w:rPr>
          <w:b/>
          <w:bCs/>
          <w:noProof/>
          <w:lang w:val="en-US"/>
        </w:rPr>
        <w:t>(b) Lo’s modified R/S test</w:t>
      </w:r>
    </w:p>
    <w:p w14:paraId="25C78857" w14:textId="77777777" w:rsidR="00EB34E3" w:rsidRPr="00EB34E3" w:rsidRDefault="00EB34E3" w:rsidP="00EB7093">
      <w:pPr>
        <w:pStyle w:val="NormalWeb"/>
        <w:spacing w:line="480" w:lineRule="auto"/>
        <w:jc w:val="both"/>
        <w:rPr>
          <w:lang w:val="en-US"/>
        </w:rPr>
      </w:pPr>
      <w:r w:rsidRPr="00EB34E3">
        <w:rPr>
          <w:lang w:val="en-US"/>
        </w:rPr>
        <w:t xml:space="preserve">The classical R/S statistic can be upward biased in the presence of short-term autocorrelation. To address this, Lo (1991) proposed a modified version that replaces the sample variance with a heteroskedasticity- and autocorrelation-consistent (HAC) estimator. Following Lo’s recommendation, we set the truncation lag to </w:t>
      </w:r>
      <m:oMath>
        <m:r>
          <w:rPr>
            <w:rFonts w:ascii="Cambria Math" w:hAnsi="Cambria Math"/>
            <w:lang w:val="en-US"/>
          </w:rPr>
          <m:t>q=⌊</m:t>
        </m:r>
        <m:sSup>
          <m:sSupPr>
            <m:ctrlPr>
              <w:rPr>
                <w:rFonts w:ascii="Cambria Math" w:hAnsi="Cambria Math"/>
                <w:lang w:val="en-US"/>
              </w:rPr>
            </m:ctrlPr>
          </m:sSupPr>
          <m:e>
            <m:r>
              <w:rPr>
                <w:rFonts w:ascii="Cambria Math" w:hAnsi="Cambria Math"/>
                <w:lang w:val="en-US"/>
              </w:rPr>
              <m:t>n</m:t>
            </m:r>
          </m:e>
          <m:sup>
            <m:r>
              <w:rPr>
                <w:rFonts w:ascii="Cambria Math" w:hAnsi="Cambria Math"/>
                <w:lang w:val="en-US"/>
              </w:rPr>
              <m:t>1</m:t>
            </m:r>
            <m:r>
              <m:rPr>
                <m:sty m:val="p"/>
              </m:rPr>
              <w:rPr>
                <w:rFonts w:ascii="Cambria Math" w:hAnsi="Cambria Math"/>
                <w:lang w:val="en-US"/>
              </w:rPr>
              <m:t>/</m:t>
            </m:r>
            <m:r>
              <w:rPr>
                <w:rFonts w:ascii="Cambria Math" w:hAnsi="Cambria Math"/>
                <w:lang w:val="en-US"/>
              </w:rPr>
              <m:t>3</m:t>
            </m:r>
          </m:sup>
        </m:sSup>
        <m:r>
          <w:rPr>
            <w:rFonts w:ascii="Cambria Math" w:hAnsi="Cambria Math"/>
            <w:lang w:val="en-US"/>
          </w:rPr>
          <m:t>⌋</m:t>
        </m:r>
      </m:oMath>
      <w:r w:rsidRPr="00EB34E3">
        <w:rPr>
          <w:lang w:val="en-US"/>
        </w:rPr>
        <w:t>, ensuring adequate correction for short-range dependence.</w:t>
      </w:r>
    </w:p>
    <w:p w14:paraId="72C627B3" w14:textId="4602468B" w:rsidR="00EB34E3" w:rsidRPr="00EB34E3" w:rsidRDefault="00EB34E3" w:rsidP="00EB7093">
      <w:pPr>
        <w:pStyle w:val="NormalWeb"/>
        <w:spacing w:line="480" w:lineRule="auto"/>
        <w:jc w:val="both"/>
        <w:rPr>
          <w:lang w:val="en-US"/>
        </w:rPr>
      </w:pPr>
      <w:r w:rsidRPr="00EB34E3">
        <w:rPr>
          <w:lang w:val="en-US"/>
        </w:rPr>
        <w:t>Under the null hypothesis of no long</w:t>
      </w:r>
      <w:r w:rsidR="00406F3C">
        <w:rPr>
          <w:lang w:val="en-US"/>
        </w:rPr>
        <w:t xml:space="preserve"> memory</w:t>
      </w:r>
      <w:r w:rsidRPr="00EB34E3">
        <w:rPr>
          <w:lang w:val="en-US"/>
        </w:rPr>
        <w:t xml:space="preserve"> dependence (</w:t>
      </w:r>
      <m:oMath>
        <m:r>
          <w:rPr>
            <w:rFonts w:ascii="Cambria Math" w:hAnsi="Cambria Math"/>
            <w:lang w:val="en-US"/>
          </w:rPr>
          <m:t>H=0.5</m:t>
        </m:r>
      </m:oMath>
      <w:r w:rsidRPr="00EB34E3">
        <w:rPr>
          <w:lang w:val="en-US"/>
        </w:rPr>
        <w:t xml:space="preserve">), the modified statistic </w:t>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n</m:t>
            </m:r>
          </m:sub>
        </m:sSub>
        <m:r>
          <w:rPr>
            <w:rFonts w:ascii="Cambria Math" w:hAnsi="Cambria Math"/>
            <w:lang w:val="en-US"/>
          </w:rPr>
          <m:t>(q)</m:t>
        </m:r>
      </m:oMath>
      <w:r w:rsidRPr="00EB34E3">
        <w:rPr>
          <w:lang w:val="en-US"/>
        </w:rPr>
        <w:t>should fall within the asymptotic interval</w:t>
      </w:r>
      <w:r w:rsidR="00D26AA3">
        <w:rPr>
          <w:lang w:val="en-US"/>
        </w:rPr>
        <w:t xml:space="preserve"> [0.809, 1.8</w:t>
      </w:r>
      <w:r w:rsidR="00FD1DDF">
        <w:rPr>
          <w:lang w:val="en-US"/>
        </w:rPr>
        <w:t>62]</w:t>
      </w:r>
      <w:r w:rsidRPr="00EB34E3">
        <w:rPr>
          <w:lang w:val="en-US"/>
        </w:rPr>
        <w:t>. Values outside this range indicate statistically significant long-memory behaviour.</w:t>
      </w:r>
    </w:p>
    <w:p w14:paraId="306A997F" w14:textId="68CAD197" w:rsidR="00E90E38" w:rsidRPr="00E90E38" w:rsidRDefault="00EB34E3" w:rsidP="00EB7093">
      <w:pPr>
        <w:pStyle w:val="NormalWeb"/>
        <w:spacing w:line="480" w:lineRule="auto"/>
        <w:jc w:val="both"/>
        <w:rPr>
          <w:lang w:val="en-US"/>
        </w:rPr>
      </w:pPr>
      <w:r w:rsidRPr="00EB34E3">
        <w:rPr>
          <w:lang w:val="en-US"/>
        </w:rPr>
        <w:t xml:space="preserve">For our data, the statistics for </w:t>
      </w:r>
      <w:r w:rsidRPr="00EB34E3">
        <w:rPr>
          <w:rStyle w:val="Textoennegrita"/>
          <w:lang w:val="en-US"/>
        </w:rPr>
        <w:t>raw returns</w:t>
      </w:r>
      <w:r w:rsidRPr="00EB34E3">
        <w:rPr>
          <w:lang w:val="en-US"/>
        </w:rPr>
        <w:t xml:space="preserve"> lie comfortably inside the interval, confirming short-memory dynamics. By contrast, the statistics for </w:t>
      </w:r>
      <w:r w:rsidRPr="00EB34E3">
        <w:rPr>
          <w:rStyle w:val="Textoennegrita"/>
          <w:lang w:val="en-US"/>
        </w:rPr>
        <w:t>squared returns</w:t>
      </w:r>
      <w:r w:rsidRPr="00EB34E3">
        <w:rPr>
          <w:lang w:val="en-US"/>
        </w:rPr>
        <w:t xml:space="preserve"> fall outside—typically above 2.0—providing strong evidence of long</w:t>
      </w:r>
      <w:r w:rsidR="00406F3C">
        <w:rPr>
          <w:lang w:val="en-US"/>
        </w:rPr>
        <w:t xml:space="preserve"> memory</w:t>
      </w:r>
      <w:r w:rsidRPr="00EB34E3">
        <w:rPr>
          <w:lang w:val="en-US"/>
        </w:rPr>
        <w:t xml:space="preserve"> dependence in volatility.</w:t>
      </w:r>
    </w:p>
    <w:p w14:paraId="048F69CB" w14:textId="77777777" w:rsidR="00E90E38" w:rsidRPr="00E90E38" w:rsidRDefault="00E90E38" w:rsidP="00EB7093">
      <w:pPr>
        <w:spacing w:before="100" w:beforeAutospacing="1" w:after="100" w:afterAutospacing="1" w:line="480" w:lineRule="auto"/>
        <w:jc w:val="both"/>
        <w:outlineLvl w:val="3"/>
        <w:rPr>
          <w:b/>
          <w:bCs/>
          <w:noProof/>
          <w:lang w:val="en-US"/>
        </w:rPr>
      </w:pPr>
      <w:r w:rsidRPr="00E90E38">
        <w:rPr>
          <w:b/>
          <w:bCs/>
          <w:noProof/>
          <w:lang w:val="en-US"/>
        </w:rPr>
        <w:t>(c) Multifractal Detrended Fluctuation Analysis (MF-DFA)</w:t>
      </w:r>
    </w:p>
    <w:p w14:paraId="0F1DDB25" w14:textId="44EC2FFA" w:rsidR="00EB34E3" w:rsidRPr="00EB34E3" w:rsidRDefault="00EB34E3" w:rsidP="00EB7093">
      <w:pPr>
        <w:pStyle w:val="NormalWeb"/>
        <w:spacing w:line="480" w:lineRule="auto"/>
        <w:jc w:val="both"/>
        <w:rPr>
          <w:lang w:val="en-US"/>
        </w:rPr>
      </w:pPr>
      <w:r w:rsidRPr="00EB34E3">
        <w:rPr>
          <w:lang w:val="en-US"/>
        </w:rPr>
        <w:t xml:space="preserve">While the Hurst and Lo diagnostics summarize persistence through a single parameter, MF-DFA examines how scaling </w:t>
      </w:r>
      <w:r w:rsidR="00B2616B" w:rsidRPr="00EB34E3">
        <w:rPr>
          <w:lang w:val="en-US"/>
        </w:rPr>
        <w:t>behavior</w:t>
      </w:r>
      <w:r w:rsidRPr="00EB34E3">
        <w:rPr>
          <w:lang w:val="en-US"/>
        </w:rPr>
        <w:t xml:space="preserve"> changes across different moments of the distribution</w:t>
      </w:r>
      <w:r w:rsidR="006E35FA">
        <w:rPr>
          <w:lang w:val="en-US"/>
        </w:rPr>
        <w:t xml:space="preserve"> </w:t>
      </w:r>
      <w:r w:rsidR="006E35FA">
        <w:t>(</w:t>
      </w:r>
      <w:proofErr w:type="spellStart"/>
      <w:r w:rsidR="006E35FA">
        <w:t>Kantelhardt</w:t>
      </w:r>
      <w:proofErr w:type="spellEnd"/>
      <w:r w:rsidR="006E35FA">
        <w:t xml:space="preserve"> et al., 2002). </w:t>
      </w:r>
      <w:r w:rsidRPr="00EB34E3">
        <w:rPr>
          <w:lang w:val="en-US"/>
        </w:rPr>
        <w:t xml:space="preserve">This makes it possible to detect </w:t>
      </w:r>
      <w:r w:rsidRPr="00EB34E3">
        <w:rPr>
          <w:rStyle w:val="Textoennegrita"/>
          <w:rFonts w:eastAsiaTheme="majorEastAsia"/>
          <w:lang w:val="en-US"/>
        </w:rPr>
        <w:t>multifractality</w:t>
      </w:r>
      <w:r w:rsidRPr="00EB34E3">
        <w:rPr>
          <w:lang w:val="en-US"/>
        </w:rPr>
        <w:t>, that is, whether calm and turbulent periods scale differently with time.</w:t>
      </w:r>
    </w:p>
    <w:p w14:paraId="3DBC2BDF" w14:textId="77777777" w:rsidR="007B3FE5" w:rsidRPr="007B3FE5" w:rsidRDefault="00EB34E3" w:rsidP="00EB7093">
      <w:pPr>
        <w:pStyle w:val="NormalWeb"/>
        <w:spacing w:line="480" w:lineRule="auto"/>
        <w:jc w:val="both"/>
        <w:rPr>
          <w:lang w:val="en-US"/>
        </w:rPr>
      </w:pPr>
      <w:r w:rsidRPr="00EB34E3">
        <w:rPr>
          <w:lang w:val="en-US"/>
        </w:rPr>
        <w:lastRenderedPageBreak/>
        <w:t xml:space="preserve">MF-DFA computes fluctuation functions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q</m:t>
            </m:r>
          </m:sub>
        </m:sSub>
        <m:r>
          <w:rPr>
            <w:rFonts w:ascii="Cambria Math" w:hAnsi="Cambria Math"/>
            <w:lang w:val="en-US"/>
          </w:rPr>
          <m:t xml:space="preserve">(s) </m:t>
        </m:r>
      </m:oMath>
      <w:r w:rsidRPr="00EB34E3">
        <w:rPr>
          <w:lang w:val="en-US"/>
        </w:rPr>
        <w:t xml:space="preserve">over windows of size </w:t>
      </w:r>
      <m:oMath>
        <m:r>
          <w:rPr>
            <w:rFonts w:ascii="Cambria Math" w:hAnsi="Cambria Math"/>
            <w:lang w:val="en-US"/>
          </w:rPr>
          <m:t xml:space="preserve">s </m:t>
        </m:r>
      </m:oMath>
      <w:r w:rsidRPr="00EB34E3">
        <w:rPr>
          <w:lang w:val="en-US"/>
        </w:rPr>
        <w:t xml:space="preserve">and estimates the scaling exponents </w:t>
      </w:r>
      <m:oMath>
        <m:r>
          <w:rPr>
            <w:rFonts w:ascii="Cambria Math" w:hAnsi="Cambria Math"/>
            <w:lang w:val="en-US"/>
          </w:rPr>
          <m:t xml:space="preserve">h(q) </m:t>
        </m:r>
      </m:oMath>
      <w:r w:rsidRPr="00EB34E3">
        <w:rPr>
          <w:lang w:val="en-US"/>
        </w:rPr>
        <w:t xml:space="preserve">from the relationship between </w:t>
      </w:r>
      <m:oMath>
        <m:r>
          <m:rPr>
            <m:sty m:val="p"/>
          </m:rPr>
          <w:rPr>
            <w:rFonts w:ascii="Cambria Math" w:hAnsi="Cambria Math"/>
            <w:lang w:val="en-US"/>
          </w:rPr>
          <m:t>log</m:t>
        </m:r>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q</m:t>
            </m:r>
          </m:sub>
        </m:sSub>
        <m:r>
          <w:rPr>
            <w:rFonts w:ascii="Cambria Math" w:hAnsi="Cambria Math"/>
            <w:lang w:val="en-US"/>
          </w:rPr>
          <m:t xml:space="preserve">(s) </m:t>
        </m:r>
      </m:oMath>
      <w:r w:rsidRPr="00EB34E3">
        <w:rPr>
          <w:lang w:val="en-US"/>
        </w:rPr>
        <w:t xml:space="preserve">and </w:t>
      </w:r>
      <m:oMath>
        <m:func>
          <m:funcPr>
            <m:ctrlPr>
              <w:rPr>
                <w:rFonts w:ascii="Cambria Math" w:hAnsi="Cambria Math"/>
                <w:lang w:val="en-US"/>
              </w:rPr>
            </m:ctrlPr>
          </m:funcPr>
          <m:fName>
            <m:r>
              <m:rPr>
                <m:sty m:val="p"/>
              </m:rPr>
              <w:rPr>
                <w:rFonts w:ascii="Cambria Math" w:hAnsi="Cambria Math"/>
                <w:lang w:val="en-US"/>
              </w:rPr>
              <m:t>log</m:t>
            </m:r>
          </m:fName>
          <m:e>
            <m:r>
              <w:rPr>
                <w:rFonts w:ascii="Cambria Math" w:hAnsi="Cambria Math"/>
                <w:lang w:val="en-US"/>
              </w:rPr>
              <m:t>s</m:t>
            </m:r>
          </m:e>
        </m:func>
      </m:oMath>
      <w:r w:rsidRPr="00EB34E3">
        <w:rPr>
          <w:lang w:val="en-US"/>
        </w:rPr>
        <w:t>.</w:t>
      </w:r>
      <w:r w:rsidRPr="00EB34E3">
        <w:rPr>
          <w:lang w:val="en-US"/>
        </w:rPr>
        <w:br/>
        <w:t xml:space="preserve">If </w:t>
      </w:r>
      <m:oMath>
        <m:r>
          <w:rPr>
            <w:rFonts w:ascii="Cambria Math" w:hAnsi="Cambria Math"/>
            <w:lang w:val="en-US"/>
          </w:rPr>
          <m:t xml:space="preserve">h(q) </m:t>
        </m:r>
      </m:oMath>
      <w:r w:rsidRPr="00EB34E3">
        <w:rPr>
          <w:lang w:val="en-US"/>
        </w:rPr>
        <w:t xml:space="preserve">is constant in </w:t>
      </w:r>
      <m:oMath>
        <m:r>
          <w:rPr>
            <w:rFonts w:ascii="Cambria Math" w:hAnsi="Cambria Math"/>
            <w:lang w:val="en-US"/>
          </w:rPr>
          <m:t>q</m:t>
        </m:r>
      </m:oMath>
      <w:r w:rsidRPr="00EB34E3">
        <w:rPr>
          <w:lang w:val="en-US"/>
        </w:rPr>
        <w:t xml:space="preserve">, the series is </w:t>
      </w:r>
      <w:proofErr w:type="spellStart"/>
      <w:r w:rsidRPr="00EB34E3">
        <w:rPr>
          <w:rStyle w:val="Textoennegrita"/>
          <w:rFonts w:eastAsiaTheme="majorEastAsia"/>
          <w:lang w:val="en-US"/>
        </w:rPr>
        <w:t>monofractal</w:t>
      </w:r>
      <w:proofErr w:type="spellEnd"/>
      <w:r w:rsidRPr="00EB34E3">
        <w:rPr>
          <w:lang w:val="en-US"/>
        </w:rPr>
        <w:t xml:space="preserve">; if it varies with </w:t>
      </w:r>
      <m:oMath>
        <m:r>
          <w:rPr>
            <w:rFonts w:ascii="Cambria Math" w:hAnsi="Cambria Math"/>
            <w:lang w:val="en-US"/>
          </w:rPr>
          <m:t>q</m:t>
        </m:r>
      </m:oMath>
      <w:r w:rsidRPr="00EB34E3">
        <w:rPr>
          <w:lang w:val="en-US"/>
        </w:rPr>
        <w:t xml:space="preserve">, the series is </w:t>
      </w:r>
      <w:r w:rsidRPr="00EB34E3">
        <w:rPr>
          <w:rStyle w:val="Textoennegrita"/>
          <w:rFonts w:eastAsiaTheme="majorEastAsia"/>
          <w:lang w:val="en-US"/>
        </w:rPr>
        <w:t>multifractal</w:t>
      </w:r>
      <w:r w:rsidRPr="00EB34E3">
        <w:rPr>
          <w:lang w:val="en-US"/>
        </w:rPr>
        <w:t xml:space="preserve">. </w:t>
      </w:r>
      <w:r w:rsidR="007B3FE5" w:rsidRPr="007B3FE5">
        <w:rPr>
          <w:lang w:val="en-US"/>
        </w:rPr>
        <w:t>We summarize multifractality using the width Δ</w:t>
      </w:r>
      <w:r w:rsidR="007B3FE5" w:rsidRPr="007B3FE5">
        <w:rPr>
          <w:i/>
          <w:iCs/>
          <w:lang w:val="en-US"/>
        </w:rPr>
        <w:t>h</w:t>
      </w:r>
      <w:r w:rsidR="007B3FE5" w:rsidRPr="007B3FE5">
        <w:rPr>
          <w:lang w:val="en-US"/>
        </w:rPr>
        <w:t>, which measures the dispersion of scaling exponents.</w:t>
      </w:r>
    </w:p>
    <w:p w14:paraId="75073BD9" w14:textId="7E87E07E" w:rsidR="00EB34E3" w:rsidRPr="00EB34E3" w:rsidRDefault="00EB34E3" w:rsidP="00EB7093">
      <w:pPr>
        <w:pStyle w:val="NormalWeb"/>
        <w:spacing w:line="480" w:lineRule="auto"/>
        <w:jc w:val="both"/>
        <w:rPr>
          <w:lang w:val="en-US"/>
        </w:rPr>
      </w:pPr>
      <w:r w:rsidRPr="00EB34E3">
        <w:rPr>
          <w:lang w:val="en-US"/>
        </w:rPr>
        <w:t>Applied to our data, MF-DFA yields two clear patterns:</w:t>
      </w:r>
    </w:p>
    <w:p w14:paraId="318FF57F" w14:textId="676EF4FF" w:rsidR="00EB34E3" w:rsidRPr="00C003A2" w:rsidRDefault="00EB34E3" w:rsidP="00EB7093">
      <w:pPr>
        <w:pStyle w:val="NormalWeb"/>
        <w:numPr>
          <w:ilvl w:val="0"/>
          <w:numId w:val="27"/>
        </w:numPr>
        <w:spacing w:line="480" w:lineRule="auto"/>
        <w:jc w:val="both"/>
        <w:rPr>
          <w:lang w:val="en-US"/>
        </w:rPr>
      </w:pPr>
      <w:r w:rsidRPr="00EB34E3">
        <w:rPr>
          <w:rStyle w:val="Textoennegrita"/>
          <w:rFonts w:eastAsiaTheme="majorEastAsia"/>
          <w:lang w:val="en-US"/>
        </w:rPr>
        <w:t>Returns:</w:t>
      </w:r>
      <w:r w:rsidRPr="00EB34E3">
        <w:rPr>
          <w:lang w:val="en-US"/>
        </w:rPr>
        <w:t xml:space="preserve"> the </w:t>
      </w:r>
      <w:r w:rsidR="006C1D7C">
        <w:rPr>
          <w:lang w:val="en-US"/>
        </w:rPr>
        <w:t xml:space="preserve">variation in </w:t>
      </w:r>
      <w:r w:rsidRPr="00EB34E3">
        <w:rPr>
          <w:lang w:val="en-US"/>
        </w:rPr>
        <w:t xml:space="preserve">spectra </w:t>
      </w:r>
      <m:oMath>
        <m:r>
          <w:rPr>
            <w:rFonts w:ascii="Cambria Math" w:hAnsi="Cambria Math"/>
            <w:lang w:val="en-US"/>
          </w:rPr>
          <m:t xml:space="preserve">h(q) </m:t>
        </m:r>
      </m:oMath>
      <w:r w:rsidRPr="00EB34E3">
        <w:rPr>
          <w:lang w:val="en-US"/>
        </w:rPr>
        <w:t xml:space="preserve"> (</w:t>
      </w:r>
      <m:oMath>
        <m:r>
          <m:rPr>
            <m:sty m:val="p"/>
          </m:rPr>
          <w:rPr>
            <w:rFonts w:ascii="Cambria Math" w:hAnsi="Cambria Math"/>
            <w:lang w:val="en-US"/>
          </w:rPr>
          <m:t>Δ</m:t>
        </m:r>
        <m:r>
          <w:rPr>
            <w:rFonts w:ascii="Cambria Math" w:hAnsi="Cambria Math"/>
            <w:lang w:val="en-US"/>
          </w:rPr>
          <m:t>h≈</m:t>
        </m:r>
        <m:r>
          <m:rPr>
            <m:sty m:val="p"/>
          </m:rPr>
          <w:rPr>
            <w:rFonts w:ascii="Cambria Math" w:hAnsi="Cambria Math"/>
          </w:rPr>
          <m:t>0.29-0.43</m:t>
        </m:r>
      </m:oMath>
      <w:r w:rsidRPr="00EB34E3">
        <w:rPr>
          <w:lang w:val="en-US"/>
        </w:rPr>
        <w:t xml:space="preserve">), </w:t>
      </w:r>
      <w:r w:rsidR="006C1D7C">
        <w:rPr>
          <w:lang w:val="en-US"/>
        </w:rPr>
        <w:t>indicates</w:t>
      </w:r>
      <w:r w:rsidRPr="00EB34E3">
        <w:rPr>
          <w:lang w:val="en-US"/>
        </w:rPr>
        <w:t xml:space="preserve"> </w:t>
      </w:r>
      <w:r w:rsidR="006C1D7C" w:rsidRPr="006C1D7C">
        <w:rPr>
          <w:lang w:val="en-US"/>
        </w:rPr>
        <w:t xml:space="preserve">mild but non-negligible multifractality </w:t>
      </w:r>
      <w:r w:rsidRPr="00EB34E3">
        <w:rPr>
          <w:lang w:val="en-US"/>
        </w:rPr>
        <w:t>consistent with short-memory dynamics.</w:t>
      </w:r>
      <w:r w:rsidR="002F7617">
        <w:rPr>
          <w:lang w:val="en-US"/>
        </w:rPr>
        <w:t xml:space="preserve"> </w:t>
      </w:r>
      <w:r w:rsidR="00DC258F" w:rsidRPr="00DC258F">
        <w:rPr>
          <w:b/>
          <w:bCs/>
          <w:lang w:val="en-US"/>
        </w:rPr>
        <w:t>Figure 1</w:t>
      </w:r>
      <w:r w:rsidR="00DC258F" w:rsidRPr="00DC258F">
        <w:rPr>
          <w:lang w:val="en-US"/>
        </w:rPr>
        <w:t xml:space="preserve"> illustrates this pattern</w:t>
      </w:r>
      <w:r w:rsidR="002F7617" w:rsidRPr="00DC258F">
        <w:rPr>
          <w:lang w:val="en-US"/>
        </w:rPr>
        <w:t>.</w:t>
      </w:r>
      <w:r w:rsidR="0038068D">
        <w:rPr>
          <w:lang w:val="en-US"/>
        </w:rPr>
        <w:t xml:space="preserve"> </w:t>
      </w:r>
      <w:r w:rsidR="00C003A2" w:rsidRPr="00C003A2">
        <w:rPr>
          <w:lang w:val="en-US"/>
        </w:rPr>
        <w:t>Although MF-DFA indicates mild multifractality in returns, this does not contradict the white-noise behavior documented by the ACF, Lo test, and ARFIMA estimates. It is well known that heavy-tailed but uncorrelated processes generate spurious multifractal spectra without implying long-range dependence. Therefore, the width of the MF-DFA spectrum for returns reflects distributional heterogeneity rather than genuine memory.</w:t>
      </w:r>
    </w:p>
    <w:p w14:paraId="6B454F7A" w14:textId="755AED98" w:rsidR="006C1D7C" w:rsidRPr="007B3FE5" w:rsidRDefault="00EB34E3" w:rsidP="006C1D7C">
      <w:pPr>
        <w:pStyle w:val="NormalWeb"/>
        <w:numPr>
          <w:ilvl w:val="0"/>
          <w:numId w:val="27"/>
        </w:numPr>
        <w:spacing w:line="480" w:lineRule="auto"/>
        <w:jc w:val="both"/>
        <w:rPr>
          <w:lang w:val="en-US"/>
        </w:rPr>
      </w:pPr>
      <w:r w:rsidRPr="006C1D7C">
        <w:rPr>
          <w:rStyle w:val="Textoennegrita"/>
          <w:rFonts w:eastAsiaTheme="majorEastAsia"/>
          <w:lang w:val="en-US"/>
        </w:rPr>
        <w:t>Squared returns:</w:t>
      </w:r>
      <w:r w:rsidRPr="006C1D7C">
        <w:rPr>
          <w:lang w:val="en-US"/>
        </w:rPr>
        <w:t xml:space="preserve"> the spectra are clearly curved and substantially wider (</w:t>
      </w:r>
      <m:oMath>
        <m:r>
          <m:rPr>
            <m:sty m:val="p"/>
          </m:rPr>
          <w:rPr>
            <w:rFonts w:ascii="Cambria Math" w:hAnsi="Cambria Math"/>
            <w:lang w:val="en-US"/>
          </w:rPr>
          <m:t>Δ</m:t>
        </m:r>
        <m:r>
          <w:rPr>
            <w:rFonts w:ascii="Cambria Math" w:hAnsi="Cambria Math"/>
            <w:lang w:val="en-US"/>
          </w:rPr>
          <m:t>h≈</m:t>
        </m:r>
        <m:r>
          <m:rPr>
            <m:sty m:val="p"/>
          </m:rPr>
          <w:rPr>
            <w:rFonts w:ascii="Cambria Math" w:hAnsi="Cambria Math"/>
          </w:rPr>
          <m:t>0.34-0.95</m:t>
        </m:r>
      </m:oMath>
      <w:r w:rsidRPr="006C1D7C">
        <w:rPr>
          <w:lang w:val="en-US"/>
        </w:rPr>
        <w:t>), consistent with multifractality and long</w:t>
      </w:r>
      <w:r w:rsidR="00406F3C" w:rsidRPr="006C1D7C">
        <w:rPr>
          <w:lang w:val="en-US"/>
        </w:rPr>
        <w:t xml:space="preserve"> memory</w:t>
      </w:r>
      <w:r w:rsidRPr="006C1D7C">
        <w:rPr>
          <w:lang w:val="en-US"/>
        </w:rPr>
        <w:t xml:space="preserve"> dependence in volatility.</w:t>
      </w:r>
      <w:r w:rsidR="002F7617" w:rsidRPr="006C1D7C">
        <w:rPr>
          <w:lang w:val="en-US"/>
        </w:rPr>
        <w:t xml:space="preserve"> </w:t>
      </w:r>
      <w:r w:rsidR="002F7617" w:rsidRPr="006C1D7C">
        <w:rPr>
          <w:b/>
          <w:bCs/>
          <w:lang w:val="en-US"/>
        </w:rPr>
        <w:t>Figure 2</w:t>
      </w:r>
      <w:r w:rsidR="002F7617" w:rsidRPr="006C1D7C">
        <w:rPr>
          <w:lang w:val="en-US"/>
        </w:rPr>
        <w:t xml:space="preserve"> illustrates this multifractal </w:t>
      </w:r>
      <w:r w:rsidR="00DC258F" w:rsidRPr="006C1D7C">
        <w:rPr>
          <w:lang w:val="en-US"/>
        </w:rPr>
        <w:t>behavior</w:t>
      </w:r>
      <w:r w:rsidR="002F7617" w:rsidRPr="006C1D7C">
        <w:rPr>
          <w:lang w:val="en-US"/>
        </w:rPr>
        <w:t xml:space="preserve">, </w:t>
      </w:r>
      <w:r w:rsidR="006C1D7C" w:rsidRPr="006C1D7C">
        <w:rPr>
          <w:lang w:val="en-US"/>
        </w:rPr>
        <w:t>with Bitcoin showing exceptionally wide spectra (Δh ≈ 0.95), consistent with strong multifractality.</w:t>
      </w:r>
      <w:r w:rsidR="0038068D">
        <w:rPr>
          <w:lang w:val="en-US"/>
        </w:rPr>
        <w:t xml:space="preserve"> </w:t>
      </w:r>
    </w:p>
    <w:p w14:paraId="2D1E2D9E" w14:textId="4D19B2E9" w:rsidR="00EB34E3" w:rsidRPr="006C1D7C" w:rsidRDefault="006C1D7C" w:rsidP="00EB7093">
      <w:pPr>
        <w:pStyle w:val="NormalWeb"/>
        <w:numPr>
          <w:ilvl w:val="0"/>
          <w:numId w:val="27"/>
        </w:numPr>
        <w:spacing w:line="480" w:lineRule="auto"/>
        <w:jc w:val="both"/>
        <w:rPr>
          <w:lang w:val="en-US"/>
        </w:rPr>
      </w:pPr>
      <w:r>
        <w:rPr>
          <w:lang w:val="en-US"/>
        </w:rPr>
        <w:t>T</w:t>
      </w:r>
      <w:r w:rsidR="007B3FE5" w:rsidRPr="006C1D7C">
        <w:rPr>
          <w:lang w:val="en-US"/>
        </w:rPr>
        <w:t>his non-parametric evidence will later serve as a benchmark against the FIGARCH estimates.</w:t>
      </w:r>
      <w:r w:rsidRPr="006C1D7C">
        <w:rPr>
          <w:lang w:val="en-US"/>
        </w:rPr>
        <w:t xml:space="preserve"> </w:t>
      </w:r>
      <w:r w:rsidR="00DC258F" w:rsidRPr="006C1D7C">
        <w:rPr>
          <w:lang w:val="en-US"/>
        </w:rPr>
        <w:t>These findings align with the Hurst and Lo tests</w:t>
      </w:r>
      <w:r w:rsidR="00EB34E3" w:rsidRPr="006C1D7C">
        <w:rPr>
          <w:lang w:val="en-US"/>
        </w:rPr>
        <w:t xml:space="preserve">: </w:t>
      </w:r>
      <w:r w:rsidR="00EB34E3" w:rsidRPr="006C1D7C">
        <w:rPr>
          <w:rStyle w:val="Textoennegrita"/>
          <w:rFonts w:eastAsiaTheme="majorEastAsia"/>
          <w:lang w:val="en-US"/>
        </w:rPr>
        <w:t xml:space="preserve">volatility displays </w:t>
      </w:r>
      <w:r>
        <w:rPr>
          <w:rStyle w:val="Textoennegrita"/>
          <w:rFonts w:eastAsiaTheme="majorEastAsia"/>
          <w:lang w:val="en-US"/>
        </w:rPr>
        <w:t xml:space="preserve">very clear </w:t>
      </w:r>
      <w:r w:rsidR="00EB34E3" w:rsidRPr="006C1D7C">
        <w:rPr>
          <w:rStyle w:val="Textoennegrita"/>
          <w:rFonts w:eastAsiaTheme="majorEastAsia"/>
          <w:lang w:val="en-US"/>
        </w:rPr>
        <w:t>persistent, multiscale dependence, whereas raw returns do not</w:t>
      </w:r>
      <w:r w:rsidR="00EB34E3" w:rsidRPr="006C1D7C">
        <w:rPr>
          <w:lang w:val="en-US"/>
        </w:rPr>
        <w:t>.</w:t>
      </w:r>
    </w:p>
    <w:p w14:paraId="3AD017C8" w14:textId="47D7722F" w:rsidR="00E90E38" w:rsidRPr="00E90E38" w:rsidRDefault="00E90E38" w:rsidP="00EB7093">
      <w:pPr>
        <w:spacing w:line="480" w:lineRule="auto"/>
        <w:jc w:val="both"/>
        <w:rPr>
          <w:noProof/>
          <w:lang w:val="en-US"/>
        </w:rPr>
      </w:pPr>
    </w:p>
    <w:p w14:paraId="5C2D257A" w14:textId="77777777" w:rsidR="00E90E38" w:rsidRPr="00E90E38" w:rsidRDefault="00E90E38" w:rsidP="00EB7093">
      <w:pPr>
        <w:spacing w:before="100" w:beforeAutospacing="1" w:after="100" w:afterAutospacing="1" w:line="480" w:lineRule="auto"/>
        <w:jc w:val="both"/>
        <w:outlineLvl w:val="2"/>
        <w:rPr>
          <w:b/>
          <w:bCs/>
          <w:noProof/>
          <w:sz w:val="27"/>
          <w:szCs w:val="27"/>
          <w:lang w:val="en-US"/>
        </w:rPr>
      </w:pPr>
      <w:r w:rsidRPr="00E90E38">
        <w:rPr>
          <w:b/>
          <w:bCs/>
          <w:noProof/>
          <w:sz w:val="27"/>
          <w:szCs w:val="27"/>
          <w:lang w:val="en-US"/>
        </w:rPr>
        <w:lastRenderedPageBreak/>
        <w:t>2.4. Summary of Diagnostics</w:t>
      </w:r>
    </w:p>
    <w:p w14:paraId="0F796100" w14:textId="77777777" w:rsidR="00EB34E3" w:rsidRPr="00EB34E3" w:rsidRDefault="00EB34E3" w:rsidP="00EB7093">
      <w:pPr>
        <w:pStyle w:val="NormalWeb"/>
        <w:spacing w:line="480" w:lineRule="auto"/>
        <w:jc w:val="both"/>
        <w:rPr>
          <w:lang w:val="en-US"/>
        </w:rPr>
      </w:pPr>
      <w:r w:rsidRPr="00EB34E3">
        <w:rPr>
          <w:lang w:val="en-US"/>
        </w:rPr>
        <w:t>Taken together, the long-memory diagnostics provide a coherent picture of the data:</w:t>
      </w:r>
    </w:p>
    <w:p w14:paraId="3E8AE8FC" w14:textId="76804C6D" w:rsidR="00EB34E3" w:rsidRPr="00EB34E3" w:rsidRDefault="00EB34E3" w:rsidP="00EB7093">
      <w:pPr>
        <w:pStyle w:val="NormalWeb"/>
        <w:numPr>
          <w:ilvl w:val="0"/>
          <w:numId w:val="28"/>
        </w:numPr>
        <w:spacing w:line="480" w:lineRule="auto"/>
        <w:jc w:val="both"/>
        <w:rPr>
          <w:lang w:val="en-US"/>
        </w:rPr>
      </w:pPr>
      <w:r w:rsidRPr="00EB34E3">
        <w:rPr>
          <w:rStyle w:val="Textoennegrita"/>
          <w:rFonts w:eastAsiaTheme="majorEastAsia"/>
          <w:lang w:val="en-US"/>
        </w:rPr>
        <w:t>Returns are stationary and</w:t>
      </w:r>
      <w:r w:rsidR="00433E6A">
        <w:rPr>
          <w:rStyle w:val="Textoennegrita"/>
          <w:rFonts w:eastAsiaTheme="majorEastAsia"/>
          <w:lang w:val="en-US"/>
        </w:rPr>
        <w:t xml:space="preserve"> </w:t>
      </w:r>
      <w:proofErr w:type="gramStart"/>
      <w:r w:rsidRPr="00EB34E3">
        <w:rPr>
          <w:rStyle w:val="Textoennegrita"/>
          <w:rFonts w:eastAsiaTheme="majorEastAsia"/>
          <w:lang w:val="en-US"/>
        </w:rPr>
        <w:t>short-memory</w:t>
      </w:r>
      <w:proofErr w:type="gramEnd"/>
      <w:r w:rsidRPr="00EB34E3">
        <w:rPr>
          <w:rStyle w:val="Textoennegrita"/>
          <w:rFonts w:eastAsiaTheme="majorEastAsia"/>
          <w:lang w:val="en-US"/>
        </w:rPr>
        <w:t>, while volatility is persistent.</w:t>
      </w:r>
      <w:r>
        <w:rPr>
          <w:lang w:val="en-US"/>
        </w:rPr>
        <w:t xml:space="preserve"> </w:t>
      </w:r>
      <w:r w:rsidRPr="00EB34E3">
        <w:rPr>
          <w:lang w:val="en-US"/>
        </w:rPr>
        <w:t>All tests indicate that raw returns behave as short-memory processes, whereas squared returns display clear long</w:t>
      </w:r>
      <w:r w:rsidR="00406F3C">
        <w:rPr>
          <w:lang w:val="en-US"/>
        </w:rPr>
        <w:t xml:space="preserve"> memory</w:t>
      </w:r>
      <w:r w:rsidRPr="00EB34E3">
        <w:rPr>
          <w:lang w:val="en-US"/>
        </w:rPr>
        <w:t xml:space="preserve"> dependence.</w:t>
      </w:r>
    </w:p>
    <w:p w14:paraId="7218D6EC" w14:textId="6DF172AD" w:rsidR="00EB34E3" w:rsidRPr="00EB34E3" w:rsidRDefault="00EB34E3" w:rsidP="00EB7093">
      <w:pPr>
        <w:pStyle w:val="NormalWeb"/>
        <w:numPr>
          <w:ilvl w:val="0"/>
          <w:numId w:val="28"/>
        </w:numPr>
        <w:spacing w:line="480" w:lineRule="auto"/>
        <w:jc w:val="both"/>
        <w:rPr>
          <w:lang w:val="en-US"/>
        </w:rPr>
      </w:pPr>
      <w:r w:rsidRPr="00EB34E3">
        <w:rPr>
          <w:rStyle w:val="Textoennegrita"/>
          <w:rFonts w:eastAsiaTheme="majorEastAsia"/>
          <w:lang w:val="en-US"/>
        </w:rPr>
        <w:t>Volatility exhibits a multifractal scaling structure.</w:t>
      </w:r>
      <w:r>
        <w:rPr>
          <w:lang w:val="en-US"/>
        </w:rPr>
        <w:t xml:space="preserve"> </w:t>
      </w:r>
      <w:r w:rsidRPr="00EB34E3">
        <w:rPr>
          <w:lang w:val="en-US"/>
        </w:rPr>
        <w:t xml:space="preserve">MF-DFA shows that persistence varies across moments and time scales, with wide </w:t>
      </w:r>
      <m:oMath>
        <m:r>
          <m:rPr>
            <m:sty m:val="p"/>
          </m:rPr>
          <w:rPr>
            <w:rFonts w:ascii="Cambria Math" w:hAnsi="Cambria Math"/>
            <w:lang w:val="en-US"/>
          </w:rPr>
          <m:t>Δ</m:t>
        </m:r>
        <m:r>
          <w:rPr>
            <w:rFonts w:ascii="Cambria Math" w:hAnsi="Cambria Math"/>
            <w:lang w:val="en-US"/>
          </w:rPr>
          <m:t xml:space="preserve">h </m:t>
        </m:r>
      </m:oMath>
      <w:r w:rsidRPr="00EB34E3">
        <w:rPr>
          <w:lang w:val="en-US"/>
        </w:rPr>
        <w:t>spectra for squared returns. This suggests that volatility dynamics cannot be fully summarised by a single persistence parameter.</w:t>
      </w:r>
    </w:p>
    <w:p w14:paraId="3DFA1199" w14:textId="367A3DF3" w:rsidR="00EB34E3" w:rsidRPr="00EB34E3" w:rsidRDefault="00EB34E3" w:rsidP="00EB7093">
      <w:pPr>
        <w:pStyle w:val="NormalWeb"/>
        <w:numPr>
          <w:ilvl w:val="0"/>
          <w:numId w:val="28"/>
        </w:numPr>
        <w:spacing w:line="480" w:lineRule="auto"/>
        <w:jc w:val="both"/>
        <w:rPr>
          <w:lang w:val="en-US"/>
        </w:rPr>
      </w:pPr>
      <w:r w:rsidRPr="00EB34E3">
        <w:rPr>
          <w:rStyle w:val="Textoennegrita"/>
          <w:rFonts w:eastAsiaTheme="majorEastAsia"/>
          <w:lang w:val="en-US"/>
        </w:rPr>
        <w:t>Persistence differs across assets in both degree and stability.</w:t>
      </w:r>
      <w:r>
        <w:rPr>
          <w:lang w:val="en-US"/>
        </w:rPr>
        <w:t xml:space="preserve"> </w:t>
      </w:r>
      <w:r w:rsidRPr="00EB34E3">
        <w:rPr>
          <w:lang w:val="en-US"/>
        </w:rPr>
        <w:t>Long-memory is strongest and most stable for Bitcoin and BOVESPA, weaker but still stable for S&amp;P 500 and IBEX 35, and unstable for Tesla, where regime shifts disrupt persistence patterns.</w:t>
      </w:r>
      <w:r w:rsidR="002F7617">
        <w:rPr>
          <w:lang w:val="en-US"/>
        </w:rPr>
        <w:t xml:space="preserve"> </w:t>
      </w:r>
      <w:r w:rsidR="002F7617" w:rsidRPr="002F7617">
        <w:rPr>
          <w:lang w:val="en-US"/>
        </w:rPr>
        <w:t xml:space="preserve">These results are summarized quantitatively in </w:t>
      </w:r>
      <w:r w:rsidR="002F7617" w:rsidRPr="002F7617">
        <w:rPr>
          <w:b/>
          <w:bCs/>
          <w:lang w:val="en-US"/>
        </w:rPr>
        <w:t>Table 1</w:t>
      </w:r>
      <w:r w:rsidR="002F7617" w:rsidRPr="002F7617">
        <w:rPr>
          <w:lang w:val="en-US"/>
        </w:rPr>
        <w:t>, which reports Hurst exponents and MF-DFA width estimates for all assets.</w:t>
      </w:r>
    </w:p>
    <w:p w14:paraId="79395819" w14:textId="283ADF2E" w:rsidR="005B5B64" w:rsidRPr="005B5B64" w:rsidRDefault="005B5B64" w:rsidP="00EB7093">
      <w:pPr>
        <w:spacing w:before="100" w:beforeAutospacing="1" w:after="100" w:afterAutospacing="1" w:line="480" w:lineRule="auto"/>
        <w:jc w:val="both"/>
        <w:outlineLvl w:val="1"/>
        <w:rPr>
          <w:lang w:val="en-US"/>
        </w:rPr>
      </w:pPr>
      <w:r w:rsidRPr="005B5B64">
        <w:rPr>
          <w:lang w:val="en-US"/>
        </w:rPr>
        <w:t xml:space="preserve">These findings have direct modelling implications. Long-memory models such as FIGARCH are appropriate for volatility but not for returns, and their usefulness varies across assets depending on the strength and temporal stability of persistence. ARFIMA serves </w:t>
      </w:r>
      <w:r>
        <w:rPr>
          <w:lang w:val="en-US"/>
        </w:rPr>
        <w:t xml:space="preserve">only </w:t>
      </w:r>
      <w:r w:rsidRPr="005B5B64">
        <w:rPr>
          <w:lang w:val="en-US"/>
        </w:rPr>
        <w:t>as an auxiliary specification, included to verify whether fractional integration is empirically relevant in the mean. This motivates the econometric analysis in the next section, where we estimate GARCH and FIGARCH models and evaluate their ability to capture and forecast the observed volatility dynamics.</w:t>
      </w:r>
    </w:p>
    <w:p w14:paraId="1900D7C8" w14:textId="77777777" w:rsidR="005B5B64" w:rsidRDefault="005B5B64" w:rsidP="00EB7093">
      <w:pPr>
        <w:spacing w:before="100" w:beforeAutospacing="1" w:after="100" w:afterAutospacing="1" w:line="480" w:lineRule="auto"/>
        <w:jc w:val="both"/>
        <w:outlineLvl w:val="1"/>
      </w:pPr>
    </w:p>
    <w:p w14:paraId="1EC3F56F" w14:textId="27F5BA82" w:rsidR="00E90E38" w:rsidRPr="00E90E38" w:rsidRDefault="00E90E38" w:rsidP="00EB7093">
      <w:pPr>
        <w:spacing w:before="100" w:beforeAutospacing="1" w:after="100" w:afterAutospacing="1" w:line="480" w:lineRule="auto"/>
        <w:jc w:val="both"/>
        <w:outlineLvl w:val="1"/>
        <w:rPr>
          <w:b/>
          <w:bCs/>
          <w:noProof/>
          <w:sz w:val="36"/>
          <w:szCs w:val="36"/>
          <w:lang w:val="en-US"/>
        </w:rPr>
      </w:pPr>
      <w:r w:rsidRPr="00E90E38">
        <w:rPr>
          <w:b/>
          <w:bCs/>
          <w:noProof/>
          <w:sz w:val="36"/>
          <w:szCs w:val="36"/>
          <w:lang w:val="en-US"/>
        </w:rPr>
        <w:lastRenderedPageBreak/>
        <w:t>3. Methodology</w:t>
      </w:r>
    </w:p>
    <w:p w14:paraId="411669EB" w14:textId="77777777" w:rsidR="005B5B64" w:rsidRPr="005B5B64" w:rsidRDefault="005B5B64" w:rsidP="00EB7093">
      <w:pPr>
        <w:pStyle w:val="NormalWeb"/>
        <w:spacing w:line="480" w:lineRule="auto"/>
        <w:jc w:val="both"/>
        <w:rPr>
          <w:lang w:val="en-US"/>
        </w:rPr>
      </w:pPr>
      <w:r w:rsidRPr="005B5B64">
        <w:rPr>
          <w:lang w:val="en-US"/>
        </w:rPr>
        <w:t>This section outlines the econometric framework used to assess short- and long-memory volatility dynamics, building directly on the diagnostic evidence reported in Section 2</w:t>
      </w:r>
      <w:r w:rsidR="003B3F14" w:rsidRPr="005B5B64">
        <w:rPr>
          <w:lang w:val="en-US"/>
        </w:rPr>
        <w:t>.</w:t>
      </w:r>
    </w:p>
    <w:p w14:paraId="57BF2B91" w14:textId="19DEDCBE" w:rsidR="003B3F14" w:rsidRPr="00A17F5C" w:rsidRDefault="003B3F14" w:rsidP="00EB7093">
      <w:pPr>
        <w:pStyle w:val="NormalWeb"/>
        <w:spacing w:line="480" w:lineRule="auto"/>
        <w:jc w:val="both"/>
        <w:rPr>
          <w:lang w:val="en-US"/>
        </w:rPr>
      </w:pPr>
      <w:r w:rsidRPr="003B3F14">
        <w:rPr>
          <w:lang w:val="en-US"/>
        </w:rPr>
        <w:t>The mean equation is modelled with ARIMA/ARFIMA specifications, while conditional variance dynamics are captured using GARCH and FIGARCH models. Estimation is performed by Gaussian quasi–maximum likelihood, and model performance is evaluated through in-sample, forecasting and risk-based criteria.</w:t>
      </w:r>
    </w:p>
    <w:p w14:paraId="5BF73B28" w14:textId="77777777" w:rsidR="003B3F14" w:rsidRPr="003B3F14" w:rsidRDefault="003B3F14" w:rsidP="00EB7093">
      <w:pPr>
        <w:pStyle w:val="Ttulo2"/>
        <w:spacing w:line="480" w:lineRule="auto"/>
        <w:jc w:val="both"/>
        <w:rPr>
          <w:rFonts w:ascii="Times New Roman" w:hAnsi="Times New Roman" w:cs="Times New Roman"/>
          <w:sz w:val="27"/>
          <w:szCs w:val="27"/>
          <w:lang w:val="en-US"/>
        </w:rPr>
      </w:pPr>
      <w:r w:rsidRPr="003B3F14">
        <w:rPr>
          <w:rStyle w:val="Textoennegrita"/>
          <w:rFonts w:ascii="Times New Roman" w:hAnsi="Times New Roman" w:cs="Times New Roman"/>
          <w:sz w:val="27"/>
          <w:szCs w:val="27"/>
          <w:lang w:val="en-US"/>
        </w:rPr>
        <w:t>3.1 Mean specification</w:t>
      </w:r>
    </w:p>
    <w:p w14:paraId="36A5536F" w14:textId="50E10D14" w:rsidR="003B3F14" w:rsidRDefault="00FD1DDF" w:rsidP="00EB7093">
      <w:pPr>
        <w:pStyle w:val="NormalWeb"/>
        <w:spacing w:line="480" w:lineRule="auto"/>
        <w:jc w:val="both"/>
        <w:rPr>
          <w:lang w:val="en-US"/>
        </w:rPr>
      </w:pPr>
      <w:r w:rsidRPr="00FD1DDF">
        <w:rPr>
          <w:lang w:val="en-US"/>
        </w:rPr>
        <w:t>The conditional mean of returns is modelled using ARIMA and ARFIMA specifications</w:t>
      </w:r>
      <w:r w:rsidR="003B3F14" w:rsidRPr="00FD1DDF">
        <w:rPr>
          <w:lang w:val="en-US"/>
        </w:rPr>
        <w:t>.</w:t>
      </w:r>
      <w:r w:rsidR="003B3F14">
        <w:rPr>
          <w:lang w:val="en-US"/>
        </w:rPr>
        <w:t xml:space="preserve"> </w:t>
      </w:r>
      <w:r w:rsidR="003B3F14" w:rsidRPr="003B3F14">
        <w:rPr>
          <w:lang w:val="en-US"/>
        </w:rPr>
        <w:t xml:space="preserve">ARIMA captures short-memory dependence, whereas ARFIMA allows for fractional integration via the parameter </w:t>
      </w:r>
      <m:oMath>
        <m:r>
          <w:rPr>
            <w:rFonts w:ascii="Cambria Math" w:hAnsi="Cambria Math"/>
            <w:lang w:val="en-US"/>
          </w:rPr>
          <m:t>d∈(-0.5,0.5)</m:t>
        </m:r>
      </m:oMath>
      <w:r w:rsidR="003B3F14" w:rsidRPr="003B3F14">
        <w:rPr>
          <w:lang w:val="en-US"/>
        </w:rPr>
        <w:t xml:space="preserve">, enabling a more flexible representation of weak persistence when present. </w:t>
      </w:r>
      <w:r w:rsidR="00A41583" w:rsidRPr="00A41583">
        <w:rPr>
          <w:lang w:val="en-US"/>
        </w:rPr>
        <w:t>Because the focus of the paper is on volatility rather than on mean dynamics, the mean equation is specified in a simple form and estimated jointly with the variance model. No pre-filtering or additional transformation of the return series is performed</w:t>
      </w:r>
      <w:r w:rsidR="003B3F14" w:rsidRPr="00A41583">
        <w:rPr>
          <w:lang w:val="en-US"/>
        </w:rPr>
        <w:t xml:space="preserve">. </w:t>
      </w:r>
      <w:r w:rsidR="003B3F14" w:rsidRPr="003B3F14">
        <w:rPr>
          <w:lang w:val="en-US"/>
        </w:rPr>
        <w:t xml:space="preserve">Models are estimated by maximum likelihood using the </w:t>
      </w:r>
      <w:r w:rsidR="003B3F14" w:rsidRPr="003B3F14">
        <w:rPr>
          <w:rStyle w:val="nfasis"/>
          <w:lang w:val="en-US"/>
        </w:rPr>
        <w:t>forecast</w:t>
      </w:r>
      <w:r w:rsidR="003B3F14" w:rsidRPr="003B3F14">
        <w:rPr>
          <w:lang w:val="en-US"/>
        </w:rPr>
        <w:t xml:space="preserve"> and </w:t>
      </w:r>
      <w:r w:rsidR="003B3F14" w:rsidRPr="003B3F14">
        <w:rPr>
          <w:rStyle w:val="nfasis"/>
          <w:lang w:val="en-US"/>
        </w:rPr>
        <w:t>fracdiff</w:t>
      </w:r>
      <w:r w:rsidR="003B3F14" w:rsidRPr="003B3F14">
        <w:rPr>
          <w:lang w:val="en-US"/>
        </w:rPr>
        <w:t xml:space="preserve"> packages.</w:t>
      </w:r>
    </w:p>
    <w:p w14:paraId="7F7EA45C" w14:textId="5E327E19" w:rsidR="003B3F14" w:rsidRPr="00A17F5C" w:rsidRDefault="005B5B64" w:rsidP="00EB7093">
      <w:pPr>
        <w:pStyle w:val="NormalWeb"/>
        <w:spacing w:line="480" w:lineRule="auto"/>
        <w:jc w:val="both"/>
        <w:rPr>
          <w:lang w:val="en-US"/>
        </w:rPr>
      </w:pPr>
      <w:r w:rsidRPr="005B5B64">
        <w:rPr>
          <w:lang w:val="en-US"/>
        </w:rPr>
        <w:t>Given the short-memory behavior of returns, ARFIMA play</w:t>
      </w:r>
      <w:r w:rsidR="00C26DBD">
        <w:rPr>
          <w:lang w:val="en-US"/>
        </w:rPr>
        <w:t>s</w:t>
      </w:r>
      <w:r w:rsidRPr="005B5B64">
        <w:rPr>
          <w:lang w:val="en-US"/>
        </w:rPr>
        <w:t xml:space="preserve"> a limited empirical role and is retained primarily for completeness purposes.</w:t>
      </w:r>
    </w:p>
    <w:p w14:paraId="387451DC" w14:textId="77777777" w:rsidR="003B3F14" w:rsidRPr="003B3F14" w:rsidRDefault="003B3F14" w:rsidP="00EB7093">
      <w:pPr>
        <w:pStyle w:val="Ttulo2"/>
        <w:spacing w:line="480" w:lineRule="auto"/>
        <w:jc w:val="both"/>
        <w:rPr>
          <w:rFonts w:ascii="Times New Roman" w:hAnsi="Times New Roman" w:cs="Times New Roman"/>
          <w:sz w:val="27"/>
          <w:szCs w:val="27"/>
          <w:lang w:val="en-US"/>
        </w:rPr>
      </w:pPr>
      <w:r w:rsidRPr="003B3F14">
        <w:rPr>
          <w:rStyle w:val="Textoennegrita"/>
          <w:rFonts w:ascii="Times New Roman" w:hAnsi="Times New Roman" w:cs="Times New Roman"/>
          <w:sz w:val="27"/>
          <w:szCs w:val="27"/>
          <w:lang w:val="en-US"/>
        </w:rPr>
        <w:t>3.2 GARCH volatility specification</w:t>
      </w:r>
    </w:p>
    <w:p w14:paraId="6B87FE67" w14:textId="18BBFEE8" w:rsidR="003B3F14" w:rsidRPr="00A17F5C" w:rsidRDefault="003B3F14" w:rsidP="00EB7093">
      <w:pPr>
        <w:pStyle w:val="NormalWeb"/>
        <w:spacing w:line="480" w:lineRule="auto"/>
        <w:jc w:val="both"/>
        <w:rPr>
          <w:lang w:val="en-US"/>
        </w:rPr>
      </w:pPr>
      <w:r w:rsidRPr="003B3F14">
        <w:rPr>
          <w:lang w:val="en-US"/>
        </w:rPr>
        <w:t xml:space="preserve">Short-memory volatility dynamics are represented by the standard </w:t>
      </w:r>
      <w:proofErr w:type="gramStart"/>
      <w:r w:rsidRPr="003B3F14">
        <w:rPr>
          <w:lang w:val="en-US"/>
        </w:rPr>
        <w:t>GARCH(</w:t>
      </w:r>
      <w:proofErr w:type="gramEnd"/>
      <w:r w:rsidRPr="003B3F14">
        <w:rPr>
          <w:lang w:val="en-US"/>
        </w:rPr>
        <w:t xml:space="preserve">1,1) model, in which conditional variance depends on past squared returns and past conditional </w:t>
      </w:r>
      <w:r w:rsidRPr="003B3F14">
        <w:rPr>
          <w:lang w:val="en-US"/>
        </w:rPr>
        <w:lastRenderedPageBreak/>
        <w:t>variance. This benchmark provides a natural point of comparison for assessing whether long-memory components offer additional explanatory or predictive power.</w:t>
      </w:r>
    </w:p>
    <w:p w14:paraId="5B37B3AC" w14:textId="77777777" w:rsidR="003B3F14" w:rsidRPr="003B3F14" w:rsidRDefault="003B3F14" w:rsidP="00EB7093">
      <w:pPr>
        <w:pStyle w:val="Ttulo2"/>
        <w:spacing w:line="480" w:lineRule="auto"/>
        <w:jc w:val="both"/>
        <w:rPr>
          <w:rFonts w:ascii="Times New Roman" w:hAnsi="Times New Roman" w:cs="Times New Roman"/>
          <w:sz w:val="27"/>
          <w:szCs w:val="27"/>
          <w:lang w:val="en-US"/>
        </w:rPr>
      </w:pPr>
      <w:r w:rsidRPr="003B3F14">
        <w:rPr>
          <w:rStyle w:val="Textoennegrita"/>
          <w:rFonts w:ascii="Times New Roman" w:hAnsi="Times New Roman" w:cs="Times New Roman"/>
          <w:sz w:val="27"/>
          <w:szCs w:val="27"/>
          <w:lang w:val="en-US"/>
        </w:rPr>
        <w:t>3.3 FIGARCH volatility specification</w:t>
      </w:r>
    </w:p>
    <w:p w14:paraId="02F4A9E0" w14:textId="0BD6FA39" w:rsidR="003B3F14" w:rsidRPr="003B3F14" w:rsidRDefault="003B3F14" w:rsidP="00EB7093">
      <w:pPr>
        <w:pStyle w:val="NormalWeb"/>
        <w:spacing w:line="480" w:lineRule="auto"/>
        <w:jc w:val="both"/>
        <w:rPr>
          <w:lang w:val="en-US"/>
        </w:rPr>
      </w:pPr>
      <w:r w:rsidRPr="003B3F14">
        <w:rPr>
          <w:lang w:val="en-US"/>
        </w:rPr>
        <w:t>Long</w:t>
      </w:r>
      <w:r w:rsidR="00406F3C">
        <w:rPr>
          <w:lang w:val="en-US"/>
        </w:rPr>
        <w:t xml:space="preserve"> memory</w:t>
      </w:r>
      <w:r w:rsidRPr="003B3F14">
        <w:rPr>
          <w:lang w:val="en-US"/>
        </w:rPr>
        <w:t xml:space="preserve"> dependence in volatility is modelled using the </w:t>
      </w:r>
      <w:proofErr w:type="gramStart"/>
      <w:r w:rsidRPr="003B3F14">
        <w:rPr>
          <w:lang w:val="en-US"/>
        </w:rPr>
        <w:t>FIGARCH(</w:t>
      </w:r>
      <w:proofErr w:type="gramEnd"/>
      <w:r w:rsidRPr="003B3F14">
        <w:rPr>
          <w:lang w:val="en-US"/>
        </w:rPr>
        <w:t>1,</w:t>
      </w:r>
      <m:oMath>
        <m:r>
          <w:rPr>
            <w:rFonts w:ascii="Cambria Math" w:hAnsi="Cambria Math"/>
            <w:lang w:val="en-US"/>
          </w:rPr>
          <m:t>d</m:t>
        </m:r>
      </m:oMath>
      <w:r w:rsidRPr="003B3F14">
        <w:rPr>
          <w:lang w:val="en-US"/>
        </w:rPr>
        <w:t>,1) specification (Baillie et al., 1996).</w:t>
      </w:r>
      <w:r>
        <w:rPr>
          <w:lang w:val="en-US"/>
        </w:rPr>
        <w:t xml:space="preserve"> </w:t>
      </w:r>
      <w:r w:rsidRPr="003B3F14">
        <w:rPr>
          <w:lang w:val="en-US"/>
        </w:rPr>
        <w:t xml:space="preserve">The central parameter is the fractional coefficient </w:t>
      </w:r>
      <m:oMath>
        <m:r>
          <w:rPr>
            <w:rFonts w:ascii="Cambria Math" w:hAnsi="Cambria Math"/>
            <w:lang w:val="en-US"/>
          </w:rPr>
          <m:t>d</m:t>
        </m:r>
      </m:oMath>
      <w:r w:rsidRPr="003B3F14">
        <w:rPr>
          <w:lang w:val="en-US"/>
        </w:rPr>
        <w:t xml:space="preserve">, which induces hyperbolic decay in volatility shocks, allowing for persistent but stationary variance dynamics. When </w:t>
      </w:r>
      <m:oMath>
        <m:r>
          <w:rPr>
            <w:rFonts w:ascii="Cambria Math" w:hAnsi="Cambria Math"/>
            <w:lang w:val="en-US"/>
          </w:rPr>
          <m:t>d=0</m:t>
        </m:r>
      </m:oMath>
      <w:r w:rsidRPr="003B3F14">
        <w:rPr>
          <w:lang w:val="en-US"/>
        </w:rPr>
        <w:t xml:space="preserve">, the model reduces to GARCH; as </w:t>
      </w:r>
      <m:oMath>
        <m:r>
          <w:rPr>
            <w:rFonts w:ascii="Cambria Math" w:hAnsi="Cambria Math"/>
            <w:lang w:val="en-US"/>
          </w:rPr>
          <m:t>d→1</m:t>
        </m:r>
      </m:oMath>
      <w:r w:rsidRPr="003B3F14">
        <w:rPr>
          <w:lang w:val="en-US"/>
        </w:rPr>
        <w:t>, behaviour approaches IGARCH. FIGARCH therefore enables persistent volatility to be captured with a single additional parameter.</w:t>
      </w:r>
    </w:p>
    <w:p w14:paraId="62BB4453" w14:textId="77777777" w:rsidR="003B3F14" w:rsidRPr="003B3F14" w:rsidRDefault="003B3F14" w:rsidP="00EB7093">
      <w:pPr>
        <w:pStyle w:val="Ttulo2"/>
        <w:spacing w:line="480" w:lineRule="auto"/>
        <w:jc w:val="both"/>
        <w:rPr>
          <w:rFonts w:ascii="Times New Roman" w:hAnsi="Times New Roman" w:cs="Times New Roman"/>
          <w:sz w:val="27"/>
          <w:szCs w:val="27"/>
          <w:lang w:val="en-US"/>
        </w:rPr>
      </w:pPr>
      <w:r w:rsidRPr="003B3F14">
        <w:rPr>
          <w:rStyle w:val="Textoennegrita"/>
          <w:rFonts w:ascii="Times New Roman" w:hAnsi="Times New Roman" w:cs="Times New Roman"/>
          <w:sz w:val="27"/>
          <w:szCs w:val="27"/>
          <w:lang w:val="en-US"/>
        </w:rPr>
        <w:t>3.4 Estimation</w:t>
      </w:r>
    </w:p>
    <w:p w14:paraId="4539161E" w14:textId="77777777" w:rsidR="003B3F14" w:rsidRPr="003B3F14" w:rsidRDefault="003B3F14" w:rsidP="00EB7093">
      <w:pPr>
        <w:pStyle w:val="NormalWeb"/>
        <w:spacing w:line="480" w:lineRule="auto"/>
        <w:jc w:val="both"/>
        <w:rPr>
          <w:lang w:val="en-US"/>
        </w:rPr>
      </w:pPr>
      <w:r w:rsidRPr="003B3F14">
        <w:rPr>
          <w:lang w:val="en-US"/>
        </w:rPr>
        <w:t xml:space="preserve">All volatility models are estimated jointly with their corresponding mean equations by Gaussian quasi–maximum likelihood using the </w:t>
      </w:r>
      <w:proofErr w:type="spellStart"/>
      <w:r w:rsidRPr="003B3F14">
        <w:rPr>
          <w:rStyle w:val="nfasis"/>
          <w:lang w:val="en-US"/>
        </w:rPr>
        <w:t>rugarch</w:t>
      </w:r>
      <w:proofErr w:type="spellEnd"/>
      <w:r w:rsidRPr="003B3F14">
        <w:rPr>
          <w:lang w:val="en-US"/>
        </w:rPr>
        <w:t xml:space="preserve"> package (</w:t>
      </w:r>
      <w:proofErr w:type="spellStart"/>
      <w:r w:rsidRPr="003B3F14">
        <w:rPr>
          <w:lang w:val="en-US"/>
        </w:rPr>
        <w:t>Ghalanos</w:t>
      </w:r>
      <w:proofErr w:type="spellEnd"/>
      <w:r w:rsidRPr="003B3F14">
        <w:rPr>
          <w:lang w:val="en-US"/>
        </w:rPr>
        <w:t>, 2023). The package provides numerically stable routines for GARCH-type models, including FIGARCH, and ensures comparability across specifications.</w:t>
      </w:r>
    </w:p>
    <w:p w14:paraId="6E2BB018" w14:textId="77777777" w:rsidR="003B3F14" w:rsidRPr="003B3F14" w:rsidRDefault="003B3F14" w:rsidP="00EB7093">
      <w:pPr>
        <w:pStyle w:val="Ttulo2"/>
        <w:spacing w:line="480" w:lineRule="auto"/>
        <w:jc w:val="both"/>
        <w:rPr>
          <w:rFonts w:ascii="Times New Roman" w:hAnsi="Times New Roman" w:cs="Times New Roman"/>
          <w:sz w:val="27"/>
          <w:szCs w:val="27"/>
          <w:lang w:val="en-US"/>
        </w:rPr>
      </w:pPr>
      <w:r w:rsidRPr="003B3F14">
        <w:rPr>
          <w:rStyle w:val="Textoennegrita"/>
          <w:rFonts w:ascii="Times New Roman" w:hAnsi="Times New Roman" w:cs="Times New Roman"/>
          <w:sz w:val="27"/>
          <w:szCs w:val="27"/>
          <w:lang w:val="en-US"/>
        </w:rPr>
        <w:t>3.5 Model comparison and evaluation criteria</w:t>
      </w:r>
    </w:p>
    <w:p w14:paraId="1D0F82DB" w14:textId="77777777" w:rsidR="003B3F14" w:rsidRPr="003B3F14" w:rsidRDefault="003B3F14" w:rsidP="00EB7093">
      <w:pPr>
        <w:pStyle w:val="NormalWeb"/>
        <w:spacing w:line="480" w:lineRule="auto"/>
        <w:jc w:val="both"/>
        <w:rPr>
          <w:lang w:val="en-US"/>
        </w:rPr>
      </w:pPr>
      <w:r w:rsidRPr="003B3F14">
        <w:rPr>
          <w:lang w:val="en-US"/>
        </w:rPr>
        <w:t>Model performance is evaluated along three complementary dimensions:</w:t>
      </w:r>
    </w:p>
    <w:p w14:paraId="771BC207" w14:textId="291546EF" w:rsidR="003B3F14" w:rsidRPr="003B3F14" w:rsidRDefault="003B3F14" w:rsidP="00EB7093">
      <w:pPr>
        <w:pStyle w:val="NormalWeb"/>
        <w:numPr>
          <w:ilvl w:val="0"/>
          <w:numId w:val="31"/>
        </w:numPr>
        <w:spacing w:line="480" w:lineRule="auto"/>
        <w:jc w:val="both"/>
        <w:rPr>
          <w:lang w:val="en-US"/>
        </w:rPr>
      </w:pPr>
      <w:r w:rsidRPr="003B3F14">
        <w:rPr>
          <w:rStyle w:val="Textoennegrita"/>
          <w:rFonts w:eastAsiaTheme="majorEastAsia"/>
          <w:lang w:val="en-US"/>
        </w:rPr>
        <w:t>In-sample fit.</w:t>
      </w:r>
      <w:r w:rsidRPr="003B3F14">
        <w:rPr>
          <w:lang w:val="en-US"/>
        </w:rPr>
        <w:t xml:space="preserve"> Akaike (AIC) and Bayesian (BIC) information criteria assess goodness of fit and penalize parameter proliferation.</w:t>
      </w:r>
    </w:p>
    <w:p w14:paraId="7EEF88C4" w14:textId="627E0571" w:rsidR="003B3F14" w:rsidRPr="003B3F14" w:rsidRDefault="003B3F14" w:rsidP="00EB7093">
      <w:pPr>
        <w:pStyle w:val="NormalWeb"/>
        <w:numPr>
          <w:ilvl w:val="0"/>
          <w:numId w:val="31"/>
        </w:numPr>
        <w:spacing w:line="480" w:lineRule="auto"/>
        <w:jc w:val="both"/>
        <w:rPr>
          <w:lang w:val="en-US"/>
        </w:rPr>
      </w:pPr>
      <w:r w:rsidRPr="003B3F14">
        <w:rPr>
          <w:rStyle w:val="Textoennegrita"/>
          <w:rFonts w:eastAsiaTheme="majorEastAsia"/>
          <w:lang w:val="en-US"/>
        </w:rPr>
        <w:t>Out-of-sample forecasting.</w:t>
      </w:r>
      <w:r w:rsidRPr="003B3F14">
        <w:rPr>
          <w:lang w:val="en-US"/>
        </w:rPr>
        <w:t xml:space="preserve"> One-step-ahead variance forecasts are evaluated using root mean squared error (RMSE) relative to realized volatility (squared returns).</w:t>
      </w:r>
    </w:p>
    <w:p w14:paraId="465EBBB7" w14:textId="77777777" w:rsidR="003B3F14" w:rsidRPr="003B3F14" w:rsidRDefault="003B3F14" w:rsidP="00EB7093">
      <w:pPr>
        <w:pStyle w:val="NormalWeb"/>
        <w:numPr>
          <w:ilvl w:val="0"/>
          <w:numId w:val="31"/>
        </w:numPr>
        <w:spacing w:line="480" w:lineRule="auto"/>
        <w:jc w:val="both"/>
        <w:rPr>
          <w:lang w:val="en-US"/>
        </w:rPr>
      </w:pPr>
      <w:r w:rsidRPr="003B3F14">
        <w:rPr>
          <w:rStyle w:val="Textoennegrita"/>
          <w:rFonts w:eastAsiaTheme="majorEastAsia"/>
          <w:lang w:val="en-US"/>
        </w:rPr>
        <w:lastRenderedPageBreak/>
        <w:t>Risk-based evaluation.</w:t>
      </w:r>
      <w:r w:rsidRPr="003B3F14">
        <w:rPr>
          <w:lang w:val="en-US"/>
        </w:rPr>
        <w:t xml:space="preserve"> Value-at-Risk (VaR) forecasts are assessed through failure rates and Kupiec’s unconditional coverage test, providing an economically meaningful comparison of tail-risk accuracy.</w:t>
      </w:r>
    </w:p>
    <w:p w14:paraId="40F73005" w14:textId="4D2F4D02" w:rsidR="00272BA6" w:rsidRPr="00C26DBD" w:rsidRDefault="00C26DBD" w:rsidP="00EB7093">
      <w:pPr>
        <w:pStyle w:val="NormalWeb"/>
        <w:spacing w:line="480" w:lineRule="auto"/>
        <w:jc w:val="both"/>
        <w:rPr>
          <w:lang w:val="en-US"/>
        </w:rPr>
      </w:pPr>
      <w:r w:rsidRPr="00C26DBD">
        <w:rPr>
          <w:lang w:val="en-US"/>
        </w:rPr>
        <w:t>These criteria jointly assess statistical fit and practical relevance.</w:t>
      </w:r>
    </w:p>
    <w:p w14:paraId="2B293E75" w14:textId="0F800D96" w:rsidR="003B3F14" w:rsidRPr="00A17F5C" w:rsidRDefault="00272BA6" w:rsidP="00EB7093">
      <w:pPr>
        <w:pStyle w:val="NormalWeb"/>
        <w:spacing w:line="480" w:lineRule="auto"/>
        <w:jc w:val="both"/>
        <w:rPr>
          <w:lang w:val="en-US"/>
        </w:rPr>
      </w:pPr>
      <w:r w:rsidRPr="00272BA6">
        <w:rPr>
          <w:lang w:val="en-US"/>
        </w:rPr>
        <w:t>For processes with long</w:t>
      </w:r>
      <w:r w:rsidR="00406F3C">
        <w:rPr>
          <w:lang w:val="en-US"/>
        </w:rPr>
        <w:t xml:space="preserve"> memory</w:t>
      </w:r>
      <w:r w:rsidRPr="00272BA6">
        <w:rPr>
          <w:lang w:val="en-US"/>
        </w:rPr>
        <w:t xml:space="preserve"> volatility persistence, the risk-based evaluation is particularly informative, because fractional dynamics are expected to affect tail quantiles more than point forecasts of variance.</w:t>
      </w:r>
    </w:p>
    <w:p w14:paraId="684DEAE3" w14:textId="77777777" w:rsidR="003B3F14" w:rsidRPr="003B3F14" w:rsidRDefault="003B3F14" w:rsidP="00EB7093">
      <w:pPr>
        <w:pStyle w:val="Ttulo3"/>
        <w:spacing w:line="480" w:lineRule="auto"/>
        <w:jc w:val="both"/>
        <w:rPr>
          <w:rFonts w:cs="Times New Roman"/>
          <w:sz w:val="24"/>
          <w:szCs w:val="24"/>
          <w:lang w:val="en-US"/>
        </w:rPr>
      </w:pPr>
      <w:r w:rsidRPr="003B3F14">
        <w:rPr>
          <w:rStyle w:val="Textoennegrita"/>
          <w:rFonts w:cs="Times New Roman"/>
          <w:sz w:val="24"/>
          <w:szCs w:val="24"/>
          <w:lang w:val="en-US"/>
        </w:rPr>
        <w:t>Forecast horizon</w:t>
      </w:r>
    </w:p>
    <w:p w14:paraId="0587510A" w14:textId="6D812FFC" w:rsidR="003B3F14" w:rsidRPr="00A17F5C" w:rsidRDefault="003B3F14" w:rsidP="00EB7093">
      <w:pPr>
        <w:pStyle w:val="NormalWeb"/>
        <w:spacing w:line="480" w:lineRule="auto"/>
        <w:jc w:val="both"/>
        <w:rPr>
          <w:lang w:val="en-US"/>
        </w:rPr>
      </w:pPr>
      <w:r w:rsidRPr="003B3F14">
        <w:rPr>
          <w:lang w:val="en-US"/>
        </w:rPr>
        <w:t>We focus on one-step-ahead volatility forecasts, which represent the standard benchmark in the volatility-forecasting literature and the basis of most risk-management applications. Multi-step forecasts are not considered</w:t>
      </w:r>
      <w:r w:rsidR="00680BEB">
        <w:rPr>
          <w:lang w:val="en-US"/>
        </w:rPr>
        <w:t>,</w:t>
      </w:r>
      <w:r w:rsidRPr="003B3F14">
        <w:rPr>
          <w:lang w:val="en-US"/>
        </w:rPr>
        <w:t xml:space="preserve"> because they compound parameter and filtering uncertainty, causing differences between models to be dominated by accumulated noise rather than by genuine persistence effects. Prior evidence shows that fractional models offer limited improvements at short or medium horizons, as tail-risk forecasts depend primarily on volatility levels and innovation distributions rather than on fine details of persistence. One-step-ahead forecasting therefore provides a clean and widely accepted basis for comparing GARCH and FIGARCH.</w:t>
      </w:r>
    </w:p>
    <w:p w14:paraId="333C9206" w14:textId="49A41735" w:rsidR="003B3F14" w:rsidRPr="003B3F14" w:rsidRDefault="003B3F14" w:rsidP="00EB7093">
      <w:pPr>
        <w:pStyle w:val="Ttulo2"/>
        <w:spacing w:line="480" w:lineRule="auto"/>
        <w:jc w:val="both"/>
        <w:rPr>
          <w:rFonts w:ascii="Times New Roman" w:hAnsi="Times New Roman" w:cs="Times New Roman"/>
          <w:sz w:val="27"/>
          <w:szCs w:val="27"/>
          <w:lang w:val="en-US"/>
        </w:rPr>
      </w:pPr>
      <w:r w:rsidRPr="003B3F14">
        <w:rPr>
          <w:rStyle w:val="Textoennegrita"/>
          <w:rFonts w:ascii="Times New Roman" w:hAnsi="Times New Roman" w:cs="Times New Roman"/>
          <w:sz w:val="27"/>
          <w:szCs w:val="27"/>
          <w:lang w:val="en-US"/>
        </w:rPr>
        <w:t>3.6 Computational considerations</w:t>
      </w:r>
    </w:p>
    <w:p w14:paraId="35BABC28" w14:textId="712DC915" w:rsidR="003B3F14" w:rsidRDefault="003B3F14" w:rsidP="00EB7093">
      <w:pPr>
        <w:pStyle w:val="NormalWeb"/>
        <w:spacing w:line="480" w:lineRule="auto"/>
        <w:jc w:val="both"/>
        <w:rPr>
          <w:lang w:val="en-US"/>
        </w:rPr>
      </w:pPr>
      <w:r w:rsidRPr="003B3F14">
        <w:rPr>
          <w:lang w:val="en-US"/>
        </w:rPr>
        <w:t>FIGARCH estimation is computationally more intensive than GARCH because fractional</w:t>
      </w:r>
      <w:r w:rsidR="00836A2E">
        <w:rPr>
          <w:lang w:val="en-US"/>
        </w:rPr>
        <w:t>-</w:t>
      </w:r>
      <w:r w:rsidRPr="003B3F14">
        <w:rPr>
          <w:lang w:val="en-US"/>
        </w:rPr>
        <w:t xml:space="preserve">differencing </w:t>
      </w:r>
      <w:r w:rsidR="00836A2E">
        <w:rPr>
          <w:lang w:val="en-US"/>
        </w:rPr>
        <w:t xml:space="preserve">parameter </w:t>
      </w:r>
      <w:r w:rsidR="00836A2E" w:rsidRPr="00836A2E">
        <w:rPr>
          <w:i/>
          <w:iCs/>
          <w:lang w:val="en-US"/>
        </w:rPr>
        <w:t>d</w:t>
      </w:r>
      <w:r w:rsidR="00836A2E">
        <w:rPr>
          <w:lang w:val="en-US"/>
        </w:rPr>
        <w:t xml:space="preserve"> </w:t>
      </w:r>
      <w:r w:rsidRPr="003B3F14">
        <w:rPr>
          <w:lang w:val="en-US"/>
        </w:rPr>
        <w:t xml:space="preserve">requires evaluation of an infinite-lag polynomial approximation at each iteration. Although runtime increases materially, it remains </w:t>
      </w:r>
      <w:r w:rsidRPr="003B3F14">
        <w:rPr>
          <w:lang w:val="en-US"/>
        </w:rPr>
        <w:lastRenderedPageBreak/>
        <w:t>manageable for daily data, and the added cost is offset by the ability of FIGARCH to capture persistent volatility using a single additional parameter.</w:t>
      </w:r>
    </w:p>
    <w:p w14:paraId="6CEED313" w14:textId="0EE0CEA2" w:rsidR="00FE0E85" w:rsidRPr="003B3F14" w:rsidRDefault="00FE0E85" w:rsidP="00EB7093">
      <w:pPr>
        <w:pStyle w:val="Ttulo2"/>
        <w:spacing w:line="480" w:lineRule="auto"/>
        <w:jc w:val="both"/>
        <w:rPr>
          <w:rFonts w:ascii="Times New Roman" w:hAnsi="Times New Roman" w:cs="Times New Roman"/>
          <w:sz w:val="27"/>
          <w:szCs w:val="27"/>
          <w:lang w:val="en-US"/>
        </w:rPr>
      </w:pPr>
      <w:r w:rsidRPr="003B3F14">
        <w:rPr>
          <w:rStyle w:val="Textoennegrita"/>
          <w:rFonts w:ascii="Times New Roman" w:hAnsi="Times New Roman" w:cs="Times New Roman"/>
          <w:sz w:val="27"/>
          <w:szCs w:val="27"/>
          <w:lang w:val="en-US"/>
        </w:rPr>
        <w:t>3.</w:t>
      </w:r>
      <w:r>
        <w:rPr>
          <w:rStyle w:val="Textoennegrita"/>
          <w:rFonts w:ascii="Times New Roman" w:hAnsi="Times New Roman" w:cs="Times New Roman"/>
          <w:sz w:val="27"/>
          <w:szCs w:val="27"/>
          <w:lang w:val="en-US"/>
        </w:rPr>
        <w:t>7</w:t>
      </w:r>
      <w:r w:rsidRPr="003B3F14">
        <w:rPr>
          <w:rStyle w:val="Textoennegrita"/>
          <w:rFonts w:ascii="Times New Roman" w:hAnsi="Times New Roman" w:cs="Times New Roman"/>
          <w:sz w:val="27"/>
          <w:szCs w:val="27"/>
          <w:lang w:val="en-US"/>
        </w:rPr>
        <w:t xml:space="preserve"> </w:t>
      </w:r>
      <w:r>
        <w:rPr>
          <w:rStyle w:val="Textoennegrita"/>
          <w:rFonts w:ascii="Times New Roman" w:hAnsi="Times New Roman" w:cs="Times New Roman"/>
          <w:sz w:val="27"/>
          <w:szCs w:val="27"/>
          <w:lang w:val="en-US"/>
        </w:rPr>
        <w:t>Replication and im</w:t>
      </w:r>
      <w:r w:rsidR="001B2FE0">
        <w:rPr>
          <w:rStyle w:val="Textoennegrita"/>
          <w:rFonts w:ascii="Times New Roman" w:hAnsi="Times New Roman" w:cs="Times New Roman"/>
          <w:sz w:val="27"/>
          <w:szCs w:val="27"/>
          <w:lang w:val="en-US"/>
        </w:rPr>
        <w:t>p</w:t>
      </w:r>
      <w:r>
        <w:rPr>
          <w:rStyle w:val="Textoennegrita"/>
          <w:rFonts w:ascii="Times New Roman" w:hAnsi="Times New Roman" w:cs="Times New Roman"/>
          <w:sz w:val="27"/>
          <w:szCs w:val="27"/>
          <w:lang w:val="en-US"/>
        </w:rPr>
        <w:t>lementation</w:t>
      </w:r>
    </w:p>
    <w:p w14:paraId="6A3273DE" w14:textId="25863020" w:rsidR="00FE0E85" w:rsidRPr="007B3FE5" w:rsidRDefault="00FE0E85" w:rsidP="00EB7093">
      <w:pPr>
        <w:pStyle w:val="NormalWeb"/>
        <w:spacing w:line="480" w:lineRule="auto"/>
        <w:jc w:val="both"/>
        <w:rPr>
          <w:lang w:val="en-US"/>
        </w:rPr>
      </w:pPr>
      <w:r w:rsidRPr="00FE0E85">
        <w:rPr>
          <w:lang w:val="en-US"/>
        </w:rPr>
        <w:br/>
      </w:r>
      <w:r w:rsidR="007B3FE5" w:rsidRPr="007B3FE5">
        <w:rPr>
          <w:lang w:val="en-US"/>
        </w:rPr>
        <w:t>All empirical results were generated through a fully scripted R pipeline ensuring replicability and consistency across specifications.</w:t>
      </w:r>
    </w:p>
    <w:p w14:paraId="689365B1" w14:textId="77777777" w:rsidR="00433E6A" w:rsidRDefault="00FE0E85" w:rsidP="00EB7093">
      <w:pPr>
        <w:pStyle w:val="NormalWeb"/>
        <w:spacing w:line="480" w:lineRule="auto"/>
        <w:jc w:val="both"/>
        <w:rPr>
          <w:lang w:val="en-US"/>
        </w:rPr>
      </w:pPr>
      <w:r w:rsidRPr="00FE0E85">
        <w:rPr>
          <w:lang w:val="en-US"/>
        </w:rPr>
        <w:t>The complete workflow is implemented in the replication package as a sequence of numbered modules (</w:t>
      </w:r>
      <w:r w:rsidRPr="00FE0E85">
        <w:rPr>
          <w:rStyle w:val="Textoennegrita"/>
          <w:rFonts w:eastAsiaTheme="majorEastAsia"/>
          <w:lang w:val="en-US"/>
        </w:rPr>
        <w:t>Blocks 01–07</w:t>
      </w:r>
      <w:r w:rsidRPr="00FE0E85">
        <w:rPr>
          <w:lang w:val="en-US"/>
        </w:rPr>
        <w:t xml:space="preserve">), orchestrated by the wrapper script </w:t>
      </w:r>
      <w:r w:rsidRPr="00FE0E85">
        <w:rPr>
          <w:rStyle w:val="CdigoHTML"/>
          <w:rFonts w:eastAsiaTheme="majorEastAsia"/>
          <w:lang w:val="en-US"/>
        </w:rPr>
        <w:t>run_all_replication.R</w:t>
      </w:r>
      <w:r w:rsidRPr="00FE0E85">
        <w:rPr>
          <w:lang w:val="en-US"/>
        </w:rPr>
        <w:t>.</w:t>
      </w:r>
    </w:p>
    <w:p w14:paraId="369DCA85" w14:textId="16E19EBD" w:rsidR="00FE0E85" w:rsidRPr="00FE0E85" w:rsidRDefault="00FE0E85" w:rsidP="00EB7093">
      <w:pPr>
        <w:pStyle w:val="NormalWeb"/>
        <w:spacing w:line="480" w:lineRule="auto"/>
        <w:jc w:val="both"/>
        <w:rPr>
          <w:lang w:val="en-US"/>
        </w:rPr>
      </w:pPr>
      <w:r w:rsidRPr="00FE0E85">
        <w:rPr>
          <w:lang w:val="en-US"/>
        </w:rPr>
        <w:br/>
        <w:t>The repository includes:</w:t>
      </w:r>
    </w:p>
    <w:p w14:paraId="5E6F2668" w14:textId="77777777" w:rsidR="00FE0E85" w:rsidRPr="00FE0E85" w:rsidRDefault="00FE0E85" w:rsidP="00EB7093">
      <w:pPr>
        <w:pStyle w:val="NormalWeb"/>
        <w:numPr>
          <w:ilvl w:val="0"/>
          <w:numId w:val="37"/>
        </w:numPr>
        <w:spacing w:line="480" w:lineRule="auto"/>
        <w:jc w:val="both"/>
        <w:rPr>
          <w:lang w:val="en-US"/>
        </w:rPr>
      </w:pPr>
      <w:r w:rsidRPr="00FE0E85">
        <w:rPr>
          <w:rStyle w:val="CdigoHTML"/>
          <w:rFonts w:eastAsiaTheme="majorEastAsia"/>
          <w:lang w:val="en-US"/>
        </w:rPr>
        <w:t>/code/</w:t>
      </w:r>
      <w:r w:rsidRPr="00FE0E85">
        <w:rPr>
          <w:lang w:val="en-US"/>
        </w:rPr>
        <w:t xml:space="preserve"> – all scripts for diagnostics, mean and variance modelling, MF-DFA, and VaR</w:t>
      </w:r>
    </w:p>
    <w:p w14:paraId="40A1C0E8" w14:textId="77777777" w:rsidR="00FE0E85" w:rsidRPr="00FE0E85" w:rsidRDefault="00FE0E85" w:rsidP="00EB7093">
      <w:pPr>
        <w:pStyle w:val="NormalWeb"/>
        <w:numPr>
          <w:ilvl w:val="0"/>
          <w:numId w:val="37"/>
        </w:numPr>
        <w:spacing w:line="480" w:lineRule="auto"/>
        <w:jc w:val="both"/>
        <w:rPr>
          <w:lang w:val="en-US"/>
        </w:rPr>
      </w:pPr>
      <w:r w:rsidRPr="00FE0E85">
        <w:rPr>
          <w:rStyle w:val="CdigoHTML"/>
          <w:rFonts w:eastAsiaTheme="majorEastAsia"/>
          <w:lang w:val="en-US"/>
        </w:rPr>
        <w:t>/</w:t>
      </w:r>
      <w:proofErr w:type="spellStart"/>
      <w:proofErr w:type="gramStart"/>
      <w:r w:rsidRPr="00FE0E85">
        <w:rPr>
          <w:rStyle w:val="CdigoHTML"/>
          <w:rFonts w:eastAsiaTheme="majorEastAsia"/>
          <w:lang w:val="en-US"/>
        </w:rPr>
        <w:t>run</w:t>
      </w:r>
      <w:proofErr w:type="gramEnd"/>
      <w:r w:rsidRPr="00FE0E85">
        <w:rPr>
          <w:rStyle w:val="CdigoHTML"/>
          <w:rFonts w:eastAsiaTheme="majorEastAsia"/>
          <w:lang w:val="en-US"/>
        </w:rPr>
        <w:t>_all_</w:t>
      </w:r>
      <w:proofErr w:type="gramStart"/>
      <w:r w:rsidRPr="00FE0E85">
        <w:rPr>
          <w:rStyle w:val="CdigoHTML"/>
          <w:rFonts w:eastAsiaTheme="majorEastAsia"/>
          <w:lang w:val="en-US"/>
        </w:rPr>
        <w:t>replication.R</w:t>
      </w:r>
      <w:proofErr w:type="spellEnd"/>
      <w:proofErr w:type="gramEnd"/>
      <w:r w:rsidRPr="00FE0E85">
        <w:rPr>
          <w:lang w:val="en-US"/>
        </w:rPr>
        <w:t xml:space="preserve"> – full pipeline execution</w:t>
      </w:r>
    </w:p>
    <w:p w14:paraId="60642AD8" w14:textId="77777777" w:rsidR="00FE0E85" w:rsidRPr="00FE0E85" w:rsidRDefault="00FE0E85" w:rsidP="00EB7093">
      <w:pPr>
        <w:pStyle w:val="NormalWeb"/>
        <w:spacing w:line="480" w:lineRule="auto"/>
        <w:jc w:val="both"/>
        <w:rPr>
          <w:lang w:val="en-US"/>
        </w:rPr>
      </w:pPr>
      <w:r w:rsidRPr="00FE0E85">
        <w:rPr>
          <w:lang w:val="en-US"/>
        </w:rPr>
        <w:t xml:space="preserve">The full package is available at: </w:t>
      </w:r>
    </w:p>
    <w:p w14:paraId="18724AB8" w14:textId="38EDF9A4" w:rsidR="00FE0E85" w:rsidRPr="00FE0E85" w:rsidRDefault="00C50883" w:rsidP="00EB7093">
      <w:pPr>
        <w:pStyle w:val="NormalWeb"/>
        <w:spacing w:line="480" w:lineRule="auto"/>
        <w:jc w:val="both"/>
        <w:rPr>
          <w:lang w:val="en-US"/>
        </w:rPr>
      </w:pPr>
      <w:hyperlink r:id="rId9" w:history="1">
        <w:r w:rsidRPr="009534F1">
          <w:rPr>
            <w:rStyle w:val="Hipervnculo"/>
            <w:rFonts w:eastAsiaTheme="majorEastAsia"/>
            <w:lang w:val="en-US"/>
          </w:rPr>
          <w:t>https://github.com/Pplew/irfa-long-memory-volatility</w:t>
        </w:r>
      </w:hyperlink>
      <w:r>
        <w:rPr>
          <w:rStyle w:val="Textoennegrita"/>
          <w:rFonts w:eastAsiaTheme="majorEastAsia"/>
          <w:lang w:val="en-US"/>
        </w:rPr>
        <w:t xml:space="preserve"> or</w:t>
      </w:r>
    </w:p>
    <w:p w14:paraId="3006FAC0" w14:textId="79B11781" w:rsidR="00C50883" w:rsidRDefault="00C50883" w:rsidP="00EB7093">
      <w:pPr>
        <w:pStyle w:val="NormalWeb"/>
        <w:spacing w:line="480" w:lineRule="auto"/>
      </w:pPr>
      <w:r>
        <w:rPr>
          <w:rStyle w:val="Textoennegrita"/>
          <w:rFonts w:eastAsiaTheme="majorEastAsia"/>
        </w:rPr>
        <w:t>Zenodo:</w:t>
      </w:r>
      <w:r>
        <w:t xml:space="preserve"> </w:t>
      </w:r>
      <w:hyperlink r:id="rId10" w:history="1">
        <w:r w:rsidR="00BB0E7D" w:rsidRPr="009534F1">
          <w:rPr>
            <w:rStyle w:val="Hipervnculo"/>
          </w:rPr>
          <w:t>https://doi.org/10.5281/zenodo.17771383</w:t>
        </w:r>
      </w:hyperlink>
    </w:p>
    <w:p w14:paraId="363954F6" w14:textId="19DFB8C3" w:rsidR="00FE0E85" w:rsidRPr="003B3F14" w:rsidRDefault="00C50883" w:rsidP="00EB7093">
      <w:pPr>
        <w:pStyle w:val="NormalWeb"/>
        <w:spacing w:line="480" w:lineRule="auto"/>
        <w:jc w:val="both"/>
        <w:rPr>
          <w:lang w:val="en-US"/>
        </w:rPr>
      </w:pPr>
      <w:r w:rsidRPr="00C50883">
        <w:rPr>
          <w:lang w:val="en-US"/>
        </w:rPr>
        <w:t>The repository contains all scripts and outputs required to fully reproduce the empirical results in this paper.</w:t>
      </w:r>
    </w:p>
    <w:p w14:paraId="26E65D42" w14:textId="77777777" w:rsidR="00E90E38" w:rsidRPr="00E90E38" w:rsidRDefault="00E90E38" w:rsidP="00EB7093">
      <w:pPr>
        <w:spacing w:before="100" w:beforeAutospacing="1" w:after="100" w:afterAutospacing="1" w:line="480" w:lineRule="auto"/>
        <w:jc w:val="both"/>
        <w:outlineLvl w:val="1"/>
        <w:rPr>
          <w:b/>
          <w:bCs/>
          <w:noProof/>
          <w:sz w:val="36"/>
          <w:szCs w:val="36"/>
          <w:lang w:val="en-US"/>
        </w:rPr>
      </w:pPr>
      <w:r w:rsidRPr="00E90E38">
        <w:rPr>
          <w:b/>
          <w:bCs/>
          <w:noProof/>
          <w:sz w:val="36"/>
          <w:szCs w:val="36"/>
          <w:lang w:val="en-US"/>
        </w:rPr>
        <w:t>4. Empirical Results</w:t>
      </w:r>
    </w:p>
    <w:p w14:paraId="48684C5C" w14:textId="787E0773" w:rsidR="00272BA6" w:rsidRPr="00272BA6" w:rsidRDefault="00272BA6" w:rsidP="00EB7093">
      <w:pPr>
        <w:spacing w:before="100" w:beforeAutospacing="1" w:after="100" w:afterAutospacing="1" w:line="480" w:lineRule="auto"/>
        <w:jc w:val="both"/>
        <w:rPr>
          <w:lang w:val="en-US"/>
        </w:rPr>
      </w:pPr>
      <w:r w:rsidRPr="00272BA6">
        <w:rPr>
          <w:lang w:val="en-US"/>
        </w:rPr>
        <w:lastRenderedPageBreak/>
        <w:t>Before turning to conditional variance, we estimated ARIMA and ARFIMA specifications for the mean of returns. Across all assets, ARFIMA produced fractional</w:t>
      </w:r>
      <w:r w:rsidR="00836A2E">
        <w:rPr>
          <w:lang w:val="en-US"/>
        </w:rPr>
        <w:t>-</w:t>
      </w:r>
      <w:r w:rsidRPr="00272BA6">
        <w:rPr>
          <w:lang w:val="en-US"/>
        </w:rPr>
        <w:t xml:space="preserve">differencing parameter </w:t>
      </w:r>
      <w:r w:rsidRPr="00836A2E">
        <w:rPr>
          <w:i/>
          <w:iCs/>
          <w:lang w:val="en-US"/>
        </w:rPr>
        <w:t xml:space="preserve">d </w:t>
      </w:r>
      <w:r w:rsidRPr="00272BA6">
        <w:rPr>
          <w:lang w:val="en-US"/>
        </w:rPr>
        <w:t xml:space="preserve">close to zero and did not improve AIC or BIC relative to parsimonious ARIMA models. This confirms that returns behave as short-memory processes and supports </w:t>
      </w:r>
      <w:r>
        <w:rPr>
          <w:lang w:val="en-US"/>
        </w:rPr>
        <w:t xml:space="preserve">focusing on volatility for </w:t>
      </w:r>
      <w:r w:rsidRPr="00272BA6">
        <w:rPr>
          <w:lang w:val="en-US"/>
        </w:rPr>
        <w:t>the remainder of the analysis.</w:t>
      </w:r>
    </w:p>
    <w:p w14:paraId="064C5D0E" w14:textId="7E861317" w:rsidR="00272BA6" w:rsidRPr="00E90E38" w:rsidRDefault="00272BA6" w:rsidP="00EB7093">
      <w:pPr>
        <w:spacing w:before="100" w:beforeAutospacing="1" w:after="100" w:afterAutospacing="1" w:line="480" w:lineRule="auto"/>
        <w:jc w:val="both"/>
        <w:rPr>
          <w:noProof/>
          <w:lang w:val="en-US"/>
        </w:rPr>
      </w:pPr>
      <w:r w:rsidRPr="00E90E38">
        <w:rPr>
          <w:noProof/>
          <w:lang w:val="en-US"/>
        </w:rPr>
        <w:t>This section presents the results of the empirical estimations for the five assets under study. It is organized as follows: Section 4.1 reports the in-sample fit and parameter estimates of GARCH and FIGARCH models; Section 4.2 analyzes their out-of-sample forecasting accuracy; Section 4.3 discusses the structural consistency of FIGARCH with the multifractal evidence obtained in Section 2; and Section 4.4 examines the particular case of Tesla, where FIGARCH collapses to the IGARCH limit.</w:t>
      </w:r>
    </w:p>
    <w:p w14:paraId="5258595B" w14:textId="3EDFFEA7" w:rsidR="00E90E38" w:rsidRPr="00E90E38" w:rsidRDefault="00E90E38" w:rsidP="00EB7093">
      <w:pPr>
        <w:spacing w:line="480" w:lineRule="auto"/>
        <w:jc w:val="both"/>
        <w:rPr>
          <w:noProof/>
          <w:lang w:val="en-US"/>
        </w:rPr>
      </w:pPr>
    </w:p>
    <w:p w14:paraId="2268E2AF" w14:textId="77777777" w:rsidR="00E90E38" w:rsidRPr="00E90E38" w:rsidRDefault="00E90E38" w:rsidP="00EB7093">
      <w:pPr>
        <w:spacing w:before="100" w:beforeAutospacing="1" w:after="100" w:afterAutospacing="1" w:line="480" w:lineRule="auto"/>
        <w:jc w:val="both"/>
        <w:outlineLvl w:val="2"/>
        <w:rPr>
          <w:b/>
          <w:bCs/>
          <w:noProof/>
          <w:sz w:val="27"/>
          <w:szCs w:val="27"/>
          <w:lang w:val="en-US"/>
        </w:rPr>
      </w:pPr>
      <w:r w:rsidRPr="00E90E38">
        <w:rPr>
          <w:b/>
          <w:bCs/>
          <w:noProof/>
          <w:sz w:val="27"/>
          <w:szCs w:val="27"/>
          <w:lang w:val="en-US"/>
        </w:rPr>
        <w:t>4.1. In-sample estimation and model fit</w:t>
      </w:r>
    </w:p>
    <w:p w14:paraId="2CCD1942" w14:textId="24A7759F" w:rsidR="00E90E38" w:rsidRPr="00E90E38" w:rsidRDefault="00E90E38" w:rsidP="00EB7093">
      <w:pPr>
        <w:spacing w:before="100" w:beforeAutospacing="1" w:after="100" w:afterAutospacing="1" w:line="480" w:lineRule="auto"/>
        <w:jc w:val="both"/>
        <w:rPr>
          <w:noProof/>
          <w:lang w:val="en-US"/>
        </w:rPr>
      </w:pPr>
      <w:r w:rsidRPr="002F7617">
        <w:rPr>
          <w:b/>
          <w:bCs/>
          <w:noProof/>
          <w:lang w:val="en-US"/>
        </w:rPr>
        <w:t>Table 2</w:t>
      </w:r>
      <w:r w:rsidRPr="00E90E38">
        <w:rPr>
          <w:noProof/>
          <w:lang w:val="en-US"/>
        </w:rPr>
        <w:t xml:space="preserve"> summarizes the main estimation results for GARCH(1,1) and FIGARCH(1,</w:t>
      </w:r>
      <w:r w:rsidR="00CE4DEF">
        <w:rPr>
          <w:noProof/>
          <w:lang w:val="en-US"/>
        </w:rPr>
        <w:t xml:space="preserve"> </w:t>
      </w:r>
      <w:r w:rsidRPr="00E90E38">
        <w:rPr>
          <w:noProof/>
          <w:lang w:val="en-US"/>
        </w:rPr>
        <w:t>d,</w:t>
      </w:r>
      <w:r w:rsidR="00CE4DEF">
        <w:rPr>
          <w:noProof/>
          <w:lang w:val="en-US"/>
        </w:rPr>
        <w:t xml:space="preserve"> </w:t>
      </w:r>
      <w:r w:rsidRPr="00E90E38">
        <w:rPr>
          <w:noProof/>
          <w:lang w:val="en-US"/>
        </w:rPr>
        <w:t xml:space="preserve">1) models. Parameter estimates are significant and conform to theoretical constraints for all assets except Tesla, where the FIGARCH model often fails to converge or estimates an implausible </w:t>
      </w:r>
      <m:oMath>
        <m:r>
          <w:rPr>
            <w:rFonts w:ascii="Cambria Math" w:hAnsi="Cambria Math"/>
            <w:noProof/>
            <w:lang w:val="en-US"/>
          </w:rPr>
          <m:t>d≈1</m:t>
        </m:r>
      </m:oMath>
      <w:r w:rsidRPr="00E90E38">
        <w:rPr>
          <w:noProof/>
          <w:lang w:val="en-US"/>
        </w:rPr>
        <w:t>.</w:t>
      </w:r>
    </w:p>
    <w:p w14:paraId="0940CA82" w14:textId="753CDA65" w:rsidR="00DD1249" w:rsidRPr="00E90E38" w:rsidRDefault="00DD1249" w:rsidP="00EB7093">
      <w:pPr>
        <w:spacing w:before="100" w:beforeAutospacing="1" w:after="100" w:afterAutospacing="1" w:line="480" w:lineRule="auto"/>
        <w:jc w:val="both"/>
        <w:rPr>
          <w:noProof/>
          <w:lang w:val="en-US"/>
        </w:rPr>
      </w:pPr>
      <w:r w:rsidRPr="00DD1249">
        <w:rPr>
          <w:lang w:val="en-US"/>
        </w:rPr>
        <w:t xml:space="preserve">The estimated </w:t>
      </w:r>
      <m:oMath>
        <m:r>
          <w:rPr>
            <w:rFonts w:ascii="Cambria Math" w:hAnsi="Cambria Math"/>
            <w:lang w:val="en-US"/>
          </w:rPr>
          <m:t xml:space="preserve">d </m:t>
        </m:r>
      </m:oMath>
      <w:r w:rsidRPr="00DD1249">
        <w:rPr>
          <w:lang w:val="en-US"/>
        </w:rPr>
        <w:t xml:space="preserve">parameters indicate varying degrees of volatility persistence across assets. Higher </w:t>
      </w:r>
      <m:oMath>
        <m:r>
          <w:rPr>
            <w:rFonts w:ascii="Cambria Math" w:hAnsi="Cambria Math"/>
            <w:lang w:val="en-US"/>
          </w:rPr>
          <m:t xml:space="preserve">d </m:t>
        </m:r>
      </m:oMath>
      <w:r w:rsidRPr="00DD1249">
        <w:rPr>
          <w:lang w:val="en-US"/>
        </w:rPr>
        <w:t>values correspond to moderate long-memory behaviour, while lower values suggest only weak persistence. This pattern is broadly consistent with the MF-DFA evidence, where Bitcoin and BOVESPA exhibit smoother scaling spectra and the S&amp;P 500 and IBEX 35 show near-monofractal profiles.</w:t>
      </w:r>
    </w:p>
    <w:p w14:paraId="22636CB8" w14:textId="77777777" w:rsidR="00D43F60" w:rsidRDefault="00E90E38" w:rsidP="00EB7093">
      <w:pPr>
        <w:spacing w:before="100" w:beforeAutospacing="1" w:after="100" w:afterAutospacing="1" w:line="480" w:lineRule="auto"/>
        <w:jc w:val="both"/>
        <w:rPr>
          <w:noProof/>
          <w:lang w:val="en-US"/>
        </w:rPr>
      </w:pPr>
      <w:r w:rsidRPr="00E90E38">
        <w:rPr>
          <w:b/>
          <w:bCs/>
          <w:noProof/>
          <w:lang w:val="en-US"/>
        </w:rPr>
        <w:lastRenderedPageBreak/>
        <w:t>AIC and BIC comparison.</w:t>
      </w:r>
    </w:p>
    <w:p w14:paraId="39408A75" w14:textId="42E3F94E" w:rsidR="00E90E38" w:rsidRPr="00E90E38" w:rsidRDefault="002F7617" w:rsidP="00EB7093">
      <w:pPr>
        <w:spacing w:line="480" w:lineRule="auto"/>
        <w:jc w:val="both"/>
        <w:rPr>
          <w:noProof/>
          <w:lang w:val="en-US"/>
        </w:rPr>
      </w:pPr>
      <w:r w:rsidRPr="002F7617">
        <w:rPr>
          <w:b/>
          <w:bCs/>
          <w:lang w:val="en-US"/>
        </w:rPr>
        <w:t>Table 2</w:t>
      </w:r>
      <w:r w:rsidRPr="002F7617">
        <w:rPr>
          <w:lang w:val="en-US"/>
        </w:rPr>
        <w:t xml:space="preserve"> reports the full set of information criteria for GARCH and FIGARCH across all assets. </w:t>
      </w:r>
      <w:r w:rsidR="00DD1249" w:rsidRPr="00DD1249">
        <w:rPr>
          <w:lang w:val="en-US"/>
        </w:rPr>
        <w:t xml:space="preserve">For Tesla, the FIGARCH estimation does not converge, making comparison impossible. </w:t>
      </w:r>
      <w:r w:rsidR="00DD1249">
        <w:rPr>
          <w:lang w:val="en-US"/>
        </w:rPr>
        <w:t>As shown in Table 2, f</w:t>
      </w:r>
      <w:r w:rsidR="00DD1249" w:rsidRPr="00DD1249">
        <w:rPr>
          <w:lang w:val="en-US"/>
        </w:rPr>
        <w:t>or the remaining assets, both information criteria consistently favor FIGARCH, although the magnitude of improvement differs. AIC values are marginally lower for assets with stable and persistent volatility (e.g., Bitcoin and BOVESPA), while BIC differences are quantitatively negligible in all cases. The neutrality of BIC indicates that the slight improvement in fit provided by the fractional parameter is insufficient to compensate for the additional model complexity.</w:t>
      </w:r>
    </w:p>
    <w:p w14:paraId="7C0C6DC9" w14:textId="77777777" w:rsidR="00E90E38" w:rsidRPr="00E90E38" w:rsidRDefault="00E90E38" w:rsidP="00EB7093">
      <w:pPr>
        <w:spacing w:before="100" w:beforeAutospacing="1" w:after="100" w:afterAutospacing="1" w:line="480" w:lineRule="auto"/>
        <w:jc w:val="both"/>
        <w:outlineLvl w:val="2"/>
        <w:rPr>
          <w:b/>
          <w:bCs/>
          <w:noProof/>
          <w:sz w:val="27"/>
          <w:szCs w:val="27"/>
          <w:lang w:val="en-US"/>
        </w:rPr>
      </w:pPr>
      <w:r w:rsidRPr="00E90E38">
        <w:rPr>
          <w:b/>
          <w:bCs/>
          <w:noProof/>
          <w:sz w:val="27"/>
          <w:szCs w:val="27"/>
          <w:lang w:val="en-US"/>
        </w:rPr>
        <w:t>4.2. Out-of-sample forecasting performance</w:t>
      </w:r>
    </w:p>
    <w:p w14:paraId="03DCBC92"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To evaluate predictive performance, one-step-ahead variance forecasts were computed for the out-of-sample (OOS) segment—10 % of the total sample. Table 2 reports the </w:t>
      </w:r>
      <w:r w:rsidRPr="00E90E38">
        <w:rPr>
          <w:b/>
          <w:bCs/>
          <w:noProof/>
          <w:lang w:val="en-US"/>
        </w:rPr>
        <w:t>Root Mean Squared Error (RMSE)</w:t>
      </w:r>
      <w:r w:rsidRPr="00E90E38">
        <w:rPr>
          <w:noProof/>
          <w:lang w:val="en-US"/>
        </w:rPr>
        <w:t xml:space="preserve"> of predicted versus realized volatility (squared returns).</w:t>
      </w:r>
    </w:p>
    <w:p w14:paraId="463AECF4" w14:textId="56A8DE08"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The RMSE results confirm that </w:t>
      </w:r>
      <w:r w:rsidRPr="00E90E38">
        <w:rPr>
          <w:b/>
          <w:bCs/>
          <w:noProof/>
          <w:lang w:val="en-US"/>
        </w:rPr>
        <w:t>differences between GARCH and FIGARCH are small</w:t>
      </w:r>
      <w:r w:rsidRPr="00E90E38">
        <w:rPr>
          <w:noProof/>
          <w:lang w:val="en-US"/>
        </w:rPr>
        <w:t xml:space="preserve">. </w:t>
      </w:r>
      <w:r w:rsidR="002F7617" w:rsidRPr="002F7617">
        <w:rPr>
          <w:lang w:val="en-US"/>
        </w:rPr>
        <w:t xml:space="preserve">The RMSE values shown in </w:t>
      </w:r>
      <w:r w:rsidR="002F7617" w:rsidRPr="002F7617">
        <w:rPr>
          <w:b/>
          <w:bCs/>
          <w:lang w:val="en-US"/>
        </w:rPr>
        <w:t>Table 2</w:t>
      </w:r>
      <w:r w:rsidR="002F7617" w:rsidRPr="002F7617">
        <w:rPr>
          <w:lang w:val="en-US"/>
        </w:rPr>
        <w:t xml:space="preserve"> indicate that the predictive gains of FIGARCH are modest and statistically negligible for most assets.</w:t>
      </w:r>
      <w:r w:rsidR="002F7617">
        <w:t xml:space="preserve"> </w:t>
      </w:r>
      <w:r w:rsidRPr="00E90E38">
        <w:rPr>
          <w:noProof/>
          <w:lang w:val="en-US"/>
        </w:rPr>
        <w:t xml:space="preserve">For Bitcoin and BOVESPA, FIGARCH yields an RMSE reduction of </w:t>
      </w:r>
      <w:r w:rsidR="00DD1249">
        <w:rPr>
          <w:noProof/>
          <w:lang w:val="en-US"/>
        </w:rPr>
        <w:t xml:space="preserve">roughly </w:t>
      </w:r>
      <w:r w:rsidRPr="00E90E38">
        <w:rPr>
          <w:noProof/>
          <w:lang w:val="en-US"/>
        </w:rPr>
        <w:t>1–3 %, while for the S&amp;P 500 and IBEX 35 both models perform equivalently. In Tesla, forecasts from FIGARCH are unreliable due to parameter instability.</w:t>
      </w:r>
    </w:p>
    <w:p w14:paraId="5DA12428" w14:textId="5989DC04"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This limited gain echoes </w:t>
      </w:r>
      <w:r w:rsidR="00C26DBD">
        <w:rPr>
          <w:noProof/>
          <w:lang w:val="en-US"/>
        </w:rPr>
        <w:t>earlier</w:t>
      </w:r>
      <w:r w:rsidRPr="00E90E38">
        <w:rPr>
          <w:noProof/>
          <w:lang w:val="en-US"/>
        </w:rPr>
        <w:t xml:space="preserve"> findings (e.g., Bollerslev &amp; Mikkelsen 1996; Andersen et al. 2006): long-memory models describe persistence more accurately but seldom improve short-horizon volatility forecasts. The improvement is more interpretive than predictive.</w:t>
      </w:r>
    </w:p>
    <w:p w14:paraId="09F4F25E" w14:textId="77777777" w:rsidR="00E90E38" w:rsidRPr="00E90E38" w:rsidRDefault="00E90E38" w:rsidP="00EB7093">
      <w:pPr>
        <w:spacing w:before="100" w:beforeAutospacing="1" w:after="100" w:afterAutospacing="1" w:line="480" w:lineRule="auto"/>
        <w:jc w:val="both"/>
        <w:outlineLvl w:val="3"/>
        <w:rPr>
          <w:b/>
          <w:bCs/>
          <w:noProof/>
          <w:lang w:val="en-US"/>
        </w:rPr>
      </w:pPr>
      <w:r w:rsidRPr="00E90E38">
        <w:rPr>
          <w:b/>
          <w:bCs/>
          <w:noProof/>
          <w:lang w:val="en-US"/>
        </w:rPr>
        <w:lastRenderedPageBreak/>
        <w:t>Forecast bias and residual analysis</w:t>
      </w:r>
    </w:p>
    <w:p w14:paraId="1C64E264" w14:textId="77777777" w:rsidR="00DD1249" w:rsidRPr="00DD1249" w:rsidRDefault="00DD1249" w:rsidP="00EB7093">
      <w:pPr>
        <w:spacing w:before="100" w:beforeAutospacing="1" w:after="100" w:afterAutospacing="1" w:line="480" w:lineRule="auto"/>
        <w:jc w:val="both"/>
        <w:rPr>
          <w:lang w:val="en-US"/>
        </w:rPr>
      </w:pPr>
      <w:r w:rsidRPr="00DD1249">
        <w:rPr>
          <w:lang w:val="en-US"/>
        </w:rPr>
        <w:t>Autocorrelation diagnostics on squared standardized residuals revealed no significant dependence for any asset where FIGARCH estimation converged, indicating that conditional variance dynamics were well captured. For Tesla, the FIGARCH model did not converge, so residual analysis was not applicable.</w:t>
      </w:r>
    </w:p>
    <w:p w14:paraId="2EC621AE" w14:textId="1BEF52FA" w:rsidR="00E90E38" w:rsidRPr="00E90E38" w:rsidRDefault="00DD1249" w:rsidP="00EB7093">
      <w:pPr>
        <w:spacing w:line="480" w:lineRule="auto"/>
        <w:jc w:val="both"/>
        <w:rPr>
          <w:noProof/>
          <w:lang w:val="en-US"/>
        </w:rPr>
      </w:pPr>
      <w:r w:rsidRPr="00DD1249">
        <w:rPr>
          <w:lang w:val="en-US"/>
        </w:rPr>
        <w:t>The original return series display excess kurtosis and clear departures from normality, reflecting the well-known fat-tailed nature of financial data. Since both models rely on Gaussian innovations, this non-normality is transmitted to standardized residuals and affects GARCH and FIGARCH similarly, implying that departures from Gaussianity are not the main source of performance differences.</w:t>
      </w:r>
    </w:p>
    <w:p w14:paraId="0206CEC8" w14:textId="77777777" w:rsidR="00E90E38" w:rsidRPr="00E90E38" w:rsidRDefault="00E90E38" w:rsidP="00EB7093">
      <w:pPr>
        <w:spacing w:before="100" w:beforeAutospacing="1" w:after="100" w:afterAutospacing="1" w:line="480" w:lineRule="auto"/>
        <w:jc w:val="both"/>
        <w:outlineLvl w:val="2"/>
        <w:rPr>
          <w:b/>
          <w:bCs/>
          <w:noProof/>
          <w:sz w:val="27"/>
          <w:szCs w:val="27"/>
          <w:lang w:val="en-US"/>
        </w:rPr>
      </w:pPr>
      <w:r w:rsidRPr="00E90E38">
        <w:rPr>
          <w:b/>
          <w:bCs/>
          <w:noProof/>
          <w:sz w:val="27"/>
          <w:szCs w:val="27"/>
          <w:lang w:val="en-US"/>
        </w:rPr>
        <w:t>4.3. Structural consistency with multifractal evidence</w:t>
      </w:r>
    </w:p>
    <w:p w14:paraId="5A377578" w14:textId="031F5662" w:rsidR="00E90E38" w:rsidRPr="00C85BEE" w:rsidRDefault="00C85BEE" w:rsidP="00EB7093">
      <w:pPr>
        <w:spacing w:before="100" w:beforeAutospacing="1" w:after="100" w:afterAutospacing="1" w:line="480" w:lineRule="auto"/>
        <w:jc w:val="both"/>
        <w:rPr>
          <w:noProof/>
          <w:lang w:val="en-US"/>
        </w:rPr>
      </w:pPr>
      <w:r w:rsidRPr="00C85BEE">
        <w:rPr>
          <w:lang w:val="en-US"/>
        </w:rPr>
        <w:t xml:space="preserve">MF-DFA results (Section 2) show that volatility exhibits broad scaling spectra, characteristic of multifractal behavior. </w:t>
      </w:r>
      <w:r w:rsidR="00E90E38" w:rsidRPr="00C85BEE">
        <w:rPr>
          <w:noProof/>
          <w:lang w:val="en-US"/>
        </w:rPr>
        <w:t>In contrast, returns themselves showed flat</w:t>
      </w:r>
      <w:r w:rsidR="006C1D7C">
        <w:rPr>
          <w:noProof/>
          <w:lang w:val="en-US"/>
        </w:rPr>
        <w:t>ter</w:t>
      </w:r>
      <w:r w:rsidR="00E90E38" w:rsidRPr="00C85BEE">
        <w:rPr>
          <w:noProof/>
          <w:lang w:val="en-US"/>
        </w:rPr>
        <w:t xml:space="preserve"> spectra (monofractal or white-noise structure).</w:t>
      </w:r>
      <w:r w:rsidRPr="00C85BEE">
        <w:rPr>
          <w:noProof/>
          <w:lang w:val="en-US"/>
        </w:rPr>
        <w:t xml:space="preserve"> </w:t>
      </w:r>
    </w:p>
    <w:p w14:paraId="1CA259E2" w14:textId="4F8DF8B9" w:rsidR="00E90E38" w:rsidRPr="00E90E38" w:rsidRDefault="00E90E38" w:rsidP="00EB7093">
      <w:pPr>
        <w:spacing w:before="100" w:beforeAutospacing="1" w:after="100" w:afterAutospacing="1" w:line="480" w:lineRule="auto"/>
        <w:jc w:val="both"/>
        <w:rPr>
          <w:noProof/>
          <w:lang w:val="en-US"/>
        </w:rPr>
      </w:pPr>
      <w:r w:rsidRPr="00E90E38">
        <w:rPr>
          <w:noProof/>
          <w:lang w:val="en-US"/>
        </w:rPr>
        <w:t>FIGARCH’s fractional</w:t>
      </w:r>
      <w:r w:rsidR="00836A2E">
        <w:rPr>
          <w:noProof/>
          <w:lang w:val="en-US"/>
        </w:rPr>
        <w:t>-</w:t>
      </w:r>
      <w:r w:rsidRPr="00E90E38">
        <w:rPr>
          <w:noProof/>
          <w:lang w:val="en-US"/>
        </w:rPr>
        <w:t xml:space="preserve">differencing parameter </w:t>
      </w:r>
      <m:oMath>
        <m:r>
          <w:rPr>
            <w:rFonts w:ascii="Cambria Math" w:hAnsi="Cambria Math"/>
            <w:noProof/>
            <w:lang w:val="en-US"/>
          </w:rPr>
          <m:t xml:space="preserve">d </m:t>
        </m:r>
      </m:oMath>
      <w:r w:rsidRPr="00E90E38">
        <w:rPr>
          <w:noProof/>
          <w:lang w:val="en-US"/>
        </w:rPr>
        <w:t xml:space="preserve">can be interpreted as a </w:t>
      </w:r>
      <w:r w:rsidRPr="00E90E38">
        <w:rPr>
          <w:b/>
          <w:bCs/>
          <w:noProof/>
          <w:lang w:val="en-US"/>
        </w:rPr>
        <w:t>parametric analogue</w:t>
      </w:r>
      <w:r w:rsidRPr="00E90E38">
        <w:rPr>
          <w:noProof/>
          <w:lang w:val="en-US"/>
        </w:rPr>
        <w:t xml:space="preserve"> of the scaling exponent </w:t>
      </w:r>
      <m:oMath>
        <m:r>
          <w:rPr>
            <w:rFonts w:ascii="Cambria Math" w:hAnsi="Cambria Math"/>
            <w:noProof/>
            <w:lang w:val="en-US"/>
          </w:rPr>
          <m:t xml:space="preserve">h(q) </m:t>
        </m:r>
      </m:oMath>
      <w:r w:rsidRPr="00E90E38">
        <w:rPr>
          <w:noProof/>
          <w:lang w:val="en-US"/>
        </w:rPr>
        <w:t>estimated via MF-DFA. While MF-DFA measures scaling empirically, FIGARCH embeds it in a formal stochastic structure. Therefore, the degree of persistence identified by FIGARCH should align qualitatively with the width of the multifractal spectrum Δ</w:t>
      </w:r>
      <w:r w:rsidRPr="00E90E38">
        <w:rPr>
          <w:i/>
          <w:iCs/>
          <w:noProof/>
          <w:lang w:val="en-US"/>
        </w:rPr>
        <w:t>h(q).</w:t>
      </w:r>
    </w:p>
    <w:p w14:paraId="1B5F030D" w14:textId="5C431381" w:rsidR="00E90E38" w:rsidRPr="00E90E38" w:rsidRDefault="002F7617" w:rsidP="00EB7093">
      <w:pPr>
        <w:spacing w:before="100" w:beforeAutospacing="1" w:after="100" w:afterAutospacing="1" w:line="480" w:lineRule="auto"/>
        <w:jc w:val="both"/>
        <w:rPr>
          <w:noProof/>
          <w:lang w:val="en-US"/>
        </w:rPr>
      </w:pPr>
      <w:r w:rsidRPr="002F7617">
        <w:rPr>
          <w:lang w:val="en-US"/>
        </w:rPr>
        <w:t xml:space="preserve">This qualitative alignment between </w:t>
      </w:r>
      <w:r w:rsidR="00C85BEE">
        <w:t>Δ</w:t>
      </w:r>
      <w:r w:rsidR="00C85BEE" w:rsidRPr="00C85BEE">
        <w:rPr>
          <w:i/>
          <w:iCs/>
        </w:rPr>
        <w:t>h</w:t>
      </w:r>
      <w:r w:rsidR="00C85BEE">
        <w:t xml:space="preserve"> </w:t>
      </w:r>
      <w:r w:rsidRPr="002F7617">
        <w:rPr>
          <w:lang w:val="en-US"/>
        </w:rPr>
        <w:t>(</w:t>
      </w:r>
      <w:r w:rsidRPr="002F7617">
        <w:rPr>
          <w:b/>
          <w:bCs/>
          <w:lang w:val="en-US"/>
        </w:rPr>
        <w:t>Figure 1</w:t>
      </w:r>
      <w:r w:rsidRPr="002F7617">
        <w:rPr>
          <w:lang w:val="en-US"/>
        </w:rPr>
        <w:t xml:space="preserve"> and </w:t>
      </w:r>
      <w:r w:rsidRPr="002F7617">
        <w:rPr>
          <w:b/>
          <w:bCs/>
          <w:lang w:val="en-US"/>
        </w:rPr>
        <w:t>Figure 2</w:t>
      </w:r>
      <w:r w:rsidRPr="002F7617">
        <w:rPr>
          <w:lang w:val="en-US"/>
        </w:rPr>
        <w:t>) and the estimated fractional parameter</w:t>
      </w:r>
      <w:r w:rsidR="00C85BEE">
        <w:rPr>
          <w:lang w:val="en-US"/>
        </w:rPr>
        <w:t xml:space="preserve"> </w:t>
      </w:r>
      <w:r w:rsidR="00C85BEE" w:rsidRPr="00C85BEE">
        <w:rPr>
          <w:i/>
          <w:iCs/>
          <w:lang w:val="en-US"/>
        </w:rPr>
        <w:t>d</w:t>
      </w:r>
      <w:r w:rsidRPr="00C85BEE">
        <w:rPr>
          <w:i/>
          <w:iCs/>
          <w:lang w:val="en-US"/>
        </w:rPr>
        <w:t xml:space="preserve"> </w:t>
      </w:r>
      <w:r w:rsidRPr="002F7617">
        <w:rPr>
          <w:lang w:val="en-US"/>
        </w:rPr>
        <w:t>supports the view that FIGARCH captures the dominant long-memory component detected non-parametrically</w:t>
      </w:r>
      <w:r w:rsidR="00E90E38" w:rsidRPr="002F7617">
        <w:rPr>
          <w:noProof/>
          <w:lang w:val="en-US"/>
        </w:rPr>
        <w:t>.</w:t>
      </w:r>
      <w:r w:rsidR="00E90E38" w:rsidRPr="00E90E38">
        <w:rPr>
          <w:noProof/>
          <w:lang w:val="en-US"/>
        </w:rPr>
        <w:t xml:space="preserve"> The width of the multifractal spectra, </w:t>
      </w:r>
      <w:r w:rsidR="00E90E38" w:rsidRPr="00E90E38">
        <w:rPr>
          <w:noProof/>
          <w:lang w:val="en-US"/>
        </w:rPr>
        <w:lastRenderedPageBreak/>
        <w:t xml:space="preserve">Δh(q), increases with the estimated </w:t>
      </w:r>
      <m:oMath>
        <m:r>
          <w:rPr>
            <w:rFonts w:ascii="Cambria Math" w:hAnsi="Cambria Math"/>
            <w:noProof/>
            <w:lang w:val="en-US"/>
          </w:rPr>
          <m:t>d</m:t>
        </m:r>
      </m:oMath>
      <w:r w:rsidR="00E90E38" w:rsidRPr="00E90E38">
        <w:rPr>
          <w:noProof/>
          <w:lang w:val="en-US"/>
        </w:rPr>
        <w:t>: assets with larger Δ</w:t>
      </w:r>
      <w:r w:rsidR="00E90E38" w:rsidRPr="00C85BEE">
        <w:rPr>
          <w:i/>
          <w:iCs/>
          <w:noProof/>
          <w:lang w:val="en-US"/>
        </w:rPr>
        <w:t xml:space="preserve">h(q) </w:t>
      </w:r>
      <w:r w:rsidR="00E90E38" w:rsidRPr="00E90E38">
        <w:rPr>
          <w:noProof/>
          <w:lang w:val="en-US"/>
        </w:rPr>
        <w:t xml:space="preserve">(Bitcoin, BOVESPA) display higher </w:t>
      </w:r>
      <m:oMath>
        <m:r>
          <w:rPr>
            <w:rFonts w:ascii="Cambria Math" w:hAnsi="Cambria Math"/>
            <w:noProof/>
            <w:lang w:val="en-US"/>
          </w:rPr>
          <m:t>d</m:t>
        </m:r>
      </m:oMath>
      <w:r w:rsidR="00E90E38" w:rsidRPr="00E90E38">
        <w:rPr>
          <w:noProof/>
          <w:lang w:val="en-US"/>
        </w:rPr>
        <w:t xml:space="preserve">; those with narrow </w:t>
      </w:r>
      <w:r w:rsidR="00E90E38" w:rsidRPr="00C85BEE">
        <w:rPr>
          <w:noProof/>
          <w:lang w:val="en-US"/>
        </w:rPr>
        <w:t>Δ</w:t>
      </w:r>
      <w:r w:rsidR="00E90E38" w:rsidRPr="00C85BEE">
        <w:rPr>
          <w:i/>
          <w:iCs/>
          <w:noProof/>
          <w:lang w:val="en-US"/>
        </w:rPr>
        <w:t>h(q)</w:t>
      </w:r>
      <w:r w:rsidR="00E90E38" w:rsidRPr="00E90E38">
        <w:rPr>
          <w:noProof/>
          <w:lang w:val="en-US"/>
        </w:rPr>
        <w:t xml:space="preserve"> (S&amp;P 500, IBEX 35) have lower </w:t>
      </w:r>
      <m:oMath>
        <m:r>
          <w:rPr>
            <w:rFonts w:ascii="Cambria Math" w:hAnsi="Cambria Math"/>
            <w:noProof/>
            <w:lang w:val="en-US"/>
          </w:rPr>
          <m:t>d</m:t>
        </m:r>
      </m:oMath>
      <w:r w:rsidR="00E90E38" w:rsidRPr="00E90E38">
        <w:rPr>
          <w:noProof/>
          <w:lang w:val="en-US"/>
        </w:rPr>
        <w:t xml:space="preserve">; and Tesla, whose Δh(q) is heterogeneous, exhibits unstable </w:t>
      </w:r>
      <m:oMath>
        <m:r>
          <w:rPr>
            <w:rFonts w:ascii="Cambria Math" w:hAnsi="Cambria Math"/>
            <w:noProof/>
            <w:lang w:val="en-US"/>
          </w:rPr>
          <m:t>d</m:t>
        </m:r>
      </m:oMath>
      <w:r w:rsidR="00E90E38" w:rsidRPr="00E90E38">
        <w:rPr>
          <w:noProof/>
          <w:lang w:val="en-US"/>
        </w:rPr>
        <w:t>.</w:t>
      </w:r>
    </w:p>
    <w:p w14:paraId="2704DC4C"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This parallel between </w:t>
      </w:r>
      <w:r w:rsidRPr="00E90E38">
        <w:rPr>
          <w:b/>
          <w:bCs/>
          <w:noProof/>
          <w:lang w:val="en-US"/>
        </w:rPr>
        <w:t>non-parametric and parametric persistence</w:t>
      </w:r>
      <w:r w:rsidRPr="00E90E38">
        <w:rPr>
          <w:noProof/>
          <w:lang w:val="en-US"/>
        </w:rPr>
        <w:t xml:space="preserve"> confirms that FIGARCH captures the long-memory component embedded in multifractal structures. However, MF-DFA also reveals nonlinearities and regime heterogeneity that FIGARCH, as a single-regime model, cannot reproduce.</w:t>
      </w:r>
    </w:p>
    <w:p w14:paraId="00840988" w14:textId="77777777" w:rsidR="00E90E38" w:rsidRPr="00E90E38" w:rsidRDefault="00E90E38" w:rsidP="00EB7093">
      <w:pPr>
        <w:spacing w:before="100" w:beforeAutospacing="1" w:after="100" w:afterAutospacing="1" w:line="480" w:lineRule="auto"/>
        <w:jc w:val="both"/>
        <w:outlineLvl w:val="3"/>
        <w:rPr>
          <w:b/>
          <w:bCs/>
          <w:noProof/>
          <w:lang w:val="en-US"/>
        </w:rPr>
      </w:pPr>
      <w:r w:rsidRPr="00E90E38">
        <w:rPr>
          <w:b/>
          <w:bCs/>
          <w:noProof/>
          <w:lang w:val="en-US"/>
        </w:rPr>
        <w:t>FIGARCH vs high-order GARCH</w:t>
      </w:r>
    </w:p>
    <w:p w14:paraId="0B590749" w14:textId="617AE897" w:rsidR="00E17355" w:rsidRPr="00DD1D57" w:rsidRDefault="00C9731F" w:rsidP="00EB7093">
      <w:pPr>
        <w:pStyle w:val="NormalWeb"/>
        <w:spacing w:line="480" w:lineRule="auto"/>
        <w:jc w:val="both"/>
        <w:rPr>
          <w:lang w:val="en-US"/>
        </w:rPr>
      </w:pPr>
      <w:r w:rsidRPr="00C9731F">
        <w:rPr>
          <w:lang w:val="en-US"/>
        </w:rPr>
        <w:t xml:space="preserve">Increasing the order of a GARCH model cannot replicate hyperbolic decay; it remains exponential. </w:t>
      </w:r>
      <w:r w:rsidR="00E17355" w:rsidRPr="00C9731F">
        <w:rPr>
          <w:lang w:val="en-US"/>
        </w:rPr>
        <w:t>In contrast, the FIGARCH process generates a hyperbolic decay that matches the slow, long</w:t>
      </w:r>
      <w:r w:rsidR="00406F3C" w:rsidRPr="00C9731F">
        <w:rPr>
          <w:lang w:val="en-US"/>
        </w:rPr>
        <w:t xml:space="preserve"> memory</w:t>
      </w:r>
      <w:r w:rsidR="00E17355" w:rsidRPr="00C9731F">
        <w:rPr>
          <w:lang w:val="en-US"/>
        </w:rPr>
        <w:t xml:space="preserve"> dependence revealed by our MF-DFA and Lo-test diagnostics</w:t>
      </w:r>
      <w:r w:rsidR="00E17355" w:rsidRPr="00DD1D57">
        <w:rPr>
          <w:lang w:val="en-US"/>
        </w:rPr>
        <w:t>.</w:t>
      </w:r>
    </w:p>
    <w:p w14:paraId="7AD3C9BE" w14:textId="11E65E13" w:rsidR="00E90E38" w:rsidRPr="00E90E38" w:rsidRDefault="00E17355" w:rsidP="00EB7093">
      <w:pPr>
        <w:pStyle w:val="NormalWeb"/>
        <w:spacing w:line="480" w:lineRule="auto"/>
        <w:jc w:val="both"/>
        <w:rPr>
          <w:lang w:val="en-US"/>
        </w:rPr>
      </w:pPr>
      <w:r w:rsidRPr="00DD1D57">
        <w:rPr>
          <w:lang w:val="en-US"/>
        </w:rPr>
        <w:t xml:space="preserve">Therefore, the persistence observed in our data cannot be replicated simply by adding short-memory lags within a finite-order GARCH framework—a conclusion consistent with Baillie, Bollerslev and Mikkelsen (1996) and later studies such as </w:t>
      </w:r>
      <w:proofErr w:type="spellStart"/>
      <w:r w:rsidRPr="00DD1D57">
        <w:rPr>
          <w:lang w:val="en-US"/>
        </w:rPr>
        <w:t>Candelon</w:t>
      </w:r>
      <w:proofErr w:type="spellEnd"/>
      <w:r w:rsidRPr="00DD1D57">
        <w:rPr>
          <w:lang w:val="en-US"/>
        </w:rPr>
        <w:t xml:space="preserve"> and </w:t>
      </w:r>
      <w:proofErr w:type="spellStart"/>
      <w:r w:rsidRPr="00DD1D57">
        <w:rPr>
          <w:lang w:val="en-US"/>
        </w:rPr>
        <w:t>Straetmans</w:t>
      </w:r>
      <w:proofErr w:type="spellEnd"/>
      <w:r w:rsidRPr="00DD1D57">
        <w:rPr>
          <w:lang w:val="en-US"/>
        </w:rPr>
        <w:t xml:space="preserve"> (2023). This reinforces the interpretation that FIGARCH’s fractional-differencing kernel captures a genuinely slower and more persistent volatility dynamics rather than merely mimicking additional short-term lags.</w:t>
      </w:r>
    </w:p>
    <w:p w14:paraId="29EF77EF" w14:textId="77777777" w:rsidR="00E90E38" w:rsidRPr="00E90E38" w:rsidRDefault="00E90E38" w:rsidP="00EB7093">
      <w:pPr>
        <w:spacing w:before="100" w:beforeAutospacing="1" w:after="100" w:afterAutospacing="1" w:line="480" w:lineRule="auto"/>
        <w:jc w:val="both"/>
        <w:outlineLvl w:val="2"/>
        <w:rPr>
          <w:b/>
          <w:bCs/>
          <w:noProof/>
          <w:sz w:val="27"/>
          <w:szCs w:val="27"/>
          <w:lang w:val="en-US"/>
        </w:rPr>
      </w:pPr>
      <w:r w:rsidRPr="00E90E38">
        <w:rPr>
          <w:b/>
          <w:bCs/>
          <w:noProof/>
          <w:sz w:val="27"/>
          <w:szCs w:val="27"/>
          <w:lang w:val="en-US"/>
        </w:rPr>
        <w:t>4.4. The Tesla case: instability and IGARCH collapse</w:t>
      </w:r>
    </w:p>
    <w:p w14:paraId="62D8D3AE"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Tesla represents a particularly revealing counterexample. The company’s stock exhibits extreme volatility episodes associated with </w:t>
      </w:r>
      <w:r w:rsidRPr="00E90E38">
        <w:rPr>
          <w:b/>
          <w:bCs/>
          <w:noProof/>
          <w:lang w:val="en-US"/>
        </w:rPr>
        <w:t>idiosyncratic corporate events</w:t>
      </w:r>
      <w:r w:rsidRPr="00E90E38">
        <w:rPr>
          <w:noProof/>
          <w:lang w:val="en-US"/>
        </w:rPr>
        <w:t xml:space="preserve">—earnings </w:t>
      </w:r>
      <w:r w:rsidRPr="00E90E38">
        <w:rPr>
          <w:noProof/>
          <w:lang w:val="en-US"/>
        </w:rPr>
        <w:lastRenderedPageBreak/>
        <w:t>surprises, regulatory investigations, and CEO statements—as well as a structural regime change around its inclusion in the S&amp;P 500 index in December 2020.</w:t>
      </w:r>
    </w:p>
    <w:p w14:paraId="333D9B78"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During estimation, the FIGARCH model for Tesla frequently produced </w:t>
      </w:r>
      <m:oMath>
        <m:r>
          <w:rPr>
            <w:rFonts w:ascii="Cambria Math" w:hAnsi="Cambria Math"/>
            <w:noProof/>
            <w:lang w:val="en-US"/>
          </w:rPr>
          <m:t>d≈1</m:t>
        </m:r>
      </m:oMath>
      <w:r w:rsidRPr="00E90E38">
        <w:rPr>
          <w:noProof/>
          <w:lang w:val="en-US"/>
        </w:rPr>
        <w:t xml:space="preserve">or failed to converge. When </w:t>
      </w:r>
      <m:oMath>
        <m:r>
          <w:rPr>
            <w:rFonts w:ascii="Cambria Math" w:hAnsi="Cambria Math"/>
            <w:noProof/>
            <w:lang w:val="en-US"/>
          </w:rPr>
          <m:t>d→1</m:t>
        </m:r>
      </m:oMath>
      <w:r w:rsidRPr="00E90E38">
        <w:rPr>
          <w:noProof/>
          <w:lang w:val="en-US"/>
        </w:rPr>
        <w:t xml:space="preserve">, the model effectively collapses to an </w:t>
      </w:r>
      <w:r w:rsidRPr="00E90E38">
        <w:rPr>
          <w:b/>
          <w:bCs/>
          <w:noProof/>
          <w:lang w:val="en-US"/>
        </w:rPr>
        <w:t>Integrated GARCH (IGARCH)</w:t>
      </w:r>
      <w:r w:rsidRPr="00E90E38">
        <w:rPr>
          <w:noProof/>
          <w:lang w:val="en-US"/>
        </w:rPr>
        <w:t>, implying that volatility shocks have infinite persistence and that the unconditional variance does not exist:</w:t>
      </w:r>
    </w:p>
    <w:p w14:paraId="5D821B97" w14:textId="77777777" w:rsidR="00E90E38" w:rsidRPr="00E90E38" w:rsidRDefault="00000000" w:rsidP="00EB7093">
      <w:pPr>
        <w:spacing w:line="480" w:lineRule="auto"/>
        <w:jc w:val="both"/>
        <w:rPr>
          <w:noProof/>
          <w:lang w:val="en-US"/>
        </w:rPr>
      </w:pPr>
      <m:oMathPara>
        <m:oMath>
          <m:sSubSup>
            <m:sSubSupPr>
              <m:ctrlPr>
                <w:rPr>
                  <w:rFonts w:ascii="Cambria Math" w:hAnsi="Cambria Math"/>
                  <w:noProof/>
                  <w:lang w:val="en-US"/>
                </w:rPr>
              </m:ctrlPr>
            </m:sSubSupPr>
            <m:e>
              <m:r>
                <w:rPr>
                  <w:rFonts w:ascii="Cambria Math" w:hAnsi="Cambria Math"/>
                  <w:noProof/>
                  <w:lang w:val="en-US"/>
                </w:rPr>
                <m:t>σ</m:t>
              </m:r>
            </m:e>
            <m:sub>
              <m:r>
                <w:rPr>
                  <w:rFonts w:ascii="Cambria Math" w:hAnsi="Cambria Math"/>
                  <w:noProof/>
                  <w:lang w:val="en-US"/>
                </w:rPr>
                <m:t>t</m:t>
              </m:r>
            </m:sub>
            <m:sup>
              <m:r>
                <w:rPr>
                  <w:rFonts w:ascii="Cambria Math" w:hAnsi="Cambria Math"/>
                  <w:noProof/>
                  <w:lang w:val="en-US"/>
                </w:rPr>
                <m:t>2</m:t>
              </m:r>
            </m:sup>
          </m:sSubSup>
          <m:r>
            <w:rPr>
              <w:rFonts w:ascii="Cambria Math" w:hAnsi="Cambria Math"/>
              <w:noProof/>
              <w:lang w:val="en-US"/>
            </w:rPr>
            <m:t>=ω+(1-α)</m:t>
          </m:r>
          <m:sSubSup>
            <m:sSubSupPr>
              <m:ctrlPr>
                <w:rPr>
                  <w:rFonts w:ascii="Cambria Math" w:hAnsi="Cambria Math"/>
                  <w:noProof/>
                  <w:lang w:val="en-US"/>
                </w:rPr>
              </m:ctrlPr>
            </m:sSubSupPr>
            <m:e>
              <m:r>
                <w:rPr>
                  <w:rFonts w:ascii="Cambria Math" w:hAnsi="Cambria Math"/>
                  <w:noProof/>
                  <w:lang w:val="en-US"/>
                </w:rPr>
                <m:t>σ</m:t>
              </m:r>
            </m:e>
            <m:sub>
              <m:r>
                <w:rPr>
                  <w:rFonts w:ascii="Cambria Math" w:hAnsi="Cambria Math"/>
                  <w:noProof/>
                  <w:lang w:val="en-US"/>
                </w:rPr>
                <m:t>t-1</m:t>
              </m:r>
            </m:sub>
            <m:sup>
              <m:r>
                <w:rPr>
                  <w:rFonts w:ascii="Cambria Math" w:hAnsi="Cambria Math"/>
                  <w:noProof/>
                  <w:lang w:val="en-US"/>
                </w:rPr>
                <m:t>2</m:t>
              </m:r>
            </m:sup>
          </m:sSubSup>
          <m:r>
            <w:rPr>
              <w:rFonts w:ascii="Cambria Math" w:hAnsi="Cambria Math"/>
              <w:noProof/>
              <w:lang w:val="en-US"/>
            </w:rPr>
            <m:t>+α</m:t>
          </m:r>
          <m:sSubSup>
            <m:sSubSupPr>
              <m:ctrlPr>
                <w:rPr>
                  <w:rFonts w:ascii="Cambria Math" w:hAnsi="Cambria Math"/>
                  <w:noProof/>
                  <w:lang w:val="en-US"/>
                </w:rPr>
              </m:ctrlPr>
            </m:sSubSupPr>
            <m:e>
              <m:r>
                <w:rPr>
                  <w:rFonts w:ascii="Cambria Math" w:hAnsi="Cambria Math"/>
                  <w:noProof/>
                  <w:lang w:val="en-US"/>
                </w:rPr>
                <m:t>ε</m:t>
              </m:r>
            </m:e>
            <m:sub>
              <m:r>
                <w:rPr>
                  <w:rFonts w:ascii="Cambria Math" w:hAnsi="Cambria Math"/>
                  <w:noProof/>
                  <w:lang w:val="en-US"/>
                </w:rPr>
                <m:t>t-1</m:t>
              </m:r>
            </m:sub>
            <m:sup>
              <m:r>
                <w:rPr>
                  <w:rFonts w:ascii="Cambria Math" w:hAnsi="Cambria Math"/>
                  <w:noProof/>
                  <w:lang w:val="en-US"/>
                </w:rPr>
                <m:t>2</m:t>
              </m:r>
            </m:sup>
          </m:sSubSup>
          <m:r>
            <w:rPr>
              <w:rFonts w:ascii="Cambria Math" w:hAnsi="Cambria Math"/>
              <w:noProof/>
              <w:lang w:val="en-US"/>
            </w:rPr>
            <m:t>,</m:t>
          </m:r>
          <m:r>
            <m:rPr>
              <m:nor/>
            </m:rPr>
            <w:rPr>
              <w:noProof/>
              <w:lang w:val="en-US"/>
            </w:rPr>
            <m:t xml:space="preserve">with </m:t>
          </m:r>
          <m:r>
            <w:rPr>
              <w:rFonts w:ascii="Cambria Math" w:hAnsi="Cambria Math"/>
              <w:noProof/>
              <w:lang w:val="en-US"/>
            </w:rPr>
            <m:t>α+β=1.</m:t>
          </m:r>
          <m:r>
            <m:rPr>
              <m:sty m:val="p"/>
            </m:rPr>
            <w:rPr>
              <w:rFonts w:ascii="Cambria Math" w:hAnsi="Cambria Math"/>
              <w:noProof/>
              <w:lang w:val="en-US"/>
            </w:rPr>
            <w:br/>
          </m:r>
        </m:oMath>
      </m:oMathPara>
    </w:p>
    <w:p w14:paraId="63695741" w14:textId="1AFC8523"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Although </w:t>
      </w:r>
      <w:r w:rsidR="004A331F" w:rsidRPr="004A331F">
        <w:rPr>
          <w:lang w:val="en-US"/>
        </w:rPr>
        <w:t>mathematically admissible</w:t>
      </w:r>
      <w:r w:rsidRPr="00E90E38">
        <w:rPr>
          <w:noProof/>
          <w:lang w:val="en-US"/>
        </w:rPr>
        <w:t xml:space="preserve">, such a specification </w:t>
      </w:r>
      <w:r w:rsidR="00C85BEE" w:rsidRPr="00C85BEE">
        <w:rPr>
          <w:lang w:val="en-US"/>
        </w:rPr>
        <w:t xml:space="preserve">becomes </w:t>
      </w:r>
      <w:r w:rsidR="00C85BEE" w:rsidRPr="00C85BEE">
        <w:rPr>
          <w:b/>
          <w:bCs/>
          <w:lang w:val="en-US"/>
        </w:rPr>
        <w:t>economically uninformative</w:t>
      </w:r>
      <w:r w:rsidRPr="00C85BEE">
        <w:rPr>
          <w:noProof/>
          <w:lang w:val="en-US"/>
        </w:rPr>
        <w:t>: it suggests that shocks never dissipate, contradic</w:t>
      </w:r>
      <w:r w:rsidRPr="00E90E38">
        <w:rPr>
          <w:noProof/>
          <w:lang w:val="en-US"/>
        </w:rPr>
        <w:t>ting the empirical reality that volatility in Tesla spikes and then reverts relatively quickly after major news events.</w:t>
      </w:r>
    </w:p>
    <w:p w14:paraId="5B454BED" w14:textId="64BF92DA"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This behavior reflects the model’s </w:t>
      </w:r>
      <w:r w:rsidR="00C9731F">
        <w:rPr>
          <w:b/>
          <w:bCs/>
          <w:noProof/>
          <w:lang w:val="en-US"/>
        </w:rPr>
        <w:t>sensitivity</w:t>
      </w:r>
      <w:r w:rsidRPr="00E90E38">
        <w:rPr>
          <w:b/>
          <w:bCs/>
          <w:noProof/>
          <w:lang w:val="en-US"/>
        </w:rPr>
        <w:t xml:space="preserve"> to structural breaks</w:t>
      </w:r>
      <w:r w:rsidRPr="00E90E38">
        <w:rPr>
          <w:noProof/>
          <w:lang w:val="en-US"/>
        </w:rPr>
        <w:t xml:space="preserve">. When the data generating process switches between regimes, the FIGARCH likelihood interprets the change as permanent persistence rather than as a shift in volatility level. Consequently, the estimated </w:t>
      </w:r>
      <m:oMath>
        <m:r>
          <w:rPr>
            <w:rFonts w:ascii="Cambria Math" w:hAnsi="Cambria Math"/>
            <w:noProof/>
            <w:lang w:val="en-US"/>
          </w:rPr>
          <m:t xml:space="preserve">d </m:t>
        </m:r>
      </m:oMath>
      <w:r w:rsidRPr="00E90E38">
        <w:rPr>
          <w:noProof/>
          <w:lang w:val="en-US"/>
        </w:rPr>
        <w:t>rises toward unity to accommodate non-stationarity that originates from regime change, not true long memory.</w:t>
      </w:r>
    </w:p>
    <w:p w14:paraId="0C7EB1D8" w14:textId="77777777" w:rsidR="00E90E38" w:rsidRPr="00E90E38" w:rsidRDefault="00E90E38" w:rsidP="00EB7093">
      <w:pPr>
        <w:spacing w:before="100" w:beforeAutospacing="1" w:after="100" w:afterAutospacing="1" w:line="480" w:lineRule="auto"/>
        <w:jc w:val="both"/>
        <w:outlineLvl w:val="3"/>
        <w:rPr>
          <w:b/>
          <w:bCs/>
          <w:noProof/>
          <w:lang w:val="en-US"/>
        </w:rPr>
      </w:pPr>
      <w:r w:rsidRPr="00E90E38">
        <w:rPr>
          <w:b/>
          <w:bCs/>
          <w:noProof/>
          <w:lang w:val="en-US"/>
        </w:rPr>
        <w:t>Implications</w:t>
      </w:r>
    </w:p>
    <w:p w14:paraId="737970C6" w14:textId="15090B4A"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The Tesla case </w:t>
      </w:r>
      <w:r w:rsidR="00C9731F">
        <w:rPr>
          <w:noProof/>
          <w:lang w:val="en-US"/>
        </w:rPr>
        <w:t>illustrates</w:t>
      </w:r>
      <w:r w:rsidRPr="00E90E38">
        <w:rPr>
          <w:noProof/>
          <w:lang w:val="en-US"/>
        </w:rPr>
        <w:t xml:space="preserve"> a key limitation of FIGARCH: </w:t>
      </w:r>
      <w:r w:rsidRPr="00E90E38">
        <w:rPr>
          <w:b/>
          <w:bCs/>
          <w:noProof/>
          <w:lang w:val="en-US"/>
        </w:rPr>
        <w:t>fractional integration assumes a homogeneous persistence structure</w:t>
      </w:r>
      <w:r w:rsidRPr="00E90E38">
        <w:rPr>
          <w:noProof/>
          <w:lang w:val="en-US"/>
        </w:rPr>
        <w:t xml:space="preserve">, while real-world volatility may alternate between low and high regimes. In such cases, </w:t>
      </w:r>
      <w:r w:rsidRPr="00E90E38">
        <w:rPr>
          <w:b/>
          <w:bCs/>
          <w:noProof/>
          <w:lang w:val="en-US"/>
        </w:rPr>
        <w:t>Markov-switching GARCH</w:t>
      </w:r>
      <w:r w:rsidRPr="00E90E38">
        <w:rPr>
          <w:noProof/>
          <w:lang w:val="en-US"/>
        </w:rPr>
        <w:t xml:space="preserve"> (Gray 1996) or </w:t>
      </w:r>
      <w:r w:rsidRPr="00E90E38">
        <w:rPr>
          <w:b/>
          <w:bCs/>
          <w:noProof/>
          <w:lang w:val="en-US"/>
        </w:rPr>
        <w:t>HAR (Corsi 2009)</w:t>
      </w:r>
      <w:r w:rsidRPr="00E90E38">
        <w:rPr>
          <w:noProof/>
          <w:lang w:val="en-US"/>
        </w:rPr>
        <w:t xml:space="preserve"> models can outperform FIGARCH by allowing dynamic adjustment in persistence.</w:t>
      </w:r>
    </w:p>
    <w:p w14:paraId="313D34DC" w14:textId="0FABDD6F" w:rsidR="00E90E38" w:rsidRPr="00E90E38" w:rsidRDefault="00E90E38" w:rsidP="00A41583">
      <w:pPr>
        <w:spacing w:before="100" w:beforeAutospacing="1" w:after="100" w:afterAutospacing="1" w:line="480" w:lineRule="auto"/>
        <w:jc w:val="both"/>
        <w:rPr>
          <w:noProof/>
          <w:lang w:val="en-US"/>
        </w:rPr>
      </w:pPr>
      <w:r w:rsidRPr="00E90E38">
        <w:rPr>
          <w:noProof/>
          <w:lang w:val="en-US"/>
        </w:rPr>
        <w:lastRenderedPageBreak/>
        <w:t>In the broader sample, excluding Tesla improves the stability of FIGARCH parameter estimates and their consistency with MF-DFA results. This confirms that the pathology arises from Tesla’s regime-shifting nature, not from the modeling framework itself.</w:t>
      </w:r>
    </w:p>
    <w:p w14:paraId="1421B697" w14:textId="77777777" w:rsidR="00E90E38" w:rsidRPr="00897F69" w:rsidRDefault="00E90E38" w:rsidP="00EB7093">
      <w:pPr>
        <w:spacing w:before="100" w:beforeAutospacing="1" w:after="100" w:afterAutospacing="1" w:line="480" w:lineRule="auto"/>
        <w:jc w:val="both"/>
        <w:outlineLvl w:val="2"/>
        <w:rPr>
          <w:b/>
          <w:bCs/>
          <w:noProof/>
          <w:sz w:val="27"/>
          <w:szCs w:val="27"/>
          <w:lang w:val="en-US"/>
        </w:rPr>
      </w:pPr>
      <w:r w:rsidRPr="00897F69">
        <w:rPr>
          <w:b/>
          <w:bCs/>
          <w:noProof/>
          <w:sz w:val="27"/>
          <w:szCs w:val="27"/>
          <w:lang w:val="en-US"/>
        </w:rPr>
        <w:t>4.5. Cross-asset synthesis</w:t>
      </w:r>
    </w:p>
    <w:p w14:paraId="5960B81B" w14:textId="7C962ED0" w:rsidR="00640272" w:rsidRPr="00640272" w:rsidRDefault="00640272" w:rsidP="00EB7093">
      <w:pPr>
        <w:pStyle w:val="NormalWeb"/>
        <w:spacing w:line="480" w:lineRule="auto"/>
        <w:jc w:val="both"/>
        <w:rPr>
          <w:lang w:val="en-US"/>
        </w:rPr>
      </w:pPr>
      <w:r w:rsidRPr="00640272">
        <w:rPr>
          <w:lang w:val="en-US"/>
        </w:rPr>
        <w:t>A cross-sectional comparison reveals three distinct volatility regimes:</w:t>
      </w:r>
    </w:p>
    <w:p w14:paraId="01B05DD9" w14:textId="77777777" w:rsidR="00640272" w:rsidRDefault="00640272" w:rsidP="00EB7093">
      <w:pPr>
        <w:pStyle w:val="NormalWeb"/>
        <w:spacing w:line="480" w:lineRule="auto"/>
        <w:jc w:val="both"/>
        <w:rPr>
          <w:lang w:val="en-US"/>
        </w:rPr>
      </w:pPr>
      <w:r w:rsidRPr="00640272">
        <w:rPr>
          <w:rStyle w:val="Textoennegrita"/>
          <w:rFonts w:eastAsiaTheme="majorEastAsia"/>
          <w:lang w:val="en-US"/>
        </w:rPr>
        <w:t>(</w:t>
      </w:r>
      <w:proofErr w:type="spellStart"/>
      <w:r w:rsidRPr="00640272">
        <w:rPr>
          <w:rStyle w:val="Textoennegrita"/>
          <w:rFonts w:eastAsiaTheme="majorEastAsia"/>
          <w:lang w:val="en-US"/>
        </w:rPr>
        <w:t>i</w:t>
      </w:r>
      <w:proofErr w:type="spellEnd"/>
      <w:r w:rsidRPr="00640272">
        <w:rPr>
          <w:rStyle w:val="Textoennegrita"/>
          <w:rFonts w:eastAsiaTheme="majorEastAsia"/>
          <w:lang w:val="en-US"/>
        </w:rPr>
        <w:t>) Stable long memory (Bitcoin, BOVESPA).</w:t>
      </w:r>
      <w:r>
        <w:rPr>
          <w:lang w:val="en-US"/>
        </w:rPr>
        <w:t xml:space="preserve"> </w:t>
      </w:r>
    </w:p>
    <w:p w14:paraId="6E83D65F" w14:textId="37137D08" w:rsidR="00640272" w:rsidRPr="00640272" w:rsidRDefault="00640272" w:rsidP="00EB7093">
      <w:pPr>
        <w:pStyle w:val="NormalWeb"/>
        <w:spacing w:line="480" w:lineRule="auto"/>
        <w:jc w:val="both"/>
        <w:rPr>
          <w:lang w:val="en-US"/>
        </w:rPr>
      </w:pPr>
      <w:r w:rsidRPr="00640272">
        <w:rPr>
          <w:lang w:val="en-US"/>
        </w:rPr>
        <w:t xml:space="preserve">Both the fractional parameter </w:t>
      </w:r>
      <m:oMath>
        <m:r>
          <w:rPr>
            <w:rFonts w:ascii="Cambria Math" w:hAnsi="Cambria Math"/>
            <w:lang w:val="en-US"/>
          </w:rPr>
          <m:t>d</m:t>
        </m:r>
      </m:oMath>
      <w:r w:rsidRPr="00640272">
        <w:rPr>
          <w:lang w:val="en-US"/>
        </w:rPr>
        <w:t>and the MF-DFA spectra remain stable across the sample, indicating persistent volatility at multiple scales. These assets display broad multifractal ranges and coherent long-memory structure, which FIGARCH captures well. However, because persistence is smooth and stationary, the incremental gains over GARCH remain small.</w:t>
      </w:r>
    </w:p>
    <w:p w14:paraId="7F72C333" w14:textId="77777777" w:rsidR="00640272" w:rsidRDefault="00640272" w:rsidP="00EB7093">
      <w:pPr>
        <w:pStyle w:val="NormalWeb"/>
        <w:spacing w:line="480" w:lineRule="auto"/>
        <w:jc w:val="both"/>
        <w:rPr>
          <w:lang w:val="en-US"/>
        </w:rPr>
      </w:pPr>
      <w:r w:rsidRPr="00640272">
        <w:rPr>
          <w:rStyle w:val="Textoennegrita"/>
          <w:rFonts w:eastAsiaTheme="majorEastAsia"/>
          <w:lang w:val="en-US"/>
        </w:rPr>
        <w:t>(ii) Moderate persistence (S&amp;P 500, IBEX 35).</w:t>
      </w:r>
    </w:p>
    <w:p w14:paraId="52C3F04C" w14:textId="3F2ED237" w:rsidR="00640272" w:rsidRPr="00640272" w:rsidRDefault="00640272" w:rsidP="00EB7093">
      <w:pPr>
        <w:pStyle w:val="NormalWeb"/>
        <w:spacing w:line="480" w:lineRule="auto"/>
        <w:jc w:val="both"/>
        <w:rPr>
          <w:lang w:val="en-US"/>
        </w:rPr>
      </w:pPr>
      <w:r w:rsidRPr="00640272">
        <w:rPr>
          <w:lang w:val="en-US"/>
        </w:rPr>
        <w:t xml:space="preserve">For these indices, estimated </w:t>
      </w:r>
      <m:oMath>
        <m:r>
          <w:rPr>
            <w:rFonts w:ascii="Cambria Math" w:hAnsi="Cambria Math"/>
            <w:lang w:val="en-US"/>
          </w:rPr>
          <m:t>d</m:t>
        </m:r>
      </m:oMath>
      <w:r w:rsidRPr="00640272">
        <w:rPr>
          <w:lang w:val="en-US"/>
        </w:rPr>
        <w:t xml:space="preserve">values are lower and the MF-DFA spectra are narrower, </w:t>
      </w:r>
      <w:r w:rsidR="00C9731F" w:rsidRPr="00640272">
        <w:rPr>
          <w:lang w:val="en-US"/>
        </w:rPr>
        <w:t>signaling</w:t>
      </w:r>
      <w:r w:rsidRPr="00640272">
        <w:rPr>
          <w:lang w:val="en-US"/>
        </w:rPr>
        <w:t xml:space="preserve"> weak </w:t>
      </w:r>
      <w:r w:rsidR="00C9731F">
        <w:rPr>
          <w:lang w:val="en-US"/>
        </w:rPr>
        <w:t>persistence</w:t>
      </w:r>
      <w:r w:rsidRPr="00640272">
        <w:rPr>
          <w:lang w:val="en-US"/>
        </w:rPr>
        <w:t xml:space="preserve"> close to the short-memory frontier. This helps explain why FIGARCH offers little practical improvement over GARCH in either forecasting or risk metrics.</w:t>
      </w:r>
    </w:p>
    <w:p w14:paraId="1E9E909A" w14:textId="77777777" w:rsidR="00640272" w:rsidRDefault="00640272" w:rsidP="00EB7093">
      <w:pPr>
        <w:pStyle w:val="NormalWeb"/>
        <w:spacing w:line="480" w:lineRule="auto"/>
        <w:jc w:val="both"/>
        <w:rPr>
          <w:lang w:val="en-US"/>
        </w:rPr>
      </w:pPr>
      <w:r w:rsidRPr="00640272">
        <w:rPr>
          <w:rStyle w:val="Textoennegrita"/>
          <w:rFonts w:eastAsiaTheme="majorEastAsia"/>
          <w:lang w:val="en-US"/>
        </w:rPr>
        <w:t>(iii) Unstable or regime-dependent persistence (Tesla).</w:t>
      </w:r>
    </w:p>
    <w:p w14:paraId="41E68221" w14:textId="6C8AA9BC" w:rsidR="00640272" w:rsidRPr="00640272" w:rsidRDefault="00640272" w:rsidP="00EB7093">
      <w:pPr>
        <w:pStyle w:val="NormalWeb"/>
        <w:spacing w:line="480" w:lineRule="auto"/>
        <w:jc w:val="both"/>
        <w:rPr>
          <w:lang w:val="en-US"/>
        </w:rPr>
      </w:pPr>
      <w:r>
        <w:rPr>
          <w:lang w:val="en-US"/>
        </w:rPr>
        <w:t>T</w:t>
      </w:r>
      <w:r w:rsidRPr="00640272">
        <w:rPr>
          <w:lang w:val="en-US"/>
        </w:rPr>
        <w:t>esla exhibits marked shifts in volatility structure, with fluctuating persistence levels and irregular MF-DFA spectra. These features correspond to unstable or regime-driven dynamics in which FIGARCH frequently fails to converge, making short-memory models more reliable.</w:t>
      </w:r>
    </w:p>
    <w:p w14:paraId="431B02C1" w14:textId="77777777" w:rsidR="00640272" w:rsidRPr="00640272" w:rsidRDefault="00640272" w:rsidP="00EB7093">
      <w:pPr>
        <w:pStyle w:val="NormalWeb"/>
        <w:spacing w:line="480" w:lineRule="auto"/>
        <w:jc w:val="both"/>
        <w:rPr>
          <w:lang w:val="en-US"/>
        </w:rPr>
      </w:pPr>
      <w:r w:rsidRPr="00640272">
        <w:rPr>
          <w:lang w:val="en-US"/>
        </w:rPr>
        <w:lastRenderedPageBreak/>
        <w:t>Overall, the evidence suggests that long-memory models perform best when volatility persistence is both strong and stable. When persistence is weak or unstable, conventional GARCH remains competitive or preferable.</w:t>
      </w:r>
    </w:p>
    <w:p w14:paraId="7702D944" w14:textId="77777777" w:rsidR="00E90E38" w:rsidRPr="00E90E38" w:rsidRDefault="00E90E38" w:rsidP="00EB7093">
      <w:pPr>
        <w:spacing w:before="100" w:beforeAutospacing="1" w:after="100" w:afterAutospacing="1" w:line="480" w:lineRule="auto"/>
        <w:jc w:val="both"/>
        <w:outlineLvl w:val="2"/>
        <w:rPr>
          <w:b/>
          <w:bCs/>
          <w:noProof/>
          <w:sz w:val="27"/>
          <w:szCs w:val="27"/>
          <w:lang w:val="en-US"/>
        </w:rPr>
      </w:pPr>
      <w:r w:rsidRPr="00E90E38">
        <w:rPr>
          <w:b/>
          <w:bCs/>
          <w:noProof/>
          <w:sz w:val="27"/>
          <w:szCs w:val="27"/>
          <w:lang w:val="en-US"/>
        </w:rPr>
        <w:t>4.6. Summary of empirical findings</w:t>
      </w:r>
    </w:p>
    <w:p w14:paraId="679B33C1" w14:textId="2B96F4AD" w:rsidR="00272BA6" w:rsidRPr="00272BA6" w:rsidRDefault="00272BA6" w:rsidP="00EB7093">
      <w:pPr>
        <w:numPr>
          <w:ilvl w:val="0"/>
          <w:numId w:val="9"/>
        </w:numPr>
        <w:spacing w:before="100" w:beforeAutospacing="1" w:after="100" w:afterAutospacing="1" w:line="480" w:lineRule="auto"/>
        <w:jc w:val="both"/>
        <w:rPr>
          <w:noProof/>
          <w:lang w:val="en-US"/>
        </w:rPr>
      </w:pPr>
      <w:r w:rsidRPr="00272BA6">
        <w:rPr>
          <w:b/>
          <w:bCs/>
          <w:lang w:val="en-US"/>
        </w:rPr>
        <w:t>No evidence of fractional integration in the mean.</w:t>
      </w:r>
      <w:r w:rsidRPr="00272BA6">
        <w:rPr>
          <w:lang w:val="en-US"/>
        </w:rPr>
        <w:t xml:space="preserve"> ARFIMA parameters are close to zero and do not improve fit relative to ARIMA, so long memory appears only in volatility, not in returns.</w:t>
      </w:r>
    </w:p>
    <w:p w14:paraId="4355FCFD" w14:textId="14BE67A7" w:rsidR="00E90E38" w:rsidRPr="00E90E38" w:rsidRDefault="00E90E38" w:rsidP="00EB7093">
      <w:pPr>
        <w:numPr>
          <w:ilvl w:val="0"/>
          <w:numId w:val="9"/>
        </w:numPr>
        <w:spacing w:before="100" w:beforeAutospacing="1" w:after="100" w:afterAutospacing="1" w:line="480" w:lineRule="auto"/>
        <w:jc w:val="both"/>
        <w:rPr>
          <w:noProof/>
          <w:lang w:val="en-US"/>
        </w:rPr>
      </w:pPr>
      <w:r w:rsidRPr="00E90E38">
        <w:rPr>
          <w:b/>
          <w:bCs/>
          <w:noProof/>
          <w:lang w:val="en-US"/>
        </w:rPr>
        <w:t>Evidence of fractional persistence.</w:t>
      </w:r>
      <w:r w:rsidR="00D43F60">
        <w:rPr>
          <w:noProof/>
          <w:lang w:val="en-US"/>
        </w:rPr>
        <w:t xml:space="preserve"> FI</w:t>
      </w:r>
      <w:r w:rsidRPr="00E90E38">
        <w:rPr>
          <w:noProof/>
          <w:lang w:val="en-US"/>
        </w:rPr>
        <w:t xml:space="preserve">GARCH captures long-memory dynamics for Bitcoin and BOVESPA, with significant and interpretable </w:t>
      </w:r>
      <m:oMath>
        <m:r>
          <w:rPr>
            <w:rFonts w:ascii="Cambria Math" w:hAnsi="Cambria Math"/>
            <w:noProof/>
            <w:lang w:val="en-US"/>
          </w:rPr>
          <m:t>d</m:t>
        </m:r>
      </m:oMath>
      <w:r w:rsidRPr="00E90E38">
        <w:rPr>
          <w:noProof/>
          <w:lang w:val="en-US"/>
        </w:rPr>
        <w:t>. For mature indices (S&amp;P 500, IBEX 35), persistence is weaker but present.</w:t>
      </w:r>
    </w:p>
    <w:p w14:paraId="54D75658" w14:textId="76460EC5" w:rsidR="00E90E38" w:rsidRPr="00E90E38" w:rsidRDefault="00E90E38" w:rsidP="00EB7093">
      <w:pPr>
        <w:numPr>
          <w:ilvl w:val="0"/>
          <w:numId w:val="9"/>
        </w:numPr>
        <w:spacing w:before="100" w:beforeAutospacing="1" w:after="100" w:afterAutospacing="1" w:line="480" w:lineRule="auto"/>
        <w:jc w:val="both"/>
        <w:rPr>
          <w:noProof/>
          <w:lang w:val="en-US"/>
        </w:rPr>
      </w:pPr>
      <w:r w:rsidRPr="00E90E38">
        <w:rPr>
          <w:b/>
          <w:bCs/>
          <w:noProof/>
          <w:lang w:val="en-US"/>
        </w:rPr>
        <w:t>Marginal predictive gains.</w:t>
      </w:r>
      <w:r w:rsidR="00D43F60">
        <w:rPr>
          <w:noProof/>
          <w:lang w:val="en-US"/>
        </w:rPr>
        <w:t xml:space="preserve"> O</w:t>
      </w:r>
      <w:r w:rsidRPr="00E90E38">
        <w:rPr>
          <w:noProof/>
          <w:lang w:val="en-US"/>
        </w:rPr>
        <w:t>ut-of-sample volatility forecasts show only modest RMSE improvements (≤ 3 %) for FIGARCH; for most series, the difference is statistically insignificant.</w:t>
      </w:r>
    </w:p>
    <w:p w14:paraId="64183F0A" w14:textId="3A4692B1" w:rsidR="00E90E38" w:rsidRPr="00680BEB" w:rsidRDefault="00E90E38" w:rsidP="00EB7093">
      <w:pPr>
        <w:numPr>
          <w:ilvl w:val="0"/>
          <w:numId w:val="9"/>
        </w:numPr>
        <w:spacing w:before="100" w:beforeAutospacing="1" w:after="100" w:afterAutospacing="1" w:line="480" w:lineRule="auto"/>
        <w:jc w:val="both"/>
        <w:rPr>
          <w:noProof/>
          <w:lang w:val="en-US"/>
        </w:rPr>
      </w:pPr>
      <w:r w:rsidRPr="00E90E38">
        <w:rPr>
          <w:b/>
          <w:bCs/>
          <w:noProof/>
          <w:lang w:val="en-US"/>
        </w:rPr>
        <w:t>Consistency with multifractality.</w:t>
      </w:r>
      <w:r w:rsidR="00D43F60">
        <w:rPr>
          <w:noProof/>
          <w:lang w:val="en-US"/>
        </w:rPr>
        <w:t xml:space="preserve"> F</w:t>
      </w:r>
      <w:r w:rsidRPr="00E90E38">
        <w:rPr>
          <w:noProof/>
          <w:lang w:val="en-US"/>
        </w:rPr>
        <w:t xml:space="preserve">IGARCH’s </w:t>
      </w:r>
      <w:r w:rsidRPr="00680BEB">
        <w:rPr>
          <w:noProof/>
          <w:lang w:val="en-US"/>
        </w:rPr>
        <w:t>fractional kernel</w:t>
      </w:r>
      <w:r w:rsidR="00680BEB" w:rsidRPr="00680BEB">
        <w:rPr>
          <w:noProof/>
          <w:lang w:val="en-US"/>
        </w:rPr>
        <w:t xml:space="preserve"> </w:t>
      </w:r>
      <w:r w:rsidR="00680BEB" w:rsidRPr="00680BEB">
        <w:rPr>
          <w:lang w:val="en-US"/>
        </w:rPr>
        <w:t>is broadly consistent with MF-DFA scaling patterns.</w:t>
      </w:r>
      <w:r w:rsidRPr="00680BEB">
        <w:rPr>
          <w:noProof/>
          <w:lang w:val="en-US"/>
        </w:rPr>
        <w:t>, confirming that the model reproduces empirically observed persistence.</w:t>
      </w:r>
    </w:p>
    <w:p w14:paraId="11375101" w14:textId="1CA0A0CB" w:rsidR="00E90E38" w:rsidRPr="00E90E38" w:rsidRDefault="00E90E38" w:rsidP="00EB7093">
      <w:pPr>
        <w:numPr>
          <w:ilvl w:val="0"/>
          <w:numId w:val="9"/>
        </w:numPr>
        <w:spacing w:before="100" w:beforeAutospacing="1" w:after="100" w:afterAutospacing="1" w:line="480" w:lineRule="auto"/>
        <w:jc w:val="both"/>
        <w:rPr>
          <w:noProof/>
          <w:lang w:val="en-US"/>
        </w:rPr>
      </w:pPr>
      <w:r w:rsidRPr="00E90E38">
        <w:rPr>
          <w:b/>
          <w:bCs/>
          <w:noProof/>
          <w:lang w:val="en-US"/>
        </w:rPr>
        <w:t>Fragility under regime shifts.</w:t>
      </w:r>
      <w:r w:rsidR="00A25E6B">
        <w:rPr>
          <w:noProof/>
          <w:lang w:val="en-US"/>
        </w:rPr>
        <w:t xml:space="preserve"> I</w:t>
      </w:r>
      <w:r w:rsidRPr="00E90E38">
        <w:rPr>
          <w:noProof/>
          <w:lang w:val="en-US"/>
        </w:rPr>
        <w:t>n Tesla, FIGARCH degenerates to IGARCH, showing that long-memory models are sensitive to structural breaks and non-stationarity.</w:t>
      </w:r>
    </w:p>
    <w:p w14:paraId="122B5C32" w14:textId="4E28049E" w:rsidR="00E90E38" w:rsidRPr="00E90E38" w:rsidRDefault="00E90E38" w:rsidP="00EB7093">
      <w:pPr>
        <w:numPr>
          <w:ilvl w:val="0"/>
          <w:numId w:val="9"/>
        </w:numPr>
        <w:spacing w:before="100" w:beforeAutospacing="1" w:after="100" w:afterAutospacing="1" w:line="480" w:lineRule="auto"/>
        <w:jc w:val="both"/>
        <w:rPr>
          <w:noProof/>
          <w:lang w:val="en-US"/>
        </w:rPr>
      </w:pPr>
      <w:r w:rsidRPr="00E90E38">
        <w:rPr>
          <w:b/>
          <w:bCs/>
          <w:noProof/>
          <w:lang w:val="en-US"/>
        </w:rPr>
        <w:t>Cost-benefit trade-off.</w:t>
      </w:r>
      <w:r w:rsidR="00A25E6B">
        <w:rPr>
          <w:noProof/>
          <w:lang w:val="en-US"/>
        </w:rPr>
        <w:t xml:space="preserve"> F</w:t>
      </w:r>
      <w:r w:rsidRPr="00E90E38">
        <w:rPr>
          <w:noProof/>
          <w:lang w:val="en-US"/>
        </w:rPr>
        <w:t>IGARCH estimation requires six to seven times more computational effort than GARCH, a cost that may not be justified when predictive or risk-forecasting improvements are minor.</w:t>
      </w:r>
    </w:p>
    <w:p w14:paraId="247CB2EC"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lastRenderedPageBreak/>
        <w:t xml:space="preserve">Overall, the empirical results support a </w:t>
      </w:r>
      <w:r w:rsidRPr="00E90E38">
        <w:rPr>
          <w:b/>
          <w:bCs/>
          <w:noProof/>
          <w:lang w:val="en-US"/>
        </w:rPr>
        <w:t>conditional endorsement</w:t>
      </w:r>
      <w:r w:rsidRPr="00E90E38">
        <w:rPr>
          <w:noProof/>
          <w:lang w:val="en-US"/>
        </w:rPr>
        <w:t xml:space="preserve"> of FIGARCH: it provides a structurally coherent model of volatility persistence but yields limited practical benefits in short-term forecasting contexts.</w:t>
      </w:r>
    </w:p>
    <w:p w14:paraId="38DF6A90" w14:textId="77777777" w:rsidR="00E90E38" w:rsidRPr="00E90E38" w:rsidRDefault="00E90E38" w:rsidP="00EB7093">
      <w:pPr>
        <w:spacing w:before="100" w:beforeAutospacing="1" w:after="100" w:afterAutospacing="1" w:line="480" w:lineRule="auto"/>
        <w:jc w:val="both"/>
        <w:outlineLvl w:val="1"/>
        <w:rPr>
          <w:b/>
          <w:bCs/>
          <w:noProof/>
          <w:sz w:val="36"/>
          <w:szCs w:val="36"/>
          <w:lang w:val="en-US"/>
        </w:rPr>
      </w:pPr>
      <w:r w:rsidRPr="00E90E38">
        <w:rPr>
          <w:b/>
          <w:bCs/>
          <w:noProof/>
          <w:sz w:val="36"/>
          <w:szCs w:val="36"/>
          <w:lang w:val="en-US"/>
        </w:rPr>
        <w:t>5. Risk-Based Evaluation</w:t>
      </w:r>
    </w:p>
    <w:p w14:paraId="6E07D879" w14:textId="46986EA2" w:rsidR="00E90E38" w:rsidRPr="00272BA6" w:rsidRDefault="00E90E38" w:rsidP="00EB7093">
      <w:pPr>
        <w:spacing w:before="100" w:beforeAutospacing="1" w:after="100" w:afterAutospacing="1" w:line="480" w:lineRule="auto"/>
        <w:jc w:val="both"/>
        <w:rPr>
          <w:noProof/>
          <w:lang w:val="en-US"/>
        </w:rPr>
      </w:pPr>
      <w:r w:rsidRPr="00E90E38">
        <w:rPr>
          <w:noProof/>
          <w:lang w:val="en-US"/>
        </w:rPr>
        <w:t xml:space="preserve">Volatility models are not only judged by their statistical fit but by their </w:t>
      </w:r>
      <w:r w:rsidRPr="00E90E38">
        <w:rPr>
          <w:b/>
          <w:bCs/>
          <w:noProof/>
          <w:lang w:val="en-US"/>
        </w:rPr>
        <w:t>ability to quantify financial risk</w:t>
      </w:r>
      <w:r w:rsidRPr="00E90E38">
        <w:rPr>
          <w:noProof/>
          <w:lang w:val="en-US"/>
        </w:rPr>
        <w:t xml:space="preserve">. A model that replicates volatility dynamics yet fails to forecast tail losses accurately is of limited practical value. This section therefore evaluates the performance of GARCH and FIGARCH specifications using </w:t>
      </w:r>
      <w:r w:rsidRPr="00E90E38">
        <w:rPr>
          <w:b/>
          <w:bCs/>
          <w:noProof/>
          <w:lang w:val="en-US"/>
        </w:rPr>
        <w:t>Value-at-Risk (VaR)</w:t>
      </w:r>
      <w:r w:rsidRPr="00E90E38">
        <w:rPr>
          <w:noProof/>
          <w:lang w:val="en-US"/>
        </w:rPr>
        <w:t xml:space="preserve"> backtesting.</w:t>
      </w:r>
      <w:r w:rsidR="00272BA6" w:rsidRPr="00272BA6">
        <w:t xml:space="preserve"> </w:t>
      </w:r>
      <w:r w:rsidR="00272BA6" w:rsidRPr="00272BA6">
        <w:rPr>
          <w:lang w:val="en-US"/>
        </w:rPr>
        <w:t>If the long</w:t>
      </w:r>
      <w:r w:rsidR="00406F3C">
        <w:rPr>
          <w:lang w:val="en-US"/>
        </w:rPr>
        <w:t xml:space="preserve"> memory</w:t>
      </w:r>
      <w:r w:rsidR="00272BA6" w:rsidRPr="00272BA6">
        <w:rPr>
          <w:lang w:val="en-US"/>
        </w:rPr>
        <w:t xml:space="preserve"> volatility persistence documented in Section 2 matters, it should manifest itself in in tail-risk measures rather than only in volatility point forecasts </w:t>
      </w:r>
    </w:p>
    <w:p w14:paraId="3E0882B5"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Our goal is to test whether the persistence captured by FIGARCH translates into better risk coverage — that is, whether predicted quantiles of the return distribution align more closely with realized losses.</w:t>
      </w:r>
    </w:p>
    <w:p w14:paraId="678B3131" w14:textId="4F5AA911" w:rsidR="00E90E38" w:rsidRPr="00E90E38" w:rsidRDefault="00E90E38" w:rsidP="00EB7093">
      <w:pPr>
        <w:spacing w:line="480" w:lineRule="auto"/>
        <w:jc w:val="both"/>
        <w:rPr>
          <w:noProof/>
          <w:lang w:val="en-US"/>
        </w:rPr>
      </w:pPr>
    </w:p>
    <w:p w14:paraId="61EB2407" w14:textId="77777777" w:rsidR="00E90E38" w:rsidRPr="00E90E38" w:rsidRDefault="00E90E38" w:rsidP="00EB7093">
      <w:pPr>
        <w:spacing w:before="100" w:beforeAutospacing="1" w:after="100" w:afterAutospacing="1" w:line="480" w:lineRule="auto"/>
        <w:jc w:val="both"/>
        <w:outlineLvl w:val="2"/>
        <w:rPr>
          <w:b/>
          <w:bCs/>
          <w:noProof/>
          <w:sz w:val="27"/>
          <w:szCs w:val="27"/>
          <w:lang w:val="en-US"/>
        </w:rPr>
      </w:pPr>
      <w:r w:rsidRPr="00E90E38">
        <w:rPr>
          <w:b/>
          <w:bCs/>
          <w:noProof/>
          <w:sz w:val="27"/>
          <w:szCs w:val="27"/>
          <w:lang w:val="en-US"/>
        </w:rPr>
        <w:t>5.1. The Value-at-Risk framework</w:t>
      </w:r>
    </w:p>
    <w:p w14:paraId="14D20AB8" w14:textId="77777777" w:rsidR="00E90E38" w:rsidRPr="00E90E38" w:rsidRDefault="00E90E38" w:rsidP="00EB7093">
      <w:pPr>
        <w:spacing w:before="100" w:beforeAutospacing="1" w:after="100" w:afterAutospacing="1" w:line="480" w:lineRule="auto"/>
        <w:jc w:val="both"/>
        <w:rPr>
          <w:noProof/>
          <w:lang w:val="en-US"/>
        </w:rPr>
      </w:pPr>
      <w:r w:rsidRPr="00E90E38">
        <w:rPr>
          <w:b/>
          <w:bCs/>
          <w:noProof/>
          <w:lang w:val="en-US"/>
        </w:rPr>
        <w:t>Value-at-Risk (VaR)</w:t>
      </w:r>
      <w:r w:rsidRPr="00E90E38">
        <w:rPr>
          <w:noProof/>
          <w:lang w:val="en-US"/>
        </w:rPr>
        <w:t xml:space="preserve"> represents the maximum expected loss over a given horizon and confidence level under normal market conditions. For a one-day horizon, VaR at level </w:t>
      </w:r>
      <m:oMath>
        <m:r>
          <w:rPr>
            <w:rFonts w:ascii="Cambria Math" w:hAnsi="Cambria Math"/>
            <w:noProof/>
            <w:lang w:val="en-US"/>
          </w:rPr>
          <m:t>p</m:t>
        </m:r>
      </m:oMath>
      <w:r w:rsidRPr="00E90E38">
        <w:rPr>
          <w:noProof/>
          <w:lang w:val="en-US"/>
        </w:rPr>
        <w:t>is defined as:</w:t>
      </w:r>
    </w:p>
    <w:p w14:paraId="58F1F714" w14:textId="77777777" w:rsidR="00E90E38" w:rsidRPr="00E90E38" w:rsidRDefault="00E90E38" w:rsidP="00EB7093">
      <w:pPr>
        <w:spacing w:line="480" w:lineRule="auto"/>
        <w:jc w:val="both"/>
        <w:rPr>
          <w:noProof/>
          <w:lang w:val="en-US"/>
        </w:rPr>
      </w:pPr>
      <m:oMathPara>
        <m:oMath>
          <m:r>
            <w:rPr>
              <w:rFonts w:ascii="Cambria Math" w:hAnsi="Cambria Math"/>
              <w:noProof/>
              <w:lang w:val="en-US"/>
            </w:rPr>
            <m:t>Va</m:t>
          </m:r>
          <m:sSub>
            <m:sSubPr>
              <m:ctrlPr>
                <w:rPr>
                  <w:rFonts w:ascii="Cambria Math" w:hAnsi="Cambria Math"/>
                  <w:noProof/>
                  <w:lang w:val="en-US"/>
                </w:rPr>
              </m:ctrlPr>
            </m:sSubPr>
            <m:e>
              <m:r>
                <w:rPr>
                  <w:rFonts w:ascii="Cambria Math" w:hAnsi="Cambria Math"/>
                  <w:noProof/>
                  <w:lang w:val="en-US"/>
                </w:rPr>
                <m:t>R</m:t>
              </m:r>
            </m:e>
            <m:sub>
              <m:r>
                <w:rPr>
                  <w:rFonts w:ascii="Cambria Math" w:hAnsi="Cambria Math"/>
                  <w:noProof/>
                  <w:lang w:val="en-US"/>
                </w:rPr>
                <m:t>t+1</m:t>
              </m:r>
              <m:r>
                <m:rPr>
                  <m:sty m:val="p"/>
                </m:rPr>
                <w:rPr>
                  <w:rFonts w:ascii="Cambria Math" w:hAnsi="Cambria Math"/>
                  <w:noProof/>
                  <w:lang w:val="en-US"/>
                </w:rPr>
                <m:t>∣</m:t>
              </m:r>
              <m:r>
                <w:rPr>
                  <w:rFonts w:ascii="Cambria Math" w:hAnsi="Cambria Math"/>
                  <w:noProof/>
                  <w:lang w:val="en-US"/>
                </w:rPr>
                <m:t>t</m:t>
              </m:r>
            </m:sub>
          </m:sSub>
          <m:r>
            <w:rPr>
              <w:rFonts w:ascii="Cambria Math" w:hAnsi="Cambria Math"/>
              <w:noProof/>
              <w:lang w:val="en-US"/>
            </w:rPr>
            <m:t>(p)=</m:t>
          </m:r>
          <m:sSub>
            <m:sSubPr>
              <m:ctrlPr>
                <w:rPr>
                  <w:rFonts w:ascii="Cambria Math" w:hAnsi="Cambria Math"/>
                  <w:noProof/>
                  <w:lang w:val="en-US"/>
                </w:rPr>
              </m:ctrlPr>
            </m:sSubPr>
            <m:e>
              <m:acc>
                <m:accPr>
                  <m:ctrlPr>
                    <w:rPr>
                      <w:rFonts w:ascii="Cambria Math" w:hAnsi="Cambria Math"/>
                      <w:noProof/>
                      <w:lang w:val="en-US"/>
                    </w:rPr>
                  </m:ctrlPr>
                </m:accPr>
                <m:e>
                  <m:r>
                    <w:rPr>
                      <w:rFonts w:ascii="Cambria Math" w:hAnsi="Cambria Math"/>
                      <w:noProof/>
                      <w:lang w:val="en-US"/>
                    </w:rPr>
                    <m:t>μ</m:t>
                  </m:r>
                </m:e>
              </m:acc>
            </m:e>
            <m:sub>
              <m:r>
                <w:rPr>
                  <w:rFonts w:ascii="Cambria Math" w:hAnsi="Cambria Math"/>
                  <w:noProof/>
                  <w:lang w:val="en-US"/>
                </w:rPr>
                <m:t>t+1</m:t>
              </m:r>
              <m:r>
                <m:rPr>
                  <m:sty m:val="p"/>
                </m:rPr>
                <w:rPr>
                  <w:rFonts w:ascii="Cambria Math" w:hAnsi="Cambria Math"/>
                  <w:noProof/>
                  <w:lang w:val="en-US"/>
                </w:rPr>
                <m:t>∣</m:t>
              </m:r>
              <m:r>
                <w:rPr>
                  <w:rFonts w:ascii="Cambria Math" w:hAnsi="Cambria Math"/>
                  <w:noProof/>
                  <w:lang w:val="en-US"/>
                </w:rPr>
                <m:t>t</m:t>
              </m:r>
            </m:sub>
          </m:sSub>
          <m:r>
            <w:rPr>
              <w:rFonts w:ascii="Cambria Math" w:hAnsi="Cambria Math"/>
              <w:noProof/>
              <w:lang w:val="en-US"/>
            </w:rPr>
            <m:t>+</m:t>
          </m:r>
          <m:sSub>
            <m:sSubPr>
              <m:ctrlPr>
                <w:rPr>
                  <w:rFonts w:ascii="Cambria Math" w:hAnsi="Cambria Math"/>
                  <w:noProof/>
                  <w:lang w:val="en-US"/>
                </w:rPr>
              </m:ctrlPr>
            </m:sSubPr>
            <m:e>
              <m:r>
                <w:rPr>
                  <w:rFonts w:ascii="Cambria Math" w:hAnsi="Cambria Math"/>
                  <w:noProof/>
                  <w:lang w:val="en-US"/>
                </w:rPr>
                <m:t>z</m:t>
              </m:r>
            </m:e>
            <m:sub>
              <m:r>
                <w:rPr>
                  <w:rFonts w:ascii="Cambria Math" w:hAnsi="Cambria Math"/>
                  <w:noProof/>
                  <w:lang w:val="en-US"/>
                </w:rPr>
                <m:t>p</m:t>
              </m:r>
            </m:sub>
          </m:sSub>
          <m:sSub>
            <m:sSubPr>
              <m:ctrlPr>
                <w:rPr>
                  <w:rFonts w:ascii="Cambria Math" w:hAnsi="Cambria Math"/>
                  <w:noProof/>
                  <w:lang w:val="en-US"/>
                </w:rPr>
              </m:ctrlPr>
            </m:sSubPr>
            <m:e>
              <m:acc>
                <m:accPr>
                  <m:ctrlPr>
                    <w:rPr>
                      <w:rFonts w:ascii="Cambria Math" w:hAnsi="Cambria Math"/>
                      <w:noProof/>
                      <w:lang w:val="en-US"/>
                    </w:rPr>
                  </m:ctrlPr>
                </m:accPr>
                <m:e>
                  <m:r>
                    <w:rPr>
                      <w:rFonts w:ascii="Cambria Math" w:hAnsi="Cambria Math"/>
                      <w:noProof/>
                      <w:lang w:val="en-US"/>
                    </w:rPr>
                    <m:t>σ</m:t>
                  </m:r>
                </m:e>
              </m:acc>
            </m:e>
            <m:sub>
              <m:r>
                <w:rPr>
                  <w:rFonts w:ascii="Cambria Math" w:hAnsi="Cambria Math"/>
                  <w:noProof/>
                  <w:lang w:val="en-US"/>
                </w:rPr>
                <m:t>t+1</m:t>
              </m:r>
              <m:r>
                <m:rPr>
                  <m:sty m:val="p"/>
                </m:rPr>
                <w:rPr>
                  <w:rFonts w:ascii="Cambria Math" w:hAnsi="Cambria Math"/>
                  <w:noProof/>
                  <w:lang w:val="en-US"/>
                </w:rPr>
                <m:t>∣</m:t>
              </m:r>
              <m:r>
                <w:rPr>
                  <w:rFonts w:ascii="Cambria Math" w:hAnsi="Cambria Math"/>
                  <w:noProof/>
                  <w:lang w:val="en-US"/>
                </w:rPr>
                <m:t>t</m:t>
              </m:r>
            </m:sub>
          </m:sSub>
          <m:r>
            <w:rPr>
              <w:rFonts w:ascii="Cambria Math" w:hAnsi="Cambria Math"/>
              <w:noProof/>
              <w:lang w:val="en-US"/>
            </w:rPr>
            <m:t>,</m:t>
          </m:r>
          <m:r>
            <m:rPr>
              <m:sty m:val="p"/>
            </m:rPr>
            <w:rPr>
              <w:rFonts w:ascii="Cambria Math" w:hAnsi="Cambria Math"/>
              <w:noProof/>
              <w:lang w:val="en-US"/>
            </w:rPr>
            <w:br/>
          </m:r>
        </m:oMath>
      </m:oMathPara>
    </w:p>
    <w:p w14:paraId="55A0A9FC"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lastRenderedPageBreak/>
        <w:t xml:space="preserve">where </w:t>
      </w:r>
      <m:oMath>
        <m:sSub>
          <m:sSubPr>
            <m:ctrlPr>
              <w:rPr>
                <w:rFonts w:ascii="Cambria Math" w:hAnsi="Cambria Math"/>
                <w:noProof/>
                <w:lang w:val="en-US"/>
              </w:rPr>
            </m:ctrlPr>
          </m:sSubPr>
          <m:e>
            <m:r>
              <w:rPr>
                <w:rFonts w:ascii="Cambria Math" w:hAnsi="Cambria Math"/>
                <w:noProof/>
                <w:lang w:val="en-US"/>
              </w:rPr>
              <m:t>z</m:t>
            </m:r>
          </m:e>
          <m:sub>
            <m:r>
              <w:rPr>
                <w:rFonts w:ascii="Cambria Math" w:hAnsi="Cambria Math"/>
                <w:noProof/>
                <w:lang w:val="en-US"/>
              </w:rPr>
              <m:t>p</m:t>
            </m:r>
          </m:sub>
        </m:sSub>
      </m:oMath>
      <w:r w:rsidRPr="00E90E38">
        <w:rPr>
          <w:noProof/>
          <w:lang w:val="en-US"/>
        </w:rPr>
        <w:t xml:space="preserve">is the quantile of the standardized innovation distribution (typically normal or Student-t), and </w:t>
      </w:r>
      <m:oMath>
        <m:sSub>
          <m:sSubPr>
            <m:ctrlPr>
              <w:rPr>
                <w:rFonts w:ascii="Cambria Math" w:hAnsi="Cambria Math"/>
                <w:noProof/>
                <w:lang w:val="en-US"/>
              </w:rPr>
            </m:ctrlPr>
          </m:sSubPr>
          <m:e>
            <m:acc>
              <m:accPr>
                <m:ctrlPr>
                  <w:rPr>
                    <w:rFonts w:ascii="Cambria Math" w:hAnsi="Cambria Math"/>
                    <w:noProof/>
                    <w:lang w:val="en-US"/>
                  </w:rPr>
                </m:ctrlPr>
              </m:accPr>
              <m:e>
                <m:r>
                  <w:rPr>
                    <w:rFonts w:ascii="Cambria Math" w:hAnsi="Cambria Math"/>
                    <w:noProof/>
                    <w:lang w:val="en-US"/>
                  </w:rPr>
                  <m:t>σ</m:t>
                </m:r>
              </m:e>
            </m:acc>
          </m:e>
          <m:sub>
            <m:r>
              <w:rPr>
                <w:rFonts w:ascii="Cambria Math" w:hAnsi="Cambria Math"/>
                <w:noProof/>
                <w:lang w:val="en-US"/>
              </w:rPr>
              <m:t>t+1</m:t>
            </m:r>
            <m:r>
              <m:rPr>
                <m:sty m:val="p"/>
              </m:rPr>
              <w:rPr>
                <w:rFonts w:ascii="Cambria Math" w:hAnsi="Cambria Math"/>
                <w:noProof/>
                <w:lang w:val="en-US"/>
              </w:rPr>
              <m:t>∣</m:t>
            </m:r>
            <m:r>
              <w:rPr>
                <w:rFonts w:ascii="Cambria Math" w:hAnsi="Cambria Math"/>
                <w:noProof/>
                <w:lang w:val="en-US"/>
              </w:rPr>
              <m:t>t</m:t>
            </m:r>
          </m:sub>
        </m:sSub>
      </m:oMath>
      <w:r w:rsidRPr="00E90E38">
        <w:rPr>
          <w:noProof/>
          <w:lang w:val="en-US"/>
        </w:rPr>
        <w:t>is the one-step-ahead forecast of conditional volatility.</w:t>
      </w:r>
    </w:p>
    <w:p w14:paraId="0FA5FBB8" w14:textId="348DE8A6" w:rsidR="00E90E38" w:rsidRPr="00C85BEE" w:rsidRDefault="00E90E38" w:rsidP="00EB7093">
      <w:pPr>
        <w:spacing w:before="100" w:beforeAutospacing="1" w:after="100" w:afterAutospacing="1" w:line="480" w:lineRule="auto"/>
        <w:jc w:val="both"/>
        <w:rPr>
          <w:noProof/>
          <w:lang w:val="en-US"/>
        </w:rPr>
      </w:pPr>
      <w:r w:rsidRPr="00E90E38">
        <w:rPr>
          <w:noProof/>
          <w:lang w:val="en-US"/>
        </w:rPr>
        <w:t xml:space="preserve">We compute </w:t>
      </w:r>
      <w:r w:rsidRPr="00E90E38">
        <w:rPr>
          <w:b/>
          <w:bCs/>
          <w:noProof/>
          <w:lang w:val="en-US"/>
        </w:rPr>
        <w:t>1 % and 5 % daily VaR</w:t>
      </w:r>
      <w:r w:rsidRPr="00E90E38">
        <w:rPr>
          <w:noProof/>
          <w:lang w:val="en-US"/>
        </w:rPr>
        <w:t xml:space="preserve"> values for each asset and model, assuming conditional normality of residuals. </w:t>
      </w:r>
      <w:r w:rsidR="00C85BEE" w:rsidRPr="00C85BEE">
        <w:rPr>
          <w:lang w:val="en-US"/>
        </w:rPr>
        <w:t>Although heavier-tailed distributions could improve calibration, keeping Gaussian innovations allows a clean comparison of volatility dynamics across models.</w:t>
      </w:r>
    </w:p>
    <w:p w14:paraId="0F51B357" w14:textId="0ADA3FDB" w:rsidR="00E90E38" w:rsidRPr="00E90E38" w:rsidRDefault="00E90E38" w:rsidP="00A41583">
      <w:pPr>
        <w:spacing w:before="100" w:beforeAutospacing="1" w:after="100" w:afterAutospacing="1" w:line="480" w:lineRule="auto"/>
        <w:jc w:val="both"/>
        <w:rPr>
          <w:noProof/>
          <w:lang w:val="en-US"/>
        </w:rPr>
      </w:pPr>
      <w:r w:rsidRPr="00E90E38">
        <w:rPr>
          <w:noProof/>
          <w:lang w:val="en-US"/>
        </w:rPr>
        <w:t xml:space="preserve">Whenever the realized return </w:t>
      </w:r>
      <m:oMath>
        <m:sSub>
          <m:sSubPr>
            <m:ctrlPr>
              <w:rPr>
                <w:rFonts w:ascii="Cambria Math" w:hAnsi="Cambria Math"/>
                <w:noProof/>
                <w:lang w:val="en-US"/>
              </w:rPr>
            </m:ctrlPr>
          </m:sSubPr>
          <m:e>
            <m:r>
              <w:rPr>
                <w:rFonts w:ascii="Cambria Math" w:hAnsi="Cambria Math"/>
                <w:noProof/>
                <w:lang w:val="en-US"/>
              </w:rPr>
              <m:t>r</m:t>
            </m:r>
          </m:e>
          <m:sub>
            <m:r>
              <w:rPr>
                <w:rFonts w:ascii="Cambria Math" w:hAnsi="Cambria Math"/>
                <w:noProof/>
                <w:lang w:val="en-US"/>
              </w:rPr>
              <m:t>t+1</m:t>
            </m:r>
          </m:sub>
        </m:sSub>
      </m:oMath>
      <w:r w:rsidRPr="00E90E38">
        <w:rPr>
          <w:noProof/>
          <w:lang w:val="en-US"/>
        </w:rPr>
        <w:t xml:space="preserve">falls below </w:t>
      </w:r>
      <m:oMath>
        <m:r>
          <w:rPr>
            <w:rFonts w:ascii="Cambria Math" w:hAnsi="Cambria Math"/>
            <w:noProof/>
            <w:lang w:val="en-US"/>
          </w:rPr>
          <m:t>Va</m:t>
        </m:r>
        <m:sSub>
          <m:sSubPr>
            <m:ctrlPr>
              <w:rPr>
                <w:rFonts w:ascii="Cambria Math" w:hAnsi="Cambria Math"/>
                <w:noProof/>
                <w:lang w:val="en-US"/>
              </w:rPr>
            </m:ctrlPr>
          </m:sSubPr>
          <m:e>
            <m:r>
              <w:rPr>
                <w:rFonts w:ascii="Cambria Math" w:hAnsi="Cambria Math"/>
                <w:noProof/>
                <w:lang w:val="en-US"/>
              </w:rPr>
              <m:t>R</m:t>
            </m:r>
          </m:e>
          <m:sub>
            <m:r>
              <w:rPr>
                <w:rFonts w:ascii="Cambria Math" w:hAnsi="Cambria Math"/>
                <w:noProof/>
                <w:lang w:val="en-US"/>
              </w:rPr>
              <m:t>t+1</m:t>
            </m:r>
            <m:r>
              <m:rPr>
                <m:sty m:val="p"/>
              </m:rPr>
              <w:rPr>
                <w:rFonts w:ascii="Cambria Math" w:hAnsi="Cambria Math"/>
                <w:noProof/>
                <w:lang w:val="en-US"/>
              </w:rPr>
              <m:t>∣</m:t>
            </m:r>
            <m:r>
              <w:rPr>
                <w:rFonts w:ascii="Cambria Math" w:hAnsi="Cambria Math"/>
                <w:noProof/>
                <w:lang w:val="en-US"/>
              </w:rPr>
              <m:t>t</m:t>
            </m:r>
          </m:sub>
        </m:sSub>
        <m:r>
          <w:rPr>
            <w:rFonts w:ascii="Cambria Math" w:hAnsi="Cambria Math"/>
            <w:noProof/>
            <w:lang w:val="en-US"/>
          </w:rPr>
          <m:t>(p)</m:t>
        </m:r>
      </m:oMath>
      <w:r w:rsidRPr="00E90E38">
        <w:rPr>
          <w:noProof/>
          <w:lang w:val="en-US"/>
        </w:rPr>
        <w:t xml:space="preserve">, a </w:t>
      </w:r>
      <w:r w:rsidRPr="00E90E38">
        <w:rPr>
          <w:b/>
          <w:bCs/>
          <w:noProof/>
          <w:lang w:val="en-US"/>
        </w:rPr>
        <w:t>violation</w:t>
      </w:r>
      <w:r w:rsidRPr="00E90E38">
        <w:rPr>
          <w:noProof/>
          <w:lang w:val="en-US"/>
        </w:rPr>
        <w:t xml:space="preserve"> (or exception) occurs. A well-calibrated model should produce a violation frequency close to </w:t>
      </w:r>
      <m:oMath>
        <m:r>
          <w:rPr>
            <w:rFonts w:ascii="Cambria Math" w:hAnsi="Cambria Math"/>
            <w:noProof/>
            <w:lang w:val="en-US"/>
          </w:rPr>
          <m:t>p</m:t>
        </m:r>
      </m:oMath>
      <w:r w:rsidRPr="00E90E38">
        <w:rPr>
          <w:noProof/>
          <w:lang w:val="en-US"/>
        </w:rPr>
        <w:t>.</w:t>
      </w:r>
    </w:p>
    <w:p w14:paraId="1D73D257" w14:textId="77777777" w:rsidR="006E35FA" w:rsidRPr="006E35FA" w:rsidRDefault="006E35FA" w:rsidP="00EB7093">
      <w:pPr>
        <w:pStyle w:val="Ttulo3"/>
        <w:spacing w:line="480" w:lineRule="auto"/>
        <w:jc w:val="both"/>
        <w:rPr>
          <w:rFonts w:cs="Times New Roman"/>
          <w:sz w:val="27"/>
          <w:szCs w:val="27"/>
          <w:lang w:val="en-US"/>
        </w:rPr>
      </w:pPr>
      <w:r w:rsidRPr="006E35FA">
        <w:rPr>
          <w:rStyle w:val="Textoennegrita"/>
          <w:rFonts w:cs="Times New Roman"/>
          <w:sz w:val="27"/>
          <w:szCs w:val="27"/>
          <w:lang w:val="en-US"/>
        </w:rPr>
        <w:t>5.2. Kupiec unconditional coverage test</w:t>
      </w:r>
    </w:p>
    <w:p w14:paraId="7F5926C6" w14:textId="599630A2" w:rsidR="006E35FA" w:rsidRPr="006E35FA" w:rsidRDefault="006E35FA" w:rsidP="00EB7093">
      <w:pPr>
        <w:pStyle w:val="NormalWeb"/>
        <w:spacing w:line="480" w:lineRule="auto"/>
        <w:jc w:val="both"/>
        <w:rPr>
          <w:lang w:val="en-US"/>
        </w:rPr>
      </w:pPr>
      <w:r w:rsidRPr="006E35FA">
        <w:rPr>
          <w:lang w:val="en-US"/>
        </w:rPr>
        <w:t xml:space="preserve">To evaluate whether Value-at-Risk forecasts attain the correct violation rate, we use Kupiec’s (1995) unconditional coverage test. The test compares the </w:t>
      </w:r>
      <w:r w:rsidRPr="006E35FA">
        <w:rPr>
          <w:rStyle w:val="Textoennegrita"/>
          <w:rFonts w:eastAsiaTheme="majorEastAsia"/>
          <w:lang w:val="en-US"/>
        </w:rPr>
        <w:t>empirical failure rate</w:t>
      </w:r>
      <w:r w:rsidRPr="006E35FA">
        <w:rPr>
          <w:lang w:val="en-US"/>
        </w:rPr>
        <w:t xml:space="preserve"> </w:t>
      </w:r>
      <m:oMath>
        <m:r>
          <w:rPr>
            <w:rFonts w:ascii="Cambria Math" w:hAnsi="Cambria Math"/>
            <w:lang w:val="en-US"/>
          </w:rPr>
          <m:t>n</m:t>
        </m:r>
        <m:r>
          <m:rPr>
            <m:sty m:val="p"/>
          </m:rPr>
          <w:rPr>
            <w:rFonts w:ascii="Cambria Math" w:hAnsi="Cambria Math"/>
            <w:lang w:val="en-US"/>
          </w:rPr>
          <m:t>/</m:t>
        </m:r>
        <m:r>
          <w:rPr>
            <w:rFonts w:ascii="Cambria Math" w:hAnsi="Cambria Math"/>
            <w:lang w:val="en-US"/>
          </w:rPr>
          <m:t xml:space="preserve">T </m:t>
        </m:r>
      </m:oMath>
      <w:r w:rsidRPr="006E35FA">
        <w:rPr>
          <w:lang w:val="en-US"/>
        </w:rPr>
        <w:t xml:space="preserve">with the nominal level </w:t>
      </w:r>
      <m:oMath>
        <m:r>
          <w:rPr>
            <w:rFonts w:ascii="Cambria Math" w:hAnsi="Cambria Math"/>
            <w:lang w:val="en-US"/>
          </w:rPr>
          <m:t>p</m:t>
        </m:r>
      </m:oMath>
      <w:r w:rsidRPr="006E35FA">
        <w:rPr>
          <w:lang w:val="en-US"/>
        </w:rPr>
        <w:t xml:space="preserve">and computes a likelihood-ratio statistic that follows a </w:t>
      </w:r>
      <m:oMath>
        <m:sSup>
          <m:sSupPr>
            <m:ctrlPr>
              <w:rPr>
                <w:rFonts w:ascii="Cambria Math" w:hAnsi="Cambria Math"/>
                <w:lang w:val="en-US"/>
              </w:rPr>
            </m:ctrlPr>
          </m:sSupPr>
          <m:e>
            <m:r>
              <w:rPr>
                <w:rFonts w:ascii="Cambria Math" w:hAnsi="Cambria Math"/>
                <w:lang w:val="en-US"/>
              </w:rPr>
              <m:t>χ</m:t>
            </m:r>
          </m:e>
          <m:sup>
            <m:r>
              <w:rPr>
                <w:rFonts w:ascii="Cambria Math" w:hAnsi="Cambria Math"/>
                <w:lang w:val="en-US"/>
              </w:rPr>
              <m:t>2</m:t>
            </m:r>
          </m:sup>
        </m:sSup>
        <m:r>
          <w:rPr>
            <w:rFonts w:ascii="Cambria Math" w:hAnsi="Cambria Math"/>
            <w:lang w:val="en-US"/>
          </w:rPr>
          <m:t xml:space="preserve">(1) </m:t>
        </m:r>
      </m:oMath>
      <w:r w:rsidRPr="006E35FA">
        <w:rPr>
          <w:lang w:val="en-US"/>
        </w:rPr>
        <w:t>distribution under the null hypothesis of correct coverage.</w:t>
      </w:r>
    </w:p>
    <w:p w14:paraId="5BB21093" w14:textId="6367B09D" w:rsidR="00E90E38" w:rsidRPr="00E90E38" w:rsidRDefault="006E35FA" w:rsidP="00A41583">
      <w:pPr>
        <w:pStyle w:val="NormalWeb"/>
        <w:spacing w:line="480" w:lineRule="auto"/>
        <w:jc w:val="both"/>
        <w:rPr>
          <w:lang w:val="en-US"/>
        </w:rPr>
      </w:pPr>
      <w:r w:rsidRPr="006E35FA">
        <w:rPr>
          <w:lang w:val="en-US"/>
        </w:rPr>
        <w:t xml:space="preserve">A </w:t>
      </w:r>
      <w:r w:rsidRPr="006E35FA">
        <w:rPr>
          <w:rStyle w:val="Textoennegrita"/>
          <w:rFonts w:eastAsiaTheme="majorEastAsia"/>
          <w:lang w:val="en-US"/>
        </w:rPr>
        <w:t>p-value below 0.05</w:t>
      </w:r>
      <w:r w:rsidRPr="006E35FA">
        <w:rPr>
          <w:lang w:val="en-US"/>
        </w:rPr>
        <w:t xml:space="preserve"> indicates that the model either underestimates or overestimates tail risk. We report both the test statistic and the observed violation frequency, and we complement the analysis with simple inspection of violation clustering, as an adequate VaR model should produce failures that are </w:t>
      </w:r>
      <w:r w:rsidRPr="006E35FA">
        <w:rPr>
          <w:rStyle w:val="Textoennegrita"/>
          <w:rFonts w:eastAsiaTheme="majorEastAsia"/>
          <w:lang w:val="en-US"/>
        </w:rPr>
        <w:t>independent and evenly spaced over time</w:t>
      </w:r>
      <w:r w:rsidRPr="006E35FA">
        <w:rPr>
          <w:lang w:val="en-US"/>
        </w:rPr>
        <w:t>.</w:t>
      </w:r>
    </w:p>
    <w:p w14:paraId="5932B6C9" w14:textId="77777777" w:rsidR="00E90E38" w:rsidRDefault="00E90E38" w:rsidP="00EB7093">
      <w:pPr>
        <w:spacing w:before="100" w:beforeAutospacing="1" w:after="100" w:afterAutospacing="1" w:line="480" w:lineRule="auto"/>
        <w:jc w:val="both"/>
        <w:outlineLvl w:val="2"/>
        <w:rPr>
          <w:b/>
          <w:bCs/>
          <w:noProof/>
          <w:sz w:val="27"/>
          <w:szCs w:val="27"/>
          <w:lang w:val="en-US"/>
        </w:rPr>
      </w:pPr>
      <w:r w:rsidRPr="00E90E38">
        <w:rPr>
          <w:b/>
          <w:bCs/>
          <w:noProof/>
          <w:sz w:val="27"/>
          <w:szCs w:val="27"/>
          <w:lang w:val="en-US"/>
        </w:rPr>
        <w:t>5.3. Empirical VaR results</w:t>
      </w:r>
    </w:p>
    <w:p w14:paraId="248BE2CD" w14:textId="5275713D" w:rsidR="00AC2B45" w:rsidRDefault="00AC2B45" w:rsidP="00EB7093">
      <w:pPr>
        <w:pStyle w:val="NormalWeb"/>
        <w:spacing w:line="480" w:lineRule="auto"/>
        <w:jc w:val="both"/>
        <w:rPr>
          <w:lang w:val="en-US"/>
        </w:rPr>
      </w:pPr>
      <w:r w:rsidRPr="009037E2">
        <w:rPr>
          <w:b/>
          <w:bCs/>
          <w:lang w:val="en-US"/>
        </w:rPr>
        <w:t xml:space="preserve">Table 2 </w:t>
      </w:r>
      <w:r w:rsidR="009037E2" w:rsidRPr="009037E2">
        <w:rPr>
          <w:lang w:val="en-US"/>
        </w:rPr>
        <w:t>summarizes</w:t>
      </w:r>
      <w:r w:rsidRPr="009037E2">
        <w:rPr>
          <w:lang w:val="en-US"/>
        </w:rPr>
        <w:t xml:space="preserve"> VaR violations and Kupiec test statistics for both confidence levels.</w:t>
      </w:r>
      <w:r w:rsidR="009037E2" w:rsidRPr="009037E2">
        <w:rPr>
          <w:lang w:val="en-US"/>
        </w:rPr>
        <w:t xml:space="preserve"> As shown in Table 2, FIGARCH reduces under-coverage relative to GARCH only in </w:t>
      </w:r>
      <w:r w:rsidR="009037E2" w:rsidRPr="009037E2">
        <w:rPr>
          <w:lang w:val="en-US"/>
        </w:rPr>
        <w:lastRenderedPageBreak/>
        <w:t>assets with strong and stable volatility persistence.</w:t>
      </w:r>
      <w:r w:rsidR="009037E2">
        <w:rPr>
          <w:lang w:val="en-US"/>
        </w:rPr>
        <w:t xml:space="preserve"> </w:t>
      </w:r>
      <w:r w:rsidRPr="00627767">
        <w:rPr>
          <w:lang w:val="en-US"/>
        </w:rPr>
        <w:t>Results differ substantially across assets:</w:t>
      </w:r>
    </w:p>
    <w:p w14:paraId="0C7202F0" w14:textId="278017BA" w:rsidR="00627767" w:rsidRDefault="00AC2B45" w:rsidP="00EB7093">
      <w:pPr>
        <w:pStyle w:val="NormalWeb"/>
        <w:spacing w:line="480" w:lineRule="auto"/>
        <w:jc w:val="both"/>
        <w:rPr>
          <w:lang w:val="en-US"/>
        </w:rPr>
      </w:pPr>
      <w:r w:rsidRPr="00627767">
        <w:rPr>
          <w:rStyle w:val="Textoennegrita"/>
          <w:rFonts w:eastAsiaTheme="majorEastAsia"/>
          <w:lang w:val="en-US"/>
        </w:rPr>
        <w:t>S&amp;P 500 and IBEX 35.</w:t>
      </w:r>
    </w:p>
    <w:p w14:paraId="2588A57F" w14:textId="6489904F" w:rsidR="00AC2B45" w:rsidRPr="00627767" w:rsidRDefault="00AC2B45" w:rsidP="00EB7093">
      <w:pPr>
        <w:pStyle w:val="NormalWeb"/>
        <w:spacing w:line="480" w:lineRule="auto"/>
        <w:jc w:val="both"/>
        <w:rPr>
          <w:lang w:val="en-US"/>
        </w:rPr>
      </w:pPr>
      <w:r w:rsidRPr="00627767">
        <w:rPr>
          <w:lang w:val="en-US"/>
        </w:rPr>
        <w:t>Both indices exhibit smooth and weakly persistent volatility. GARCH already achieves correct coverage, and FIGARCH yields almost identical performance. In these markets, long-memory adds interpretive value but no clear improvement in tail-risk forecasting.</w:t>
      </w:r>
    </w:p>
    <w:p w14:paraId="0FE029D9" w14:textId="77777777" w:rsidR="00627767" w:rsidRDefault="00AC2B45" w:rsidP="00EB7093">
      <w:pPr>
        <w:pStyle w:val="NormalWeb"/>
        <w:spacing w:line="480" w:lineRule="auto"/>
        <w:jc w:val="both"/>
        <w:rPr>
          <w:lang w:val="en-US"/>
        </w:rPr>
      </w:pPr>
      <w:r w:rsidRPr="00627767">
        <w:rPr>
          <w:rStyle w:val="Textoennegrita"/>
          <w:rFonts w:eastAsiaTheme="majorEastAsia"/>
          <w:lang w:val="en-US"/>
        </w:rPr>
        <w:t>Bitcoin</w:t>
      </w:r>
    </w:p>
    <w:p w14:paraId="0641B682" w14:textId="66D7FA36" w:rsidR="00AC2B45" w:rsidRPr="007D65FC" w:rsidRDefault="00AC2B45" w:rsidP="00EB7093">
      <w:pPr>
        <w:pStyle w:val="NormalWeb"/>
        <w:spacing w:line="480" w:lineRule="auto"/>
        <w:jc w:val="both"/>
        <w:rPr>
          <w:lang w:val="en-US"/>
        </w:rPr>
      </w:pPr>
      <w:r w:rsidRPr="00627767">
        <w:rPr>
          <w:lang w:val="en-US"/>
        </w:rPr>
        <w:t xml:space="preserve">Bitcoin displays strong persistence and clustered extremes. FIGARCH smooths volatility, producing more conservative VaR forecasts. At both 5% and 1% levels, FIGARCH reduces under-coverage relative to GARCH and passes the Kupiec test, while GARCH fails. Fractional persistence improves risk calibration </w:t>
      </w:r>
      <w:r w:rsidR="007D65FC" w:rsidRPr="007D65FC">
        <w:rPr>
          <w:lang w:val="en-US"/>
        </w:rPr>
        <w:t>even though FIGARCH shows only marginal differences in RMSE relative to GARCH.</w:t>
      </w:r>
    </w:p>
    <w:p w14:paraId="1BA2EEA5" w14:textId="77777777" w:rsidR="00627767" w:rsidRDefault="00AC2B45" w:rsidP="00EB7093">
      <w:pPr>
        <w:pStyle w:val="NormalWeb"/>
        <w:spacing w:line="480" w:lineRule="auto"/>
        <w:jc w:val="both"/>
        <w:rPr>
          <w:rStyle w:val="Textoennegrita"/>
          <w:rFonts w:eastAsiaTheme="majorEastAsia"/>
          <w:lang w:val="en-US"/>
        </w:rPr>
      </w:pPr>
      <w:r w:rsidRPr="00627767">
        <w:rPr>
          <w:rStyle w:val="Textoennegrita"/>
          <w:rFonts w:eastAsiaTheme="majorEastAsia"/>
          <w:lang w:val="en-US"/>
        </w:rPr>
        <w:t>BOVESPA</w:t>
      </w:r>
    </w:p>
    <w:p w14:paraId="220343A3" w14:textId="750C3268" w:rsidR="00AC2B45" w:rsidRPr="00627767" w:rsidRDefault="00433E6A" w:rsidP="00EB7093">
      <w:pPr>
        <w:pStyle w:val="NormalWeb"/>
        <w:spacing w:line="480" w:lineRule="auto"/>
        <w:jc w:val="both"/>
        <w:rPr>
          <w:lang w:val="en-US"/>
        </w:rPr>
      </w:pPr>
      <w:r w:rsidRPr="00627767">
        <w:rPr>
          <w:lang w:val="en-US"/>
        </w:rPr>
        <w:t>Like</w:t>
      </w:r>
      <w:r w:rsidR="00AC2B45" w:rsidRPr="00627767">
        <w:rPr>
          <w:lang w:val="en-US"/>
        </w:rPr>
        <w:t xml:space="preserve"> Bitcoin but less extreme. Both models pass coverage tests, but FIGARCH aligns more closely with nominal tail probabilities, especially at the 1% level.</w:t>
      </w:r>
    </w:p>
    <w:p w14:paraId="52310C92" w14:textId="77777777" w:rsidR="00627767" w:rsidRDefault="00AC2B45" w:rsidP="00EB7093">
      <w:pPr>
        <w:pStyle w:val="NormalWeb"/>
        <w:spacing w:line="480" w:lineRule="auto"/>
        <w:jc w:val="both"/>
        <w:rPr>
          <w:rStyle w:val="Textoennegrita"/>
          <w:rFonts w:eastAsiaTheme="majorEastAsia"/>
          <w:lang w:val="en-US"/>
        </w:rPr>
      </w:pPr>
      <w:r w:rsidRPr="00627767">
        <w:rPr>
          <w:rStyle w:val="Textoennegrita"/>
          <w:rFonts w:eastAsiaTheme="majorEastAsia"/>
          <w:lang w:val="en-US"/>
        </w:rPr>
        <w:t>Tesla</w:t>
      </w:r>
    </w:p>
    <w:p w14:paraId="724696B5" w14:textId="031EDDD6" w:rsidR="00AC2B45" w:rsidRPr="00627767" w:rsidRDefault="00AC2B45" w:rsidP="00EB7093">
      <w:pPr>
        <w:pStyle w:val="NormalWeb"/>
        <w:spacing w:line="480" w:lineRule="auto"/>
        <w:jc w:val="both"/>
        <w:rPr>
          <w:lang w:val="en-US"/>
        </w:rPr>
      </w:pPr>
      <w:r w:rsidRPr="00627767">
        <w:rPr>
          <w:lang w:val="en-US"/>
        </w:rPr>
        <w:t>For Tesla, neither model performs adequately. Violations cluster strongly, reflecting abrupt volatility regime shifts. FIGARCH over-smooths and reacts too slowly to shocks, while GARCH reacts quickly but underestimates persistence thereafter. Both fail the coverage test for opposite reasons—evidence that single-regime models are not appropriate for this series.</w:t>
      </w:r>
    </w:p>
    <w:p w14:paraId="3C03CB9C" w14:textId="4C3FE010" w:rsidR="00627767" w:rsidRPr="00627767" w:rsidRDefault="00C9731F" w:rsidP="00EB7093">
      <w:pPr>
        <w:spacing w:line="480" w:lineRule="auto"/>
        <w:jc w:val="both"/>
        <w:rPr>
          <w:lang w:val="en-US"/>
        </w:rPr>
      </w:pPr>
      <w:r>
        <w:rPr>
          <w:rStyle w:val="Textoennegrita"/>
          <w:lang w:val="en-US"/>
        </w:rPr>
        <w:lastRenderedPageBreak/>
        <w:t xml:space="preserve">Cross-asset </w:t>
      </w:r>
      <w:r w:rsidR="00AC2B45" w:rsidRPr="00627767">
        <w:rPr>
          <w:rStyle w:val="Textoennegrita"/>
          <w:lang w:val="en-US"/>
        </w:rPr>
        <w:t>Interpretation</w:t>
      </w:r>
    </w:p>
    <w:p w14:paraId="7EEF5C93" w14:textId="77777777" w:rsidR="00627767" w:rsidRDefault="00627767" w:rsidP="00EB7093">
      <w:pPr>
        <w:spacing w:line="480" w:lineRule="auto"/>
        <w:jc w:val="both"/>
        <w:rPr>
          <w:lang w:val="en-US"/>
        </w:rPr>
      </w:pPr>
    </w:p>
    <w:p w14:paraId="32651F6B" w14:textId="03FBBF23" w:rsidR="00E90E38" w:rsidRPr="00754A41" w:rsidRDefault="00754A41" w:rsidP="00EB7093">
      <w:pPr>
        <w:spacing w:before="100" w:beforeAutospacing="1" w:after="100" w:afterAutospacing="1" w:line="480" w:lineRule="auto"/>
        <w:jc w:val="both"/>
        <w:rPr>
          <w:noProof/>
          <w:lang w:val="en-US"/>
        </w:rPr>
      </w:pPr>
      <w:r w:rsidRPr="00453225">
        <w:rPr>
          <w:lang w:val="en-US"/>
        </w:rPr>
        <w:t xml:space="preserve">Beyond unconditional coverage, the economic pattern is </w:t>
      </w:r>
      <w:r w:rsidR="00453225" w:rsidRPr="00453225">
        <w:rPr>
          <w:lang w:val="en-US"/>
        </w:rPr>
        <w:t>coherent with the structural</w:t>
      </w:r>
      <w:r w:rsidR="00453225">
        <w:t xml:space="preserve"> </w:t>
      </w:r>
      <w:r w:rsidR="00453225" w:rsidRPr="00453225">
        <w:rPr>
          <w:lang w:val="en-US"/>
        </w:rPr>
        <w:t>diagnostics</w:t>
      </w:r>
      <w:r w:rsidRPr="00453225">
        <w:rPr>
          <w:lang w:val="en-US"/>
        </w:rPr>
        <w:t>:</w:t>
      </w:r>
      <w:r w:rsidRPr="00754A41">
        <w:rPr>
          <w:lang w:val="en-US"/>
        </w:rPr>
        <w:t xml:space="preserve"> FIGARCH provides better tail calibration only when volatility persistence is stable (Bitcoin, BOVESPA). In markets with weak or unstable persistence (S&amp;P 500, IBEX 35), both models perform similarly. Tesla remains the clear exception: its volatility regime shifts cause both models to break down, regardless of how persistence is modelled. This reinforces the link with the persistence diagnostics of Section 4.</w:t>
      </w:r>
    </w:p>
    <w:p w14:paraId="4FA5ED8F" w14:textId="77777777" w:rsidR="00F3249C" w:rsidRPr="00F3249C" w:rsidRDefault="00F3249C" w:rsidP="00EB7093">
      <w:pPr>
        <w:pStyle w:val="NormalWeb"/>
        <w:spacing w:line="480" w:lineRule="auto"/>
        <w:jc w:val="both"/>
        <w:rPr>
          <w:lang w:val="en-US"/>
        </w:rPr>
      </w:pPr>
      <w:r w:rsidRPr="00F3249C">
        <w:rPr>
          <w:lang w:val="en-US"/>
        </w:rPr>
        <w:t>Overall, the VaR results fully align with the structural diagnostics in Section 4: fractional integration only improves risk coverage when volatility persistence is stable across regimes.</w:t>
      </w:r>
    </w:p>
    <w:p w14:paraId="6C732422" w14:textId="45D3EDF8" w:rsidR="00E90E38" w:rsidRPr="00E90E38" w:rsidRDefault="00E90E38" w:rsidP="00EB7093">
      <w:pPr>
        <w:spacing w:line="480" w:lineRule="auto"/>
        <w:jc w:val="both"/>
        <w:rPr>
          <w:noProof/>
          <w:lang w:val="en-US"/>
        </w:rPr>
      </w:pPr>
    </w:p>
    <w:p w14:paraId="096EB59F" w14:textId="77777777" w:rsidR="00A41583" w:rsidRPr="00A41583" w:rsidRDefault="00627767" w:rsidP="00A41583">
      <w:pPr>
        <w:pStyle w:val="Ttulo3"/>
        <w:spacing w:line="480" w:lineRule="auto"/>
        <w:rPr>
          <w:color w:val="000000" w:themeColor="text1"/>
          <w:lang w:val="en-US"/>
        </w:rPr>
      </w:pPr>
      <w:r w:rsidRPr="00A41583">
        <w:rPr>
          <w:rStyle w:val="Textoennegrita"/>
          <w:rFonts w:cs="Times New Roman"/>
          <w:color w:val="000000" w:themeColor="text1"/>
          <w:sz w:val="27"/>
          <w:szCs w:val="27"/>
          <w:lang w:val="en-US"/>
        </w:rPr>
        <w:t xml:space="preserve">5.4 </w:t>
      </w:r>
      <w:r w:rsidR="00A41583" w:rsidRPr="00A41583">
        <w:rPr>
          <w:rStyle w:val="Textoennegrita"/>
          <w:color w:val="000000" w:themeColor="text1"/>
          <w:lang w:val="en-US"/>
        </w:rPr>
        <w:t>When does long-memory modelling matter?</w:t>
      </w:r>
    </w:p>
    <w:p w14:paraId="773A465C" w14:textId="77777777" w:rsidR="00A41583" w:rsidRPr="00A41583" w:rsidRDefault="00A41583" w:rsidP="00A41583">
      <w:pPr>
        <w:pStyle w:val="NormalWeb"/>
        <w:spacing w:line="480" w:lineRule="auto"/>
        <w:jc w:val="both"/>
        <w:rPr>
          <w:lang w:val="en-US"/>
        </w:rPr>
      </w:pPr>
      <w:r w:rsidRPr="00A41583">
        <w:rPr>
          <w:lang w:val="en-US"/>
        </w:rPr>
        <w:t>The empirical results indicate that the usefulness of fractional integration depends critically on the structure of volatility:</w:t>
      </w:r>
    </w:p>
    <w:p w14:paraId="11AA4111" w14:textId="77777777" w:rsidR="00A41583" w:rsidRPr="00A41583" w:rsidRDefault="00A41583" w:rsidP="00A41583">
      <w:pPr>
        <w:pStyle w:val="NormalWeb"/>
        <w:numPr>
          <w:ilvl w:val="0"/>
          <w:numId w:val="44"/>
        </w:numPr>
        <w:spacing w:line="480" w:lineRule="auto"/>
        <w:jc w:val="both"/>
        <w:rPr>
          <w:lang w:val="en-US"/>
        </w:rPr>
      </w:pPr>
      <w:r w:rsidRPr="00A41583">
        <w:rPr>
          <w:rStyle w:val="Textoennegrita"/>
          <w:rFonts w:eastAsiaTheme="majorEastAsia"/>
          <w:lang w:val="en-US"/>
        </w:rPr>
        <w:t>When volatility is strongly persistent and stationary</w:t>
      </w:r>
      <w:r w:rsidRPr="00A41583">
        <w:rPr>
          <w:lang w:val="en-US"/>
        </w:rPr>
        <w:t>, FIGARCH provides better tail-risk calibration (Bitcoin, BOVESPA).</w:t>
      </w:r>
    </w:p>
    <w:p w14:paraId="4B8EF694" w14:textId="77777777" w:rsidR="00A41583" w:rsidRPr="00A41583" w:rsidRDefault="00A41583" w:rsidP="00A41583">
      <w:pPr>
        <w:pStyle w:val="NormalWeb"/>
        <w:numPr>
          <w:ilvl w:val="0"/>
          <w:numId w:val="44"/>
        </w:numPr>
        <w:spacing w:line="480" w:lineRule="auto"/>
        <w:jc w:val="both"/>
        <w:rPr>
          <w:lang w:val="en-US"/>
        </w:rPr>
      </w:pPr>
      <w:r w:rsidRPr="00A41583">
        <w:rPr>
          <w:rStyle w:val="Textoennegrita"/>
          <w:rFonts w:eastAsiaTheme="majorEastAsia"/>
          <w:lang w:val="en-US"/>
        </w:rPr>
        <w:t>When persistence is weak</w:t>
      </w:r>
      <w:r w:rsidRPr="00A41583">
        <w:rPr>
          <w:lang w:val="en-US"/>
        </w:rPr>
        <w:t>, long-memory terms add little information, and standard GARCH remains adequate (S&amp;P 500, IBEX 35).</w:t>
      </w:r>
    </w:p>
    <w:p w14:paraId="46965798" w14:textId="77777777" w:rsidR="00A41583" w:rsidRPr="00A41583" w:rsidRDefault="00A41583" w:rsidP="00A41583">
      <w:pPr>
        <w:pStyle w:val="NormalWeb"/>
        <w:numPr>
          <w:ilvl w:val="0"/>
          <w:numId w:val="44"/>
        </w:numPr>
        <w:spacing w:line="480" w:lineRule="auto"/>
        <w:jc w:val="both"/>
        <w:rPr>
          <w:lang w:val="en-US"/>
        </w:rPr>
      </w:pPr>
      <w:r w:rsidRPr="00A41583">
        <w:rPr>
          <w:rStyle w:val="Textoennegrita"/>
          <w:rFonts w:eastAsiaTheme="majorEastAsia"/>
          <w:lang w:val="en-US"/>
        </w:rPr>
        <w:t>When volatility is dominated by regime shifts</w:t>
      </w:r>
      <w:r w:rsidRPr="00A41583">
        <w:rPr>
          <w:lang w:val="en-US"/>
        </w:rPr>
        <w:t>, neither GARCH nor FIGARCH performs satisfactorily (Tesla).</w:t>
      </w:r>
    </w:p>
    <w:p w14:paraId="10AB352B" w14:textId="77777777" w:rsidR="00A41583" w:rsidRPr="00A41583" w:rsidRDefault="00A41583" w:rsidP="00A41583">
      <w:pPr>
        <w:pStyle w:val="NormalWeb"/>
        <w:spacing w:line="480" w:lineRule="auto"/>
        <w:jc w:val="both"/>
        <w:rPr>
          <w:lang w:val="en-US"/>
        </w:rPr>
      </w:pPr>
      <w:r w:rsidRPr="00A41583">
        <w:rPr>
          <w:lang w:val="en-US"/>
        </w:rPr>
        <w:lastRenderedPageBreak/>
        <w:t xml:space="preserve">Importantly, FIGARCH improves </w:t>
      </w:r>
      <w:r w:rsidRPr="00A41583">
        <w:rPr>
          <w:rStyle w:val="Textoennegrita"/>
          <w:rFonts w:eastAsiaTheme="majorEastAsia"/>
          <w:lang w:val="en-US"/>
        </w:rPr>
        <w:t>Value-at-Risk calibration more than RMSE</w:t>
      </w:r>
      <w:r w:rsidRPr="00A41583">
        <w:rPr>
          <w:lang w:val="en-US"/>
        </w:rPr>
        <w:t xml:space="preserve">, suggesting that fractional persistence affects </w:t>
      </w:r>
      <w:r w:rsidRPr="00A41583">
        <w:rPr>
          <w:rStyle w:val="Textoennegrita"/>
          <w:rFonts w:eastAsiaTheme="majorEastAsia"/>
          <w:lang w:val="en-US"/>
        </w:rPr>
        <w:t xml:space="preserve">tail </w:t>
      </w:r>
      <w:proofErr w:type="spellStart"/>
      <w:r w:rsidRPr="00A41583">
        <w:rPr>
          <w:rStyle w:val="Textoennegrita"/>
          <w:rFonts w:eastAsiaTheme="majorEastAsia"/>
          <w:lang w:val="en-US"/>
        </w:rPr>
        <w:t>behaviour</w:t>
      </w:r>
      <w:proofErr w:type="spellEnd"/>
      <w:r w:rsidRPr="00A41583">
        <w:rPr>
          <w:lang w:val="en-US"/>
        </w:rPr>
        <w:t xml:space="preserve"> rather than point volatility forecasts—an empirical regularity documented in the risk-management literature.</w:t>
      </w:r>
    </w:p>
    <w:p w14:paraId="13236906" w14:textId="77777777" w:rsidR="00A41583" w:rsidRPr="00A41583" w:rsidRDefault="00A41583" w:rsidP="00A41583">
      <w:pPr>
        <w:pStyle w:val="NormalWeb"/>
        <w:spacing w:line="480" w:lineRule="auto"/>
        <w:jc w:val="both"/>
        <w:rPr>
          <w:lang w:val="en-US"/>
        </w:rPr>
      </w:pPr>
      <w:r w:rsidRPr="00A41583">
        <w:rPr>
          <w:lang w:val="en-US"/>
        </w:rPr>
        <w:t>From an economic perspective, FIGARCH generates smoother and more conservative volatility forecasts when persistence is stable, which can improve regulatory capital assessment but may be costly for trading applications. GARCH, in contrast, reacts more quickly to new shocks but can underestimate risk following tranquil periods.</w:t>
      </w:r>
    </w:p>
    <w:p w14:paraId="466EE86E" w14:textId="5080B9B6" w:rsidR="00627767" w:rsidRPr="00B64388" w:rsidRDefault="00627767" w:rsidP="00A41583">
      <w:pPr>
        <w:pStyle w:val="Ttulo3"/>
        <w:spacing w:line="480" w:lineRule="auto"/>
        <w:jc w:val="both"/>
        <w:rPr>
          <w:sz w:val="27"/>
          <w:szCs w:val="27"/>
          <w:lang w:val="en-US"/>
        </w:rPr>
      </w:pPr>
      <w:r w:rsidRPr="00B64388">
        <w:rPr>
          <w:rStyle w:val="Textoennegrita"/>
          <w:sz w:val="27"/>
          <w:szCs w:val="27"/>
          <w:lang w:val="en-US"/>
        </w:rPr>
        <w:t>5.</w:t>
      </w:r>
      <w:r w:rsidR="00A17F5C">
        <w:rPr>
          <w:rStyle w:val="Textoennegrita"/>
          <w:sz w:val="27"/>
          <w:szCs w:val="27"/>
          <w:lang w:val="en-US"/>
        </w:rPr>
        <w:t>5</w:t>
      </w:r>
      <w:r w:rsidRPr="00B64388">
        <w:rPr>
          <w:rStyle w:val="Textoennegrita"/>
          <w:sz w:val="27"/>
          <w:szCs w:val="27"/>
          <w:lang w:val="en-US"/>
        </w:rPr>
        <w:t xml:space="preserve"> Summary</w:t>
      </w:r>
    </w:p>
    <w:p w14:paraId="27D79AE1" w14:textId="77777777" w:rsidR="00627767" w:rsidRPr="00B64388" w:rsidRDefault="00627767" w:rsidP="00EB7093">
      <w:pPr>
        <w:pStyle w:val="NormalWeb"/>
        <w:spacing w:line="480" w:lineRule="auto"/>
        <w:jc w:val="both"/>
        <w:rPr>
          <w:lang w:val="en-US"/>
        </w:rPr>
      </w:pPr>
      <w:r w:rsidRPr="00B64388">
        <w:rPr>
          <w:lang w:val="en-US"/>
        </w:rPr>
        <w:t>Four conclusions emerge from the VaR analysis:</w:t>
      </w:r>
    </w:p>
    <w:p w14:paraId="155D7831" w14:textId="77777777" w:rsidR="00627767" w:rsidRPr="00B64388" w:rsidRDefault="00627767" w:rsidP="00EB7093">
      <w:pPr>
        <w:pStyle w:val="NormalWeb"/>
        <w:numPr>
          <w:ilvl w:val="0"/>
          <w:numId w:val="33"/>
        </w:numPr>
        <w:spacing w:line="480" w:lineRule="auto"/>
        <w:jc w:val="both"/>
        <w:rPr>
          <w:lang w:val="en-US"/>
        </w:rPr>
      </w:pPr>
      <w:r w:rsidRPr="00B64388">
        <w:rPr>
          <w:rStyle w:val="Textoennegrita"/>
          <w:rFonts w:eastAsiaTheme="majorEastAsia"/>
          <w:lang w:val="en-US"/>
        </w:rPr>
        <w:t>FIGARCH improves tail-risk calibration</w:t>
      </w:r>
      <w:r w:rsidRPr="00B64388">
        <w:rPr>
          <w:lang w:val="en-US"/>
        </w:rPr>
        <w:t xml:space="preserve"> for assets with strong and stable volatility persistence (Bitcoin, BOVESPA), reducing under-coverage relative to GARCH.</w:t>
      </w:r>
    </w:p>
    <w:p w14:paraId="3DD8AA18" w14:textId="77777777" w:rsidR="00627767" w:rsidRPr="00B64388" w:rsidRDefault="00627767" w:rsidP="00EB7093">
      <w:pPr>
        <w:pStyle w:val="NormalWeb"/>
        <w:numPr>
          <w:ilvl w:val="0"/>
          <w:numId w:val="33"/>
        </w:numPr>
        <w:spacing w:line="480" w:lineRule="auto"/>
        <w:jc w:val="both"/>
        <w:rPr>
          <w:lang w:val="en-US"/>
        </w:rPr>
      </w:pPr>
      <w:r w:rsidRPr="00B64388">
        <w:rPr>
          <w:rStyle w:val="Textoennegrita"/>
          <w:rFonts w:eastAsiaTheme="majorEastAsia"/>
          <w:lang w:val="en-US"/>
        </w:rPr>
        <w:t>GARCH remains adequate</w:t>
      </w:r>
      <w:r w:rsidRPr="00B64388">
        <w:rPr>
          <w:lang w:val="en-US"/>
        </w:rPr>
        <w:t xml:space="preserve"> for mature markets with weak persistence (S&amp;P 500, IBEX 35), where FIGARCH offers no meaningful advantage.</w:t>
      </w:r>
    </w:p>
    <w:p w14:paraId="3C0240B2" w14:textId="77777777" w:rsidR="00627767" w:rsidRPr="00B64388" w:rsidRDefault="00627767" w:rsidP="00EB7093">
      <w:pPr>
        <w:pStyle w:val="NormalWeb"/>
        <w:numPr>
          <w:ilvl w:val="0"/>
          <w:numId w:val="33"/>
        </w:numPr>
        <w:spacing w:line="480" w:lineRule="auto"/>
        <w:jc w:val="both"/>
        <w:rPr>
          <w:lang w:val="en-US"/>
        </w:rPr>
      </w:pPr>
      <w:r w:rsidRPr="00B64388">
        <w:rPr>
          <w:rStyle w:val="Textoennegrita"/>
          <w:rFonts w:eastAsiaTheme="majorEastAsia"/>
          <w:lang w:val="en-US"/>
        </w:rPr>
        <w:t>Both models fail under regime shifts</w:t>
      </w:r>
      <w:r w:rsidRPr="00B64388">
        <w:rPr>
          <w:lang w:val="en-US"/>
        </w:rPr>
        <w:t xml:space="preserve"> (Tesla), where volatility reacts abruptly and single-regime specifications are inherently inadequate.</w:t>
      </w:r>
    </w:p>
    <w:p w14:paraId="3D78CEAC" w14:textId="77777777" w:rsidR="00627767" w:rsidRPr="00B64388" w:rsidRDefault="00627767" w:rsidP="00EB7093">
      <w:pPr>
        <w:pStyle w:val="NormalWeb"/>
        <w:numPr>
          <w:ilvl w:val="0"/>
          <w:numId w:val="33"/>
        </w:numPr>
        <w:spacing w:line="480" w:lineRule="auto"/>
        <w:jc w:val="both"/>
        <w:rPr>
          <w:lang w:val="en-US"/>
        </w:rPr>
      </w:pPr>
      <w:r w:rsidRPr="00B64388">
        <w:rPr>
          <w:rStyle w:val="Textoennegrita"/>
          <w:rFonts w:eastAsiaTheme="majorEastAsia"/>
          <w:lang w:val="en-US"/>
        </w:rPr>
        <w:t xml:space="preserve">Predictive and risk performance </w:t>
      </w:r>
      <w:proofErr w:type="gramStart"/>
      <w:r w:rsidRPr="00B64388">
        <w:rPr>
          <w:rStyle w:val="Textoennegrita"/>
          <w:rFonts w:eastAsiaTheme="majorEastAsia"/>
          <w:lang w:val="en-US"/>
        </w:rPr>
        <w:t>diverge:</w:t>
      </w:r>
      <w:proofErr w:type="gramEnd"/>
      <w:r w:rsidRPr="00B64388">
        <w:rPr>
          <w:lang w:val="en-US"/>
        </w:rPr>
        <w:t xml:space="preserve"> although FIGARCH provides only marginal gains in RMSE, its smoother volatility paths produce more realistic tail quantiles when persistence is stable.</w:t>
      </w:r>
    </w:p>
    <w:p w14:paraId="38D83B3D" w14:textId="23C09C58" w:rsidR="00E90E38" w:rsidRDefault="00627767" w:rsidP="00EB7093">
      <w:pPr>
        <w:pStyle w:val="NormalWeb"/>
        <w:spacing w:line="480" w:lineRule="auto"/>
        <w:jc w:val="both"/>
        <w:rPr>
          <w:lang w:val="en-US"/>
        </w:rPr>
      </w:pPr>
      <w:r w:rsidRPr="00B64388">
        <w:rPr>
          <w:lang w:val="en-US"/>
        </w:rPr>
        <w:t>Overall, the results show that the benefits of fractional integration are conditional on the structural properties of volatility. Long-memory modelling enhances risk assessment in some markets but offers limited or no advantage in others.</w:t>
      </w:r>
    </w:p>
    <w:p w14:paraId="4A6BE0D4" w14:textId="77777777" w:rsidR="00A17F5C" w:rsidRDefault="00A17F5C" w:rsidP="00EB7093">
      <w:pPr>
        <w:spacing w:line="480" w:lineRule="auto"/>
        <w:jc w:val="both"/>
        <w:rPr>
          <w:noProof/>
          <w:lang w:val="en-US"/>
        </w:rPr>
      </w:pPr>
    </w:p>
    <w:p w14:paraId="51B049F2" w14:textId="4E6F0643" w:rsidR="00A17F5C" w:rsidRPr="00A17F5C" w:rsidRDefault="00A17F5C" w:rsidP="00EB7093">
      <w:pPr>
        <w:spacing w:line="480" w:lineRule="auto"/>
        <w:jc w:val="both"/>
        <w:rPr>
          <w:b/>
          <w:bCs/>
          <w:noProof/>
          <w:sz w:val="27"/>
          <w:szCs w:val="27"/>
          <w:lang w:val="en-US"/>
        </w:rPr>
      </w:pPr>
      <w:r w:rsidRPr="00A17F5C">
        <w:rPr>
          <w:b/>
          <w:bCs/>
          <w:noProof/>
          <w:sz w:val="27"/>
          <w:szCs w:val="27"/>
          <w:lang w:val="en-US"/>
        </w:rPr>
        <w:t>5.</w:t>
      </w:r>
      <w:r>
        <w:rPr>
          <w:b/>
          <w:bCs/>
          <w:noProof/>
          <w:sz w:val="27"/>
          <w:szCs w:val="27"/>
          <w:lang w:val="en-US"/>
        </w:rPr>
        <w:t>6</w:t>
      </w:r>
      <w:r w:rsidRPr="00A17F5C">
        <w:rPr>
          <w:b/>
          <w:bCs/>
          <w:noProof/>
          <w:sz w:val="27"/>
          <w:szCs w:val="27"/>
          <w:lang w:val="en-US"/>
        </w:rPr>
        <w:t xml:space="preserve"> Robustness Analysis</w:t>
      </w:r>
    </w:p>
    <w:p w14:paraId="157FABF1" w14:textId="77777777" w:rsidR="00C559BB" w:rsidRPr="00C559BB" w:rsidRDefault="00C559BB" w:rsidP="00C559BB">
      <w:pPr>
        <w:pStyle w:val="NormalWeb"/>
        <w:spacing w:line="480" w:lineRule="auto"/>
        <w:jc w:val="both"/>
        <w:rPr>
          <w:lang w:val="en-US"/>
        </w:rPr>
      </w:pPr>
      <w:r w:rsidRPr="00C559BB">
        <w:rPr>
          <w:lang w:val="en-US"/>
        </w:rPr>
        <w:t>A series of robustness checks confirms that the main empirical conclusions—</w:t>
      </w:r>
      <w:r w:rsidRPr="00C559BB">
        <w:rPr>
          <w:lang w:val="en-US"/>
        </w:rPr>
        <w:br/>
        <w:t>(1) FIGARCH improves tail-risk calibration only in a subset of markets;</w:t>
      </w:r>
      <w:r w:rsidRPr="00C559BB">
        <w:rPr>
          <w:lang w:val="en-US"/>
        </w:rPr>
        <w:br/>
        <w:t>(2) ARFIMA does not outperform ARIMA in the mean equation; and</w:t>
      </w:r>
      <w:r w:rsidRPr="00C559BB">
        <w:rPr>
          <w:lang w:val="en-US"/>
        </w:rPr>
        <w:br/>
        <w:t>(3) the results are not driven by modelling choices or sample artefacts—are structurally grounded rather than sample-specific.</w:t>
      </w:r>
    </w:p>
    <w:p w14:paraId="5DF3FD23" w14:textId="77777777" w:rsidR="00C559BB" w:rsidRPr="00C559BB" w:rsidRDefault="00C559BB" w:rsidP="00C559BB">
      <w:pPr>
        <w:pStyle w:val="NormalWeb"/>
        <w:spacing w:line="480" w:lineRule="auto"/>
        <w:jc w:val="both"/>
        <w:rPr>
          <w:lang w:val="en-US"/>
        </w:rPr>
      </w:pPr>
      <w:r w:rsidRPr="00C559BB">
        <w:rPr>
          <w:lang w:val="en-US"/>
        </w:rPr>
        <w:t xml:space="preserve">First, </w:t>
      </w:r>
      <w:r w:rsidRPr="00C559BB">
        <w:rPr>
          <w:rStyle w:val="Textoennegrita"/>
          <w:rFonts w:eastAsiaTheme="majorEastAsia"/>
          <w:lang w:val="en-US"/>
        </w:rPr>
        <w:t>subsample analyses</w:t>
      </w:r>
      <w:r w:rsidRPr="00C559BB">
        <w:rPr>
          <w:lang w:val="en-US"/>
        </w:rPr>
        <w:t xml:space="preserve"> show that fractional volatility estimates are stable only in markets where long-memory dynamics are themselves stable. When the sample is partitioned into multiple non-overlapping windows, FIGARCH produces consistent fractional parameters for Bitcoin and BOVESPA, whereas estimates for the S&amp;P 500 and IBEX 35 remain close to the short-memory frontier. Tesla exhibits unstable values and frequent convergence failures. This mirrors the MF-DFA spectra and confirms that FIGARCH outperforms GARCH only when persistence is genuine, stationary, and not contaminated by regime shifts.</w:t>
      </w:r>
    </w:p>
    <w:p w14:paraId="74431794" w14:textId="77777777" w:rsidR="00C559BB" w:rsidRPr="00C559BB" w:rsidRDefault="00C559BB" w:rsidP="00C559BB">
      <w:pPr>
        <w:pStyle w:val="NormalWeb"/>
        <w:spacing w:line="480" w:lineRule="auto"/>
        <w:jc w:val="both"/>
        <w:rPr>
          <w:lang w:val="en-US"/>
        </w:rPr>
      </w:pPr>
      <w:r w:rsidRPr="00C559BB">
        <w:rPr>
          <w:lang w:val="en-US"/>
        </w:rPr>
        <w:t xml:space="preserve">Second, </w:t>
      </w:r>
      <w:r w:rsidRPr="00C559BB">
        <w:rPr>
          <w:rStyle w:val="Textoennegrita"/>
          <w:rFonts w:eastAsiaTheme="majorEastAsia"/>
          <w:lang w:val="en-US"/>
        </w:rPr>
        <w:t>robustness tests for the mean equation</w:t>
      </w:r>
      <w:r w:rsidRPr="00C559BB">
        <w:rPr>
          <w:lang w:val="en-US"/>
        </w:rPr>
        <w:t xml:space="preserve"> show that the absence of long memory in returns is not an artefact of specification. ARFIMA and ARIMA models were re-estimated across alternative sample windows and </w:t>
      </w:r>
      <w:proofErr w:type="spellStart"/>
      <w:r w:rsidRPr="00C559BB">
        <w:rPr>
          <w:lang w:val="en-US"/>
        </w:rPr>
        <w:t>initialisations</w:t>
      </w:r>
      <w:proofErr w:type="spellEnd"/>
      <w:r w:rsidRPr="00C559BB">
        <w:rPr>
          <w:lang w:val="en-US"/>
        </w:rPr>
        <w:t xml:space="preserve"> of the fractional parameter </w:t>
      </w:r>
      <w:r w:rsidRPr="00C559BB">
        <w:rPr>
          <w:rStyle w:val="nfasis"/>
          <w:rFonts w:eastAsiaTheme="majorEastAsia"/>
          <w:lang w:val="en-US"/>
        </w:rPr>
        <w:t>d</w:t>
      </w:r>
      <w:r w:rsidRPr="00C559BB">
        <w:rPr>
          <w:lang w:val="en-US"/>
        </w:rPr>
        <w:t xml:space="preserve">, consistently yielding </w:t>
      </w:r>
      <w:r w:rsidRPr="00C559BB">
        <w:rPr>
          <w:rStyle w:val="nfasis"/>
          <w:rFonts w:eastAsiaTheme="majorEastAsia"/>
          <w:lang w:val="en-US"/>
        </w:rPr>
        <w:t>d ≈ 0</w:t>
      </w:r>
      <w:r w:rsidRPr="00C559BB">
        <w:rPr>
          <w:lang w:val="en-US"/>
        </w:rPr>
        <w:t>. Out-of-sample RMSE and information criteria remain essentially identical across specifications. This reinforces the negative result: ARFIMA does not outperform ARIMA because returns genuinely lack long-range dependence, not because of estimation failure or distributional assumptions.</w:t>
      </w:r>
    </w:p>
    <w:p w14:paraId="4CEC903C" w14:textId="77777777" w:rsidR="00C559BB" w:rsidRPr="00C559BB" w:rsidRDefault="00C559BB" w:rsidP="00C559BB">
      <w:pPr>
        <w:pStyle w:val="NormalWeb"/>
        <w:spacing w:line="480" w:lineRule="auto"/>
        <w:jc w:val="both"/>
        <w:rPr>
          <w:lang w:val="en-US"/>
        </w:rPr>
      </w:pPr>
      <w:r w:rsidRPr="00C559BB">
        <w:rPr>
          <w:lang w:val="en-US"/>
        </w:rPr>
        <w:lastRenderedPageBreak/>
        <w:t xml:space="preserve">Third, </w:t>
      </w:r>
      <w:r w:rsidRPr="00C559BB">
        <w:rPr>
          <w:rStyle w:val="Textoennegrita"/>
          <w:rFonts w:eastAsiaTheme="majorEastAsia"/>
          <w:lang w:val="en-US"/>
        </w:rPr>
        <w:t>changing the innovation distribution</w:t>
      </w:r>
      <w:r w:rsidRPr="00C559BB">
        <w:rPr>
          <w:lang w:val="en-US"/>
        </w:rPr>
        <w:t xml:space="preserve"> from Gaussian to Student-t does not alter the relative ranking of the models. While heavy tails widen absolute VaR levels, FIGARCH continues to reduce under-coverage only in persistent markets, offering no advantage elsewhere. This indicates that FIGARCH’s superior VaR calibration in Bitcoin and BOVESPA stems from volatility persistence rather than distributional assumptions.</w:t>
      </w:r>
    </w:p>
    <w:p w14:paraId="2A663739" w14:textId="2506B763" w:rsidR="00C559BB" w:rsidRPr="00C559BB" w:rsidRDefault="00C559BB" w:rsidP="00C559BB">
      <w:pPr>
        <w:pStyle w:val="NormalWeb"/>
        <w:spacing w:line="480" w:lineRule="auto"/>
        <w:jc w:val="both"/>
        <w:rPr>
          <w:lang w:val="en-US"/>
        </w:rPr>
      </w:pPr>
      <w:r w:rsidRPr="00C559BB">
        <w:rPr>
          <w:lang w:val="en-US"/>
        </w:rPr>
        <w:t xml:space="preserve">Fourth, </w:t>
      </w:r>
      <w:r w:rsidRPr="00C559BB">
        <w:rPr>
          <w:rStyle w:val="Textoennegrita"/>
          <w:rFonts w:eastAsiaTheme="majorEastAsia"/>
          <w:lang w:val="en-US"/>
        </w:rPr>
        <w:t>alternative out-of-sample evaluation windows</w:t>
      </w:r>
      <w:r w:rsidRPr="00C559BB">
        <w:rPr>
          <w:lang w:val="en-US"/>
        </w:rPr>
        <w:t xml:space="preserve"> generate the same qualitative pattern. Forecast accuracy varies across windows, but FIGARCH never outperforms GARCH in markets with weak persistence and consistently improves tail-risk calibration only in markets with strong long-range dependence. This rules out the possibility that the findings depend on a favorable choice of evaluation sample.</w:t>
      </w:r>
    </w:p>
    <w:p w14:paraId="2E614EFD" w14:textId="1B95CC0F" w:rsidR="00C559BB" w:rsidRPr="00C559BB" w:rsidRDefault="00C559BB" w:rsidP="00C559BB">
      <w:pPr>
        <w:pStyle w:val="NormalWeb"/>
        <w:spacing w:line="480" w:lineRule="auto"/>
        <w:jc w:val="both"/>
        <w:rPr>
          <w:lang w:val="en-US"/>
        </w:rPr>
      </w:pPr>
      <w:r w:rsidRPr="00C559BB">
        <w:rPr>
          <w:lang w:val="en-US"/>
        </w:rPr>
        <w:t xml:space="preserve">Finally, </w:t>
      </w:r>
      <w:r w:rsidRPr="00C559BB">
        <w:rPr>
          <w:rStyle w:val="Textoennegrita"/>
          <w:rFonts w:eastAsiaTheme="majorEastAsia"/>
          <w:lang w:val="en-US"/>
        </w:rPr>
        <w:t>estimation diagnostics</w:t>
      </w:r>
      <w:r w:rsidRPr="00C559BB">
        <w:rPr>
          <w:lang w:val="en-US"/>
        </w:rPr>
        <w:t xml:space="preserve"> confirm that FIGARCH’s failures occur only when the data exhibit structural breaks rather than stable long-memory behavior. Convergence to the IGARCH boundary or numerical instability appears exclusively in Tesla, whose volatility process is dominated by abrupt regime shifts. This suggests that the fragility of fractional models reflects structural non-stationarity rather than numerical deficiencies.</w:t>
      </w:r>
    </w:p>
    <w:p w14:paraId="66200C1C" w14:textId="77777777" w:rsidR="00C559BB" w:rsidRPr="00C559BB" w:rsidRDefault="00C559BB" w:rsidP="00C559BB">
      <w:pPr>
        <w:pStyle w:val="NormalWeb"/>
        <w:spacing w:line="480" w:lineRule="auto"/>
        <w:jc w:val="both"/>
        <w:rPr>
          <w:lang w:val="en-US"/>
        </w:rPr>
      </w:pPr>
      <w:r w:rsidRPr="00C559BB">
        <w:rPr>
          <w:lang w:val="en-US"/>
        </w:rPr>
        <w:t>Overall, these robustness checks show that (</w:t>
      </w:r>
      <w:proofErr w:type="spellStart"/>
      <w:r w:rsidRPr="00C559BB">
        <w:rPr>
          <w:lang w:val="en-US"/>
        </w:rPr>
        <w:t>i</w:t>
      </w:r>
      <w:proofErr w:type="spellEnd"/>
      <w:r w:rsidRPr="00C559BB">
        <w:rPr>
          <w:lang w:val="en-US"/>
        </w:rPr>
        <w:t>) FIGARCH outperforms GARCH only when volatility persistence is both structural and stable; (ii) ARFIMA does not outperform ARIMA because returns lack long-range dependence; and (iii) all main results are robust to subsample choice, innovation distribution, evaluation window, and estimation settings.</w:t>
      </w:r>
    </w:p>
    <w:p w14:paraId="4B4AF9D1" w14:textId="77777777" w:rsidR="00E90E38" w:rsidRPr="00E90E38" w:rsidRDefault="00E90E38" w:rsidP="00EB7093">
      <w:pPr>
        <w:spacing w:before="100" w:beforeAutospacing="1" w:after="100" w:afterAutospacing="1" w:line="480" w:lineRule="auto"/>
        <w:jc w:val="both"/>
        <w:outlineLvl w:val="1"/>
        <w:rPr>
          <w:b/>
          <w:bCs/>
          <w:noProof/>
          <w:sz w:val="36"/>
          <w:szCs w:val="36"/>
          <w:lang w:val="en-US"/>
        </w:rPr>
      </w:pPr>
      <w:r w:rsidRPr="00E90E38">
        <w:rPr>
          <w:b/>
          <w:bCs/>
          <w:noProof/>
          <w:sz w:val="36"/>
          <w:szCs w:val="36"/>
          <w:lang w:val="en-US"/>
        </w:rPr>
        <w:t>6. Discussion</w:t>
      </w:r>
    </w:p>
    <w:p w14:paraId="165E941B" w14:textId="32A5E870" w:rsidR="00E90E38" w:rsidRPr="00E90E38" w:rsidRDefault="00E90E38" w:rsidP="00EB7093">
      <w:pPr>
        <w:spacing w:before="100" w:beforeAutospacing="1" w:after="100" w:afterAutospacing="1" w:line="480" w:lineRule="auto"/>
        <w:jc w:val="both"/>
        <w:rPr>
          <w:noProof/>
          <w:lang w:val="en-US"/>
        </w:rPr>
      </w:pPr>
      <w:r w:rsidRPr="00E90E38">
        <w:rPr>
          <w:noProof/>
          <w:lang w:val="en-US"/>
        </w:rPr>
        <w:lastRenderedPageBreak/>
        <w:t xml:space="preserve">The preceding sections have shown that volatility in financial markets exhibits long-memory and multifractal characteristics, and that the </w:t>
      </w:r>
      <w:r w:rsidR="009C0704" w:rsidRPr="00E90E38">
        <w:rPr>
          <w:noProof/>
          <w:lang w:val="en-US"/>
        </w:rPr>
        <w:t>FIGARCH</w:t>
      </w:r>
      <w:r w:rsidR="009C0704">
        <w:rPr>
          <w:noProof/>
          <w:lang w:val="en-US"/>
        </w:rPr>
        <w:t xml:space="preserve">(1, d, 1) specification </w:t>
      </w:r>
      <w:r w:rsidRPr="00E90E38">
        <w:rPr>
          <w:noProof/>
          <w:lang w:val="en-US"/>
        </w:rPr>
        <w:t xml:space="preserve">can capture part of this </w:t>
      </w:r>
      <w:r w:rsidR="009C0704">
        <w:rPr>
          <w:noProof/>
          <w:lang w:val="en-US"/>
        </w:rPr>
        <w:t>persistence</w:t>
      </w:r>
      <w:r w:rsidRPr="00E90E38">
        <w:rPr>
          <w:noProof/>
          <w:lang w:val="en-US"/>
        </w:rPr>
        <w:t xml:space="preserve"> in a parsimonious, parametric form. Nevertheless, the empirical results reveal a fundamental asymmetry between </w:t>
      </w:r>
      <w:r w:rsidRPr="00E90E38">
        <w:rPr>
          <w:b/>
          <w:bCs/>
          <w:noProof/>
          <w:lang w:val="en-US"/>
        </w:rPr>
        <w:t>structural coherence</w:t>
      </w:r>
      <w:r w:rsidRPr="00E90E38">
        <w:rPr>
          <w:noProof/>
          <w:lang w:val="en-US"/>
        </w:rPr>
        <w:t xml:space="preserve"> and </w:t>
      </w:r>
      <w:r w:rsidRPr="00E90E38">
        <w:rPr>
          <w:b/>
          <w:bCs/>
          <w:noProof/>
          <w:lang w:val="en-US"/>
        </w:rPr>
        <w:t>predictive usefulness</w:t>
      </w:r>
      <w:r w:rsidRPr="00E90E38">
        <w:rPr>
          <w:noProof/>
          <w:lang w:val="en-US"/>
        </w:rPr>
        <w:t>: FIGARCH is theoretically well aligned with the data’s scaling properties, but its practical performance, especially in short-horizon forecasting, remains comparable to GARCH.</w:t>
      </w:r>
    </w:p>
    <w:p w14:paraId="3C91933E" w14:textId="78E7E8AE" w:rsidR="00E90E38" w:rsidRPr="00E90E38" w:rsidRDefault="00E90E38" w:rsidP="00EB7093">
      <w:pPr>
        <w:spacing w:before="100" w:beforeAutospacing="1" w:after="100" w:afterAutospacing="1" w:line="480" w:lineRule="auto"/>
        <w:jc w:val="both"/>
        <w:rPr>
          <w:noProof/>
          <w:lang w:val="en-US"/>
        </w:rPr>
      </w:pPr>
      <w:r w:rsidRPr="00E90E38">
        <w:rPr>
          <w:noProof/>
          <w:lang w:val="en-US"/>
        </w:rPr>
        <w:t>This section discusses the implications of these findings in terms of interpretation, robustness, and computational trade-offs.</w:t>
      </w:r>
    </w:p>
    <w:p w14:paraId="37CA8D29" w14:textId="77777777" w:rsidR="00E90E38" w:rsidRPr="00E90E38" w:rsidRDefault="00E90E38" w:rsidP="00EB7093">
      <w:pPr>
        <w:spacing w:before="100" w:beforeAutospacing="1" w:after="100" w:afterAutospacing="1" w:line="480" w:lineRule="auto"/>
        <w:jc w:val="both"/>
        <w:outlineLvl w:val="2"/>
        <w:rPr>
          <w:b/>
          <w:bCs/>
          <w:noProof/>
          <w:sz w:val="27"/>
          <w:szCs w:val="27"/>
          <w:lang w:val="en-US"/>
        </w:rPr>
      </w:pPr>
      <w:r w:rsidRPr="00E90E38">
        <w:rPr>
          <w:b/>
          <w:bCs/>
          <w:noProof/>
          <w:sz w:val="27"/>
          <w:szCs w:val="27"/>
          <w:lang w:val="en-US"/>
        </w:rPr>
        <w:t>6.1. Structural interpretation: long memory vs. regime change</w:t>
      </w:r>
    </w:p>
    <w:p w14:paraId="70963D5A" w14:textId="77BE266D" w:rsidR="00E90E38" w:rsidRPr="00E90E38" w:rsidRDefault="00C613A1" w:rsidP="00EB7093">
      <w:pPr>
        <w:spacing w:before="100" w:beforeAutospacing="1" w:after="100" w:afterAutospacing="1" w:line="480" w:lineRule="auto"/>
        <w:jc w:val="both"/>
        <w:rPr>
          <w:noProof/>
          <w:lang w:val="en-US"/>
        </w:rPr>
      </w:pPr>
      <w:r>
        <w:rPr>
          <w:b/>
          <w:bCs/>
          <w:noProof/>
          <w:lang w:val="en-US"/>
        </w:rPr>
        <w:t>F</w:t>
      </w:r>
      <w:r w:rsidR="00E90E38" w:rsidRPr="00E90E38">
        <w:rPr>
          <w:b/>
          <w:bCs/>
          <w:noProof/>
          <w:lang w:val="en-US"/>
        </w:rPr>
        <w:t>ractional integration captures stable persistence but fails under structural instability</w:t>
      </w:r>
      <w:r w:rsidR="00E90E38" w:rsidRPr="00E90E38">
        <w:rPr>
          <w:noProof/>
          <w:lang w:val="en-US"/>
        </w:rPr>
        <w:t xml:space="preserve">. In financial volatility, persistence often arises from heterogeneous trading horizons or information aggregation mechanisms that evolve slowly over time. FIGARCH models this persistence as a single, stationary process with constant fractional order </w:t>
      </w:r>
      <m:oMath>
        <m:r>
          <w:rPr>
            <w:rFonts w:ascii="Cambria Math" w:hAnsi="Cambria Math"/>
            <w:noProof/>
            <w:lang w:val="en-US"/>
          </w:rPr>
          <m:t>d</m:t>
        </m:r>
      </m:oMath>
      <w:r w:rsidR="00E90E38" w:rsidRPr="00E90E38">
        <w:rPr>
          <w:noProof/>
          <w:lang w:val="en-US"/>
        </w:rPr>
        <w:t>.</w:t>
      </w:r>
    </w:p>
    <w:p w14:paraId="4EBC8F45"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However, when volatility changes are driven by regime shifts—such as Tesla’s transition from a speculative growth stock to a large-cap index constituent—the single-parameter fractional operator cannot adapt. The estimation algorithm interprets these shifts as evidence of permanent memory, inflating </w:t>
      </w:r>
      <m:oMath>
        <m:r>
          <w:rPr>
            <w:rFonts w:ascii="Cambria Math" w:hAnsi="Cambria Math"/>
            <w:noProof/>
            <w:lang w:val="en-US"/>
          </w:rPr>
          <m:t>d</m:t>
        </m:r>
      </m:oMath>
      <w:r w:rsidRPr="00E90E38">
        <w:rPr>
          <w:noProof/>
          <w:lang w:val="en-US"/>
        </w:rPr>
        <w:t xml:space="preserve">toward unity and leading to the pathological </w:t>
      </w:r>
      <w:r w:rsidRPr="00E90E38">
        <w:rPr>
          <w:b/>
          <w:bCs/>
          <w:noProof/>
          <w:lang w:val="en-US"/>
        </w:rPr>
        <w:t>IGARCH collapse</w:t>
      </w:r>
      <w:r w:rsidRPr="00E90E38">
        <w:rPr>
          <w:noProof/>
          <w:lang w:val="en-US"/>
        </w:rPr>
        <w:t>.</w:t>
      </w:r>
    </w:p>
    <w:p w14:paraId="32D1215C" w14:textId="54D50FB8"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This reinforces a broader point in empirical finance: </w:t>
      </w:r>
      <w:r w:rsidRPr="00E90E38">
        <w:rPr>
          <w:b/>
          <w:bCs/>
          <w:noProof/>
          <w:lang w:val="en-US"/>
        </w:rPr>
        <w:t>long memory and structural breaks can be observationally similar</w:t>
      </w:r>
      <w:r w:rsidRPr="00E90E38">
        <w:rPr>
          <w:noProof/>
          <w:lang w:val="en-US"/>
        </w:rPr>
        <w:t xml:space="preserve">. As Diebold and Inoue (2001) and Granger and Hyung (2004) noted, a process that alternates between distinct volatility regimes can </w:t>
      </w:r>
      <w:r w:rsidRPr="00E90E38">
        <w:rPr>
          <w:noProof/>
          <w:lang w:val="en-US"/>
        </w:rPr>
        <w:lastRenderedPageBreak/>
        <w:t>mimic fractional persistence in its aggregated behavior. Distinguishing genuine long memory from spurious persistence due to structural change is therefore essential.</w:t>
      </w:r>
    </w:p>
    <w:p w14:paraId="1BF9915A" w14:textId="1C3A5E08" w:rsidR="00E90E38" w:rsidRPr="00E90E38" w:rsidRDefault="00C613A1" w:rsidP="00EB7093">
      <w:pPr>
        <w:spacing w:before="100" w:beforeAutospacing="1" w:after="100" w:afterAutospacing="1" w:line="480" w:lineRule="auto"/>
        <w:jc w:val="both"/>
        <w:rPr>
          <w:noProof/>
          <w:lang w:val="en-US"/>
        </w:rPr>
      </w:pPr>
      <w:r>
        <w:rPr>
          <w:noProof/>
          <w:lang w:val="en-US"/>
        </w:rPr>
        <w:t>Assets with</w:t>
      </w:r>
      <w:r w:rsidR="00E90E38" w:rsidRPr="00E90E38">
        <w:rPr>
          <w:noProof/>
          <w:lang w:val="en-US"/>
        </w:rPr>
        <w:t xml:space="preserve"> stable fractional estimates (Bitcoin and BOVESPA) </w:t>
      </w:r>
      <w:r>
        <w:rPr>
          <w:noProof/>
          <w:lang w:val="en-US"/>
        </w:rPr>
        <w:t>display continuous volatility behavior</w:t>
      </w:r>
      <w:r w:rsidR="00E90E38" w:rsidRPr="00E90E38">
        <w:rPr>
          <w:noProof/>
          <w:lang w:val="en-US"/>
        </w:rPr>
        <w:t xml:space="preserve">. </w:t>
      </w:r>
      <w:r>
        <w:rPr>
          <w:noProof/>
          <w:lang w:val="en-US"/>
        </w:rPr>
        <w:t>Tesla does not.</w:t>
      </w:r>
    </w:p>
    <w:p w14:paraId="4065883D" w14:textId="0138C65D"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This suggests that </w:t>
      </w:r>
      <w:r w:rsidRPr="00E90E38">
        <w:rPr>
          <w:b/>
          <w:bCs/>
          <w:noProof/>
          <w:lang w:val="en-US"/>
        </w:rPr>
        <w:t>fractional models should be interpreted conditionally</w:t>
      </w:r>
      <w:r w:rsidRPr="00E90E38">
        <w:rPr>
          <w:noProof/>
          <w:lang w:val="en-US"/>
        </w:rPr>
        <w:t>: they describe how volatility behaves when the system’s underlying structure is stable, but not necessarily across transitions.</w:t>
      </w:r>
    </w:p>
    <w:p w14:paraId="12285C90" w14:textId="77777777" w:rsidR="00E90E38" w:rsidRPr="00E90E38" w:rsidRDefault="00E90E38" w:rsidP="00EB7093">
      <w:pPr>
        <w:spacing w:before="100" w:beforeAutospacing="1" w:after="100" w:afterAutospacing="1" w:line="480" w:lineRule="auto"/>
        <w:jc w:val="both"/>
        <w:outlineLvl w:val="2"/>
        <w:rPr>
          <w:b/>
          <w:bCs/>
          <w:noProof/>
          <w:sz w:val="27"/>
          <w:szCs w:val="27"/>
          <w:lang w:val="en-US"/>
        </w:rPr>
      </w:pPr>
      <w:r w:rsidRPr="00E90E38">
        <w:rPr>
          <w:b/>
          <w:bCs/>
          <w:noProof/>
          <w:sz w:val="27"/>
          <w:szCs w:val="27"/>
          <w:lang w:val="en-US"/>
        </w:rPr>
        <w:t>6.2. Relation to multifractality</w:t>
      </w:r>
    </w:p>
    <w:p w14:paraId="03EA5731" w14:textId="779A6BEA" w:rsidR="00DD1249" w:rsidRPr="00DD1249" w:rsidRDefault="00DD1249" w:rsidP="00EB7093">
      <w:pPr>
        <w:pStyle w:val="NormalWeb"/>
        <w:spacing w:line="480" w:lineRule="auto"/>
        <w:jc w:val="both"/>
        <w:rPr>
          <w:lang w:val="en-US"/>
        </w:rPr>
      </w:pPr>
      <w:r w:rsidRPr="00DD1249">
        <w:rPr>
          <w:lang w:val="en-US"/>
        </w:rPr>
        <w:t xml:space="preserve">The non-parametric MF-DFA results revealed broad scaling spectra for the variance of returns, indicating that volatility persistence is not homogeneous but distributed across multiple scaling exponents. </w:t>
      </w:r>
      <w:r w:rsidR="007D65FC" w:rsidRPr="007D65FC">
        <w:rPr>
          <w:lang w:val="en-US"/>
        </w:rPr>
        <w:t xml:space="preserve">FIGARCH captures the </w:t>
      </w:r>
      <w:r w:rsidR="00C24C28">
        <w:rPr>
          <w:lang w:val="en-US"/>
        </w:rPr>
        <w:t>principal</w:t>
      </w:r>
      <w:r w:rsidR="007D65FC" w:rsidRPr="007D65FC">
        <w:rPr>
          <w:lang w:val="en-US"/>
        </w:rPr>
        <w:t xml:space="preserve"> component of this persistence through its fractional-differencing parameter </w:t>
      </w:r>
      <w:r w:rsidR="007D65FC" w:rsidRPr="007D65FC">
        <w:rPr>
          <w:i/>
          <w:iCs/>
          <w:lang w:val="en-US"/>
        </w:rPr>
        <w:t>d</w:t>
      </w:r>
      <w:r w:rsidR="007D65FC" w:rsidRPr="007D65FC">
        <w:rPr>
          <w:lang w:val="en-US"/>
        </w:rPr>
        <w:t>.</w:t>
      </w:r>
      <w:r w:rsidRPr="007D65FC">
        <w:rPr>
          <w:lang w:val="en-US"/>
        </w:rPr>
        <w:t xml:space="preserve"> In this sense, FIGARCH</w:t>
      </w:r>
      <w:r w:rsidRPr="00DD1249">
        <w:rPr>
          <w:lang w:val="en-US"/>
        </w:rPr>
        <w:t xml:space="preserve"> can be viewed as a low-dimensional parametric projection of the multifractal properties uncovered by MF-DFA: it embeds the dominant persistence pattern in a tractable stochastic framework suitable for estimation and forecasting.</w:t>
      </w:r>
    </w:p>
    <w:p w14:paraId="501FA0A8" w14:textId="4A4350CB" w:rsidR="00DD1249" w:rsidRPr="00DD1249" w:rsidRDefault="00DD1249" w:rsidP="00EB7093">
      <w:pPr>
        <w:pStyle w:val="NormalWeb"/>
        <w:spacing w:line="480" w:lineRule="auto"/>
        <w:jc w:val="both"/>
        <w:rPr>
          <w:lang w:val="en-US"/>
        </w:rPr>
      </w:pPr>
      <w:r w:rsidRPr="00DD1249">
        <w:rPr>
          <w:lang w:val="en-US"/>
        </w:rPr>
        <w:t xml:space="preserve">The link between the multifractal scaling exponent </w:t>
      </w:r>
      <m:oMath>
        <m:r>
          <w:rPr>
            <w:rFonts w:ascii="Cambria Math" w:hAnsi="Cambria Math"/>
            <w:lang w:val="en-US"/>
          </w:rPr>
          <m:t xml:space="preserve">h(2) </m:t>
        </m:r>
      </m:oMath>
      <w:r w:rsidRPr="00DD1249">
        <w:rPr>
          <w:lang w:val="en-US"/>
        </w:rPr>
        <w:t xml:space="preserve">obtained from MF-DFA and the fractional-differencing parameter </w:t>
      </w:r>
      <m:oMath>
        <m:r>
          <w:rPr>
            <w:rFonts w:ascii="Cambria Math" w:hAnsi="Cambria Math"/>
            <w:lang w:val="en-US"/>
          </w:rPr>
          <m:t>d</m:t>
        </m:r>
      </m:oMath>
      <w:r w:rsidRPr="00DD1249">
        <w:rPr>
          <w:lang w:val="en-US"/>
        </w:rPr>
        <w:t xml:space="preserve">estimated in FIGARCH is theoretically given by </w:t>
      </w:r>
      <m:oMath>
        <m:r>
          <w:rPr>
            <w:rFonts w:ascii="Cambria Math" w:hAnsi="Cambria Math"/>
            <w:lang w:val="en-US"/>
          </w:rPr>
          <m:t xml:space="preserve">H=d+0.5 </m:t>
        </m:r>
      </m:oMath>
      <w:r w:rsidRPr="00DD1249">
        <w:rPr>
          <w:lang w:val="en-US"/>
        </w:rPr>
        <w:t>(Baillie et al., 1996; Kantelhardt et al., 2002). Both metrics describe long</w:t>
      </w:r>
      <w:r w:rsidR="00406F3C">
        <w:rPr>
          <w:lang w:val="en-US"/>
        </w:rPr>
        <w:t xml:space="preserve"> memory</w:t>
      </w:r>
      <w:r w:rsidRPr="00DD1249">
        <w:rPr>
          <w:lang w:val="en-US"/>
        </w:rPr>
        <w:t xml:space="preserve"> dependence from complementary perspectives: </w:t>
      </w:r>
      <m:oMath>
        <m:r>
          <w:rPr>
            <w:rFonts w:ascii="Cambria Math" w:hAnsi="Cambria Math"/>
            <w:lang w:val="en-US"/>
          </w:rPr>
          <m:t xml:space="preserve">h(2) </m:t>
        </m:r>
      </m:oMath>
      <w:r w:rsidRPr="00DD1249">
        <w:rPr>
          <w:lang w:val="en-US"/>
        </w:rPr>
        <w:t xml:space="preserve">provides a non-parametric assessment based on the scaling of fluctuations, whereas </w:t>
      </w:r>
      <m:oMath>
        <m:r>
          <w:rPr>
            <w:rFonts w:ascii="Cambria Math" w:hAnsi="Cambria Math"/>
            <w:lang w:val="en-US"/>
          </w:rPr>
          <m:t xml:space="preserve">d </m:t>
        </m:r>
      </m:oMath>
      <w:r w:rsidRPr="00DD1249">
        <w:rPr>
          <w:lang w:val="en-US"/>
        </w:rPr>
        <w:t>parameterizes the same persistence within a conditional-variance model.</w:t>
      </w:r>
    </w:p>
    <w:p w14:paraId="68632D29" w14:textId="75362217" w:rsidR="00DD1249" w:rsidRPr="00DD1249" w:rsidRDefault="00DD1249" w:rsidP="00EB7093">
      <w:pPr>
        <w:pStyle w:val="NormalWeb"/>
        <w:spacing w:line="480" w:lineRule="auto"/>
        <w:jc w:val="both"/>
        <w:rPr>
          <w:lang w:val="en-US"/>
        </w:rPr>
      </w:pPr>
      <w:r w:rsidRPr="00DD1249">
        <w:rPr>
          <w:lang w:val="en-US"/>
        </w:rPr>
        <w:lastRenderedPageBreak/>
        <w:t xml:space="preserve">Empirically, however, </w:t>
      </w:r>
      <m:oMath>
        <m:r>
          <w:rPr>
            <w:rFonts w:ascii="Cambria Math" w:hAnsi="Cambria Math"/>
            <w:lang w:val="en-US"/>
          </w:rPr>
          <m:t xml:space="preserve">h(2) </m:t>
        </m:r>
      </m:oMath>
      <w:r w:rsidRPr="00DD1249">
        <w:rPr>
          <w:lang w:val="en-US"/>
        </w:rPr>
        <w:t xml:space="preserve">does not predict </w:t>
      </w:r>
      <m:oMath>
        <m:r>
          <w:rPr>
            <w:rFonts w:ascii="Cambria Math" w:hAnsi="Cambria Math"/>
            <w:lang w:val="en-US"/>
          </w:rPr>
          <m:t xml:space="preserve">d </m:t>
        </m:r>
      </m:oMath>
      <w:r w:rsidRPr="00DD1249">
        <w:rPr>
          <w:lang w:val="en-US"/>
        </w:rPr>
        <w:t xml:space="preserve">precisely. In moderately persistent assets such as the S&amp;P 500 and IBEX 35, MF-DFA indicates multifractal scaling even when FIGARCH yields a small or insignificant </w:t>
      </w:r>
      <m:oMath>
        <m:r>
          <w:rPr>
            <w:rFonts w:ascii="Cambria Math" w:hAnsi="Cambria Math"/>
            <w:lang w:val="en-US"/>
          </w:rPr>
          <m:t>d</m:t>
        </m:r>
      </m:oMath>
      <w:r w:rsidRPr="00DD1249">
        <w:rPr>
          <w:lang w:val="en-US"/>
        </w:rPr>
        <w:t xml:space="preserve">. This divergence reflects the fact that FIGARCH compresses the multifractal structure into a single persistence parameter, capturing the dominant memory but not the full range of scaling behaviour. Consistency between </w:t>
      </w:r>
      <m:oMath>
        <m:r>
          <w:rPr>
            <w:rFonts w:ascii="Cambria Math" w:hAnsi="Cambria Math"/>
            <w:lang w:val="en-US"/>
          </w:rPr>
          <m:t xml:space="preserve">h(2) </m:t>
        </m:r>
      </m:oMath>
      <w:r w:rsidRPr="00DD1249">
        <w:rPr>
          <w:lang w:val="en-US"/>
        </w:rPr>
        <w:t xml:space="preserve">and </w:t>
      </w:r>
      <m:oMath>
        <m:r>
          <w:rPr>
            <w:rFonts w:ascii="Cambria Math" w:hAnsi="Cambria Math"/>
            <w:lang w:val="en-US"/>
          </w:rPr>
          <m:t xml:space="preserve">d </m:t>
        </m:r>
      </m:oMath>
      <w:r w:rsidRPr="00DD1249">
        <w:rPr>
          <w:lang w:val="en-US"/>
        </w:rPr>
        <w:t>therefore emerges only for genuinely long-memory series—such as Bitcoin and BOVESPA—while discrepancies elsewhere highlight the limits of fractional models in representing heterogeneous volatility dynamics.</w:t>
      </w:r>
    </w:p>
    <w:p w14:paraId="095574CC" w14:textId="38C6BD7F" w:rsidR="00E90E38" w:rsidRPr="00E90E38" w:rsidRDefault="00DD1249" w:rsidP="00EB7093">
      <w:pPr>
        <w:pStyle w:val="NormalWeb"/>
        <w:spacing w:line="480" w:lineRule="auto"/>
        <w:jc w:val="both"/>
        <w:rPr>
          <w:lang w:val="en-US"/>
        </w:rPr>
      </w:pPr>
      <w:r w:rsidRPr="00DD1249">
        <w:rPr>
          <w:lang w:val="en-US"/>
        </w:rPr>
        <w:t xml:space="preserve">Furthermore, estimating </w:t>
      </w:r>
      <m:oMath>
        <m:r>
          <w:rPr>
            <w:rFonts w:ascii="Cambria Math" w:hAnsi="Cambria Math"/>
            <w:lang w:val="en-US"/>
          </w:rPr>
          <m:t>d</m:t>
        </m:r>
      </m:oMath>
      <w:r w:rsidRPr="00DD1249">
        <w:rPr>
          <w:lang w:val="en-US"/>
        </w:rPr>
        <w:t xml:space="preserve">indirectly from </w:t>
      </w:r>
      <m:oMath>
        <m:r>
          <w:rPr>
            <w:rFonts w:ascii="Cambria Math" w:hAnsi="Cambria Math"/>
            <w:lang w:val="en-US"/>
          </w:rPr>
          <m:t>H</m:t>
        </m:r>
      </m:oMath>
      <w:r w:rsidRPr="00DD1249">
        <w:rPr>
          <w:lang w:val="en-US"/>
        </w:rPr>
        <w:t xml:space="preserve">or </w:t>
      </w:r>
      <m:oMath>
        <m:r>
          <w:rPr>
            <w:rFonts w:ascii="Cambria Math" w:hAnsi="Cambria Math"/>
            <w:lang w:val="en-US"/>
          </w:rPr>
          <m:t>h(2)</m:t>
        </m:r>
      </m:oMath>
      <w:r w:rsidRPr="00DD1249">
        <w:rPr>
          <w:lang w:val="en-US"/>
        </w:rPr>
        <w:t xml:space="preserve">is known to be statistically noisy. Empirical studies (Teverovsky &amp; Taqqu, 1997; Mikosch &amp; Starica, 2000) show that </w:t>
      </w:r>
      <m:oMath>
        <m:r>
          <w:rPr>
            <w:rFonts w:ascii="Cambria Math" w:hAnsi="Cambria Math"/>
            <w:lang w:val="en-US"/>
          </w:rPr>
          <m:t>H</m:t>
        </m:r>
      </m:oMath>
      <w:r w:rsidRPr="00DD1249">
        <w:rPr>
          <w:lang w:val="en-US"/>
        </w:rPr>
        <w:t xml:space="preserve">-based estimates of long memory are highly sensitive to short-term dependence, structural breaks, and finite-sample effects. Consequently, inferring </w:t>
      </w:r>
      <m:oMath>
        <m:r>
          <w:rPr>
            <w:rFonts w:ascii="Cambria Math" w:hAnsi="Cambria Math"/>
            <w:lang w:val="en-US"/>
          </w:rPr>
          <m:t xml:space="preserve">d </m:t>
        </m:r>
      </m:oMath>
      <w:r w:rsidRPr="00DD1249">
        <w:rPr>
          <w:lang w:val="en-US"/>
        </w:rPr>
        <w:t xml:space="preserve">from </w:t>
      </w:r>
      <m:oMath>
        <m:r>
          <w:rPr>
            <w:rFonts w:ascii="Cambria Math" w:hAnsi="Cambria Math"/>
            <w:lang w:val="en-US"/>
          </w:rPr>
          <m:t>H</m:t>
        </m:r>
      </m:oMath>
      <w:r w:rsidRPr="00DD1249">
        <w:rPr>
          <w:lang w:val="en-US"/>
        </w:rPr>
        <w:t>is unreliable in financial data, reinforcing the need to estimate fractional parameters directly within a parametric framework such as FIGARCH.</w:t>
      </w:r>
    </w:p>
    <w:p w14:paraId="378AEDB7" w14:textId="77777777" w:rsidR="007D65FC" w:rsidRDefault="007D65FC" w:rsidP="00EB7093">
      <w:pPr>
        <w:spacing w:before="100" w:beforeAutospacing="1" w:after="100" w:afterAutospacing="1" w:line="480" w:lineRule="auto"/>
        <w:jc w:val="both"/>
        <w:outlineLvl w:val="2"/>
        <w:rPr>
          <w:b/>
          <w:bCs/>
          <w:noProof/>
          <w:sz w:val="27"/>
          <w:szCs w:val="27"/>
          <w:lang w:val="en-US"/>
        </w:rPr>
      </w:pPr>
    </w:p>
    <w:p w14:paraId="2E6E6AC9" w14:textId="540DFC0A" w:rsidR="00E90E38" w:rsidRDefault="00E90E38" w:rsidP="00EB7093">
      <w:pPr>
        <w:spacing w:before="100" w:beforeAutospacing="1" w:after="100" w:afterAutospacing="1" w:line="480" w:lineRule="auto"/>
        <w:jc w:val="both"/>
        <w:outlineLvl w:val="2"/>
        <w:rPr>
          <w:b/>
          <w:bCs/>
          <w:noProof/>
          <w:sz w:val="27"/>
          <w:szCs w:val="27"/>
          <w:lang w:val="en-US"/>
        </w:rPr>
      </w:pPr>
      <w:r w:rsidRPr="00E90E38">
        <w:rPr>
          <w:b/>
          <w:bCs/>
          <w:noProof/>
          <w:sz w:val="27"/>
          <w:szCs w:val="27"/>
          <w:lang w:val="en-US"/>
        </w:rPr>
        <w:t>6.3. Predictive implications</w:t>
      </w:r>
    </w:p>
    <w:p w14:paraId="13022B97" w14:textId="1E98AA0E" w:rsidR="00640272" w:rsidRPr="00640272" w:rsidRDefault="00640272" w:rsidP="00EB7093">
      <w:pPr>
        <w:pStyle w:val="NormalWeb"/>
        <w:spacing w:line="480" w:lineRule="auto"/>
        <w:jc w:val="both"/>
        <w:rPr>
          <w:lang w:val="en-US"/>
        </w:rPr>
      </w:pPr>
      <w:r w:rsidRPr="00640272">
        <w:rPr>
          <w:lang w:val="en-US"/>
        </w:rPr>
        <w:t>Long-memory models modify volatility forecasts primarily through smoothing rather than by improving short-term responsiveness. The fractional</w:t>
      </w:r>
      <w:r w:rsidR="00836A2E">
        <w:rPr>
          <w:lang w:val="en-US"/>
        </w:rPr>
        <w:t>-</w:t>
      </w:r>
      <w:r w:rsidRPr="00640272">
        <w:rPr>
          <w:lang w:val="en-US"/>
        </w:rPr>
        <w:t>differencing operator filters out high-frequency noise and produces more persistent volatility paths. This structure can yield slightly better VaR calibration in assets where volatility persistence is strong and stable, because tail quantiles depend more on long-run variance levels than on rapid adjustments to shocks.</w:t>
      </w:r>
    </w:p>
    <w:p w14:paraId="554EEBD6" w14:textId="77777777" w:rsidR="00640272" w:rsidRPr="00640272" w:rsidRDefault="00640272" w:rsidP="00EB7093">
      <w:pPr>
        <w:pStyle w:val="NormalWeb"/>
        <w:spacing w:line="480" w:lineRule="auto"/>
        <w:jc w:val="both"/>
        <w:rPr>
          <w:lang w:val="en-US"/>
        </w:rPr>
      </w:pPr>
      <w:r w:rsidRPr="00640272">
        <w:rPr>
          <w:lang w:val="en-US"/>
        </w:rPr>
        <w:lastRenderedPageBreak/>
        <w:t>However, this same smoothing reduces adaptability to new information. In assets where volatility reacts quickly or undergoes episodic regime changes—such as Tesla—FIGARCH responds too slowly, leading to larger short-horizon forecast errors and frequent convergence issues. In contrast, when persistence is weak (S&amp;P 500, IBEX 35), the fractional component adds little beyond the standard GARCH structure.</w:t>
      </w:r>
    </w:p>
    <w:p w14:paraId="4FBA627C" w14:textId="7A6BF879" w:rsidR="00640272" w:rsidRPr="00640272" w:rsidRDefault="00640272" w:rsidP="00EB7093">
      <w:pPr>
        <w:pStyle w:val="NormalWeb"/>
        <w:spacing w:line="480" w:lineRule="auto"/>
        <w:jc w:val="both"/>
        <w:rPr>
          <w:lang w:val="en-US"/>
        </w:rPr>
      </w:pPr>
      <w:r w:rsidRPr="00640272">
        <w:rPr>
          <w:lang w:val="en-US"/>
        </w:rPr>
        <w:t>Overall, these results indicate that the practical usefulness of FIGARCH is conditional on the data-generating process. Long-memory models are most effective when volatility behavior is strong and stable; when persistence is weak or unstable, short-memory models remain more reliable for both forecasting and risk management.</w:t>
      </w:r>
    </w:p>
    <w:p w14:paraId="3D94AF39" w14:textId="55DB2B03" w:rsidR="00E90E38" w:rsidRPr="00E90E38" w:rsidRDefault="00E90E38" w:rsidP="00EB7093">
      <w:pPr>
        <w:spacing w:line="480" w:lineRule="auto"/>
        <w:jc w:val="both"/>
        <w:rPr>
          <w:noProof/>
          <w:lang w:val="en-US"/>
        </w:rPr>
      </w:pPr>
    </w:p>
    <w:p w14:paraId="0C12EC76" w14:textId="77777777" w:rsidR="00E90E38" w:rsidRPr="00E90E38" w:rsidRDefault="00E90E38" w:rsidP="00EB7093">
      <w:pPr>
        <w:spacing w:before="100" w:beforeAutospacing="1" w:after="100" w:afterAutospacing="1" w:line="480" w:lineRule="auto"/>
        <w:jc w:val="both"/>
        <w:outlineLvl w:val="2"/>
        <w:rPr>
          <w:b/>
          <w:bCs/>
          <w:noProof/>
          <w:sz w:val="27"/>
          <w:szCs w:val="27"/>
          <w:lang w:val="en-US"/>
        </w:rPr>
      </w:pPr>
      <w:r w:rsidRPr="00E90E38">
        <w:rPr>
          <w:b/>
          <w:bCs/>
          <w:noProof/>
          <w:sz w:val="27"/>
          <w:szCs w:val="27"/>
          <w:lang w:val="en-US"/>
        </w:rPr>
        <w:t>6.4. Computational cost and robustness</w:t>
      </w:r>
    </w:p>
    <w:p w14:paraId="4D061AAC" w14:textId="6303DC9B"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A practical </w:t>
      </w:r>
      <w:r w:rsidR="007D65FC">
        <w:rPr>
          <w:noProof/>
          <w:lang w:val="en-US"/>
        </w:rPr>
        <w:t>limitation</w:t>
      </w:r>
      <w:r w:rsidRPr="00E90E38">
        <w:rPr>
          <w:noProof/>
          <w:lang w:val="en-US"/>
        </w:rPr>
        <w:t xml:space="preserve"> of FIGARCH is its computational intensity. Each estimation involves recursive computation of fractional lag weights and repeated likelihood evaluations. For the datasets analyzed, FIGARCH required on average </w:t>
      </w:r>
      <w:r w:rsidRPr="00E90E38">
        <w:rPr>
          <w:b/>
          <w:bCs/>
          <w:noProof/>
          <w:lang w:val="en-US"/>
        </w:rPr>
        <w:t>six to seven times longer</w:t>
      </w:r>
      <w:r w:rsidRPr="00E90E38">
        <w:rPr>
          <w:noProof/>
          <w:lang w:val="en-US"/>
        </w:rPr>
        <w:t xml:space="preserve"> to converge than GARCH and exhibited a higher rate of non-convergence (≈10–15 % of estimations).</w:t>
      </w:r>
    </w:p>
    <w:p w14:paraId="7E3A0DF9"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The </w:t>
      </w:r>
      <w:r w:rsidRPr="00E90E38">
        <w:rPr>
          <w:b/>
          <w:bCs/>
          <w:noProof/>
          <w:lang w:val="en-US"/>
        </w:rPr>
        <w:t>sensitivity to starting values</w:t>
      </w:r>
      <w:r w:rsidRPr="00E90E38">
        <w:rPr>
          <w:noProof/>
          <w:lang w:val="en-US"/>
        </w:rPr>
        <w:t xml:space="preserve"> is another source of fragility. When initialized poorly, optimization algorithms may converge to local minima or edge solutions (</w:t>
      </w:r>
      <m:oMath>
        <m:r>
          <w:rPr>
            <w:rFonts w:ascii="Cambria Math" w:hAnsi="Cambria Math"/>
            <w:noProof/>
            <w:lang w:val="en-US"/>
          </w:rPr>
          <m:t>d→1</m:t>
        </m:r>
      </m:oMath>
      <w:r w:rsidRPr="00E90E38">
        <w:rPr>
          <w:noProof/>
          <w:lang w:val="en-US"/>
        </w:rPr>
        <w:t>). We mitigated this issue by using multi-start optimization and constrained parameter ranges, but the problem illustrates why fractional models, despite their elegance, remain challenging for large-scale or high-frequency applications.</w:t>
      </w:r>
    </w:p>
    <w:p w14:paraId="1FED3963" w14:textId="4246724E" w:rsidR="00E90E38" w:rsidRPr="00E90E38" w:rsidRDefault="00E90E38" w:rsidP="00EB7093">
      <w:pPr>
        <w:spacing w:before="100" w:beforeAutospacing="1" w:after="100" w:afterAutospacing="1" w:line="480" w:lineRule="auto"/>
        <w:jc w:val="both"/>
        <w:rPr>
          <w:noProof/>
          <w:lang w:val="en-US"/>
        </w:rPr>
      </w:pPr>
      <w:r w:rsidRPr="00E90E38">
        <w:rPr>
          <w:noProof/>
          <w:lang w:val="en-US"/>
        </w:rPr>
        <w:lastRenderedPageBreak/>
        <w:t>These findings suggest that computational cost is not merely a technical inconvenience</w:t>
      </w:r>
      <w:r w:rsidR="00C24C28">
        <w:rPr>
          <w:noProof/>
          <w:lang w:val="en-US"/>
        </w:rPr>
        <w:t>,</w:t>
      </w:r>
      <w:r w:rsidRPr="00E90E38">
        <w:rPr>
          <w:noProof/>
          <w:lang w:val="en-US"/>
        </w:rPr>
        <w:t xml:space="preserve"> but an indicator of model sensitivity: when FIGARCH struggles to converge, it is often because the assumption of constant persistence is violated by the data.</w:t>
      </w:r>
    </w:p>
    <w:p w14:paraId="6ABF4375" w14:textId="2EBEC044" w:rsidR="00E90E38" w:rsidRPr="00E90E38" w:rsidRDefault="00E90E38" w:rsidP="00EB7093">
      <w:pPr>
        <w:spacing w:line="480" w:lineRule="auto"/>
        <w:jc w:val="both"/>
        <w:rPr>
          <w:noProof/>
          <w:lang w:val="en-US"/>
        </w:rPr>
      </w:pPr>
    </w:p>
    <w:p w14:paraId="468BDE0F" w14:textId="77777777" w:rsidR="00E90E38" w:rsidRPr="00E90E38" w:rsidRDefault="00E90E38" w:rsidP="00EB7093">
      <w:pPr>
        <w:spacing w:before="100" w:beforeAutospacing="1" w:after="100" w:afterAutospacing="1" w:line="480" w:lineRule="auto"/>
        <w:jc w:val="both"/>
        <w:outlineLvl w:val="2"/>
        <w:rPr>
          <w:b/>
          <w:bCs/>
          <w:noProof/>
          <w:sz w:val="27"/>
          <w:szCs w:val="27"/>
          <w:lang w:val="en-US"/>
        </w:rPr>
      </w:pPr>
      <w:r w:rsidRPr="00E90E38">
        <w:rPr>
          <w:b/>
          <w:bCs/>
          <w:noProof/>
          <w:sz w:val="27"/>
          <w:szCs w:val="27"/>
          <w:lang w:val="en-US"/>
        </w:rPr>
        <w:t>6.5. Broader implications for volatility modeling</w:t>
      </w:r>
    </w:p>
    <w:p w14:paraId="7ED2B744"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The contrast between FIGARCH and GARCH reflects a more general evolution in volatility modeling: a shift from </w:t>
      </w:r>
      <w:r w:rsidRPr="00E90E38">
        <w:rPr>
          <w:b/>
          <w:bCs/>
          <w:noProof/>
          <w:lang w:val="en-US"/>
        </w:rPr>
        <w:t>parametric parsimony</w:t>
      </w:r>
      <w:r w:rsidRPr="00E90E38">
        <w:rPr>
          <w:noProof/>
          <w:lang w:val="en-US"/>
        </w:rPr>
        <w:t xml:space="preserve"> to </w:t>
      </w:r>
      <w:r w:rsidRPr="00E90E38">
        <w:rPr>
          <w:b/>
          <w:bCs/>
          <w:noProof/>
          <w:lang w:val="en-US"/>
        </w:rPr>
        <w:t>structural realism</w:t>
      </w:r>
      <w:r w:rsidRPr="00E90E38">
        <w:rPr>
          <w:noProof/>
          <w:lang w:val="en-US"/>
        </w:rPr>
        <w:t xml:space="preserve">. GARCH models are simple and robust but assume exponential decay. FIGARCH introduces fractional persistence, improving realism but complicating estimation. More advanced models—such as </w:t>
      </w:r>
      <w:r w:rsidRPr="00E90E38">
        <w:rPr>
          <w:b/>
          <w:bCs/>
          <w:noProof/>
          <w:lang w:val="en-US"/>
        </w:rPr>
        <w:t>HAR (Corsi, 2009)</w:t>
      </w:r>
      <w:r w:rsidRPr="00E90E38">
        <w:rPr>
          <w:noProof/>
          <w:lang w:val="en-US"/>
        </w:rPr>
        <w:t xml:space="preserve"> or </w:t>
      </w:r>
      <w:r w:rsidRPr="00E90E38">
        <w:rPr>
          <w:b/>
          <w:bCs/>
          <w:noProof/>
          <w:lang w:val="en-US"/>
        </w:rPr>
        <w:t>Markov-switching GARCH (Gray, 1996)</w:t>
      </w:r>
      <w:r w:rsidRPr="00E90E38">
        <w:rPr>
          <w:noProof/>
          <w:lang w:val="en-US"/>
        </w:rPr>
        <w:t>—go further by accommodating multiple horizons or latent regimes.</w:t>
      </w:r>
    </w:p>
    <w:p w14:paraId="74CDB964"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Each step in this progression expands the model’s descriptive power but narrows its operational simplicity. The challenge for empirical researchers is therefore to </w:t>
      </w:r>
      <w:r w:rsidRPr="00E90E38">
        <w:rPr>
          <w:b/>
          <w:bCs/>
          <w:noProof/>
          <w:lang w:val="en-US"/>
        </w:rPr>
        <w:t>balance descriptive accuracy with usability</w:t>
      </w:r>
      <w:r w:rsidRPr="00E90E38">
        <w:rPr>
          <w:noProof/>
          <w:lang w:val="en-US"/>
        </w:rPr>
        <w:t>. Our results suggest that for many practical purposes—daily forecasting, VaR estimation—the incremental benefits of FIGARCH over GARCH may not justify its added complexity.</w:t>
      </w:r>
    </w:p>
    <w:p w14:paraId="134E1DC1"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However, FIGARCH remains valuable in </w:t>
      </w:r>
      <w:r w:rsidRPr="00E90E38">
        <w:rPr>
          <w:b/>
          <w:bCs/>
          <w:noProof/>
          <w:lang w:val="en-US"/>
        </w:rPr>
        <w:t>two contexts</w:t>
      </w:r>
      <w:r w:rsidRPr="00E90E38">
        <w:rPr>
          <w:noProof/>
          <w:lang w:val="en-US"/>
        </w:rPr>
        <w:t>:</w:t>
      </w:r>
    </w:p>
    <w:p w14:paraId="36D8224C" w14:textId="4422E78C" w:rsidR="00E90E38" w:rsidRPr="00E90E38" w:rsidRDefault="00E90E38" w:rsidP="00EB7093">
      <w:pPr>
        <w:numPr>
          <w:ilvl w:val="0"/>
          <w:numId w:val="15"/>
        </w:numPr>
        <w:spacing w:before="100" w:beforeAutospacing="1" w:after="100" w:afterAutospacing="1" w:line="480" w:lineRule="auto"/>
        <w:jc w:val="both"/>
        <w:rPr>
          <w:noProof/>
          <w:lang w:val="en-US"/>
        </w:rPr>
      </w:pPr>
      <w:r w:rsidRPr="00E90E38">
        <w:rPr>
          <w:b/>
          <w:bCs/>
          <w:noProof/>
          <w:lang w:val="en-US"/>
        </w:rPr>
        <w:t>As a diagnostic benchmark:</w:t>
      </w:r>
      <w:r w:rsidRPr="00E90E38">
        <w:rPr>
          <w:noProof/>
          <w:lang w:val="en-US"/>
        </w:rPr>
        <w:t xml:space="preserve"> Its fractional parameter </w:t>
      </w:r>
      <m:oMath>
        <m:r>
          <w:rPr>
            <w:rFonts w:ascii="Cambria Math" w:hAnsi="Cambria Math"/>
            <w:noProof/>
            <w:lang w:val="en-US"/>
          </w:rPr>
          <m:t xml:space="preserve">d </m:t>
        </m:r>
      </m:oMath>
      <w:r w:rsidRPr="00E90E38">
        <w:rPr>
          <w:noProof/>
          <w:lang w:val="en-US"/>
        </w:rPr>
        <w:t>provides an interpretable measure of persistence that complements non-parametric tests.</w:t>
      </w:r>
    </w:p>
    <w:p w14:paraId="1CA88565" w14:textId="77777777" w:rsidR="00E90E38" w:rsidRPr="00E90E38" w:rsidRDefault="00E90E38" w:rsidP="00EB7093">
      <w:pPr>
        <w:numPr>
          <w:ilvl w:val="0"/>
          <w:numId w:val="15"/>
        </w:numPr>
        <w:spacing w:before="100" w:beforeAutospacing="1" w:after="100" w:afterAutospacing="1" w:line="480" w:lineRule="auto"/>
        <w:jc w:val="both"/>
        <w:rPr>
          <w:noProof/>
          <w:lang w:val="en-US"/>
        </w:rPr>
      </w:pPr>
      <w:r w:rsidRPr="00E90E38">
        <w:rPr>
          <w:b/>
          <w:bCs/>
          <w:noProof/>
          <w:lang w:val="en-US"/>
        </w:rPr>
        <w:t>As a bridge to multifractal theory:</w:t>
      </w:r>
      <w:r w:rsidRPr="00E90E38">
        <w:rPr>
          <w:noProof/>
          <w:lang w:val="en-US"/>
        </w:rPr>
        <w:t xml:space="preserve"> It connects econometric and physical perspectives on scaling in financial markets, facilitating interdisciplinary interpretation.</w:t>
      </w:r>
    </w:p>
    <w:p w14:paraId="0812279F" w14:textId="67CE5667" w:rsidR="00E90E38" w:rsidRPr="00E90E38" w:rsidRDefault="00E90E38" w:rsidP="00EB7093">
      <w:pPr>
        <w:spacing w:line="480" w:lineRule="auto"/>
        <w:jc w:val="both"/>
        <w:rPr>
          <w:noProof/>
          <w:lang w:val="en-US"/>
        </w:rPr>
      </w:pPr>
    </w:p>
    <w:p w14:paraId="3B86AD84" w14:textId="77777777" w:rsidR="00E90E38" w:rsidRPr="00E90E38" w:rsidRDefault="00E90E38" w:rsidP="00EB7093">
      <w:pPr>
        <w:spacing w:before="100" w:beforeAutospacing="1" w:after="100" w:afterAutospacing="1" w:line="480" w:lineRule="auto"/>
        <w:jc w:val="both"/>
        <w:outlineLvl w:val="2"/>
        <w:rPr>
          <w:b/>
          <w:bCs/>
          <w:noProof/>
          <w:sz w:val="27"/>
          <w:szCs w:val="27"/>
          <w:lang w:val="en-US"/>
        </w:rPr>
      </w:pPr>
      <w:r w:rsidRPr="00E90E38">
        <w:rPr>
          <w:b/>
          <w:bCs/>
          <w:noProof/>
          <w:sz w:val="27"/>
          <w:szCs w:val="27"/>
          <w:lang w:val="en-US"/>
        </w:rPr>
        <w:t>6.6. Future directions</w:t>
      </w:r>
    </w:p>
    <w:p w14:paraId="51F4AC28" w14:textId="77777777" w:rsidR="00C613A1" w:rsidRDefault="00C613A1" w:rsidP="00EB7093">
      <w:pPr>
        <w:pStyle w:val="NormalWeb"/>
        <w:spacing w:line="480" w:lineRule="auto"/>
        <w:jc w:val="both"/>
        <w:rPr>
          <w:lang w:val="en-US"/>
        </w:rPr>
      </w:pPr>
      <w:r w:rsidRPr="00C613A1">
        <w:rPr>
          <w:lang w:val="en-US"/>
        </w:rPr>
        <w:t>The limitations identified in this study suggest several promising avenues for further research</w:t>
      </w:r>
      <w:r>
        <w:rPr>
          <w:lang w:val="en-US"/>
        </w:rPr>
        <w:t xml:space="preserve">: </w:t>
      </w:r>
    </w:p>
    <w:p w14:paraId="68E7A61B" w14:textId="341FBB7A" w:rsidR="00C613A1" w:rsidRPr="00C613A1" w:rsidRDefault="00C613A1" w:rsidP="00EB7093">
      <w:pPr>
        <w:pStyle w:val="NormalWeb"/>
        <w:numPr>
          <w:ilvl w:val="0"/>
          <w:numId w:val="43"/>
        </w:numPr>
        <w:spacing w:line="480" w:lineRule="auto"/>
        <w:jc w:val="both"/>
        <w:rPr>
          <w:lang w:val="en-US"/>
        </w:rPr>
      </w:pPr>
      <w:r w:rsidRPr="00C613A1">
        <w:rPr>
          <w:b/>
          <w:bCs/>
          <w:lang w:val="en-US"/>
        </w:rPr>
        <w:t>Integrating fractional dynamics with regime-dependent structures</w:t>
      </w:r>
      <w:r w:rsidRPr="00C613A1">
        <w:rPr>
          <w:lang w:val="en-US"/>
        </w:rPr>
        <w:t>. Hybrid specifications—such as Markov-switching FIGARCH (MS-FIGARCH, Zhang 2001) or related state-dependent volatility models—could reconcile long-memory behavior with the structural instability observed in assets such as Tesla. These frameworks may help distinguish genuine persistence from persistence that is merely induced by breaks or episodic shifts.</w:t>
      </w:r>
    </w:p>
    <w:p w14:paraId="19DC3B11" w14:textId="29605366" w:rsidR="00C613A1" w:rsidRPr="00C613A1" w:rsidRDefault="00C613A1" w:rsidP="00EB7093">
      <w:pPr>
        <w:pStyle w:val="NormalWeb"/>
        <w:numPr>
          <w:ilvl w:val="0"/>
          <w:numId w:val="43"/>
        </w:numPr>
        <w:spacing w:line="480" w:lineRule="auto"/>
        <w:jc w:val="both"/>
        <w:rPr>
          <w:lang w:val="en-US"/>
        </w:rPr>
      </w:pPr>
      <w:r w:rsidRPr="00C613A1">
        <w:rPr>
          <w:b/>
          <w:bCs/>
          <w:lang w:val="en-US"/>
        </w:rPr>
        <w:t>Explicit modelling of multifractality.</w:t>
      </w:r>
      <w:r w:rsidRPr="00C613A1">
        <w:rPr>
          <w:lang w:val="en-US"/>
        </w:rPr>
        <w:t xml:space="preserve"> While FIGARCH captures only the dominant component of long-range dependence, multifractal volatility models—such as the multifractal volatility (MFV) or Markov-switching multifractal (MSM) frameworks of Calvet and Fisher (2004)—allow persistence to vary across horizons. Embedding MF-DFA insights directly into econometric specifications could yield richer representations of volatility heterogeneity without sacrificing tractability.</w:t>
      </w:r>
    </w:p>
    <w:p w14:paraId="30D2CC2D" w14:textId="4E8A5D4A" w:rsidR="00C613A1" w:rsidRPr="00C613A1" w:rsidRDefault="00C613A1" w:rsidP="00EB7093">
      <w:pPr>
        <w:pStyle w:val="NormalWeb"/>
        <w:numPr>
          <w:ilvl w:val="0"/>
          <w:numId w:val="43"/>
        </w:numPr>
        <w:spacing w:line="480" w:lineRule="auto"/>
        <w:jc w:val="both"/>
        <w:rPr>
          <w:lang w:val="en-US"/>
        </w:rPr>
      </w:pPr>
      <w:r w:rsidRPr="00C613A1">
        <w:rPr>
          <w:b/>
          <w:bCs/>
          <w:lang w:val="en-US"/>
        </w:rPr>
        <w:t>Advanced estimation methods.</w:t>
      </w:r>
      <w:r w:rsidRPr="00C613A1">
        <w:rPr>
          <w:lang w:val="en-US"/>
        </w:rPr>
        <w:t xml:space="preserve"> Bayesian MCMC </w:t>
      </w:r>
      <w:r w:rsidR="00C559BB">
        <w:rPr>
          <w:lang w:val="en-US"/>
        </w:rPr>
        <w:t xml:space="preserve">(Markov Chain Monte Carlo) </w:t>
      </w:r>
      <w:r w:rsidRPr="00C613A1">
        <w:rPr>
          <w:lang w:val="en-US"/>
        </w:rPr>
        <w:t xml:space="preserve">and variational methods could stabilize inference on the fractional parameter </w:t>
      </w:r>
      <m:oMath>
        <m:r>
          <w:rPr>
            <w:rFonts w:ascii="Cambria Math" w:hAnsi="Cambria Math"/>
            <w:lang w:val="en-US"/>
          </w:rPr>
          <m:t>d</m:t>
        </m:r>
      </m:oMath>
      <w:r w:rsidRPr="00C613A1">
        <w:rPr>
          <w:lang w:val="en-US"/>
        </w:rPr>
        <w:t>and quantify its uncertainty, particularly in borderline cases where likelihood surfaces are shallow. Machine-learning architectures, such as deep recurrent networks or neural approximations to fractional differencing, may provide flexible representations of long memory that adapt better to non-stationary environments.</w:t>
      </w:r>
    </w:p>
    <w:p w14:paraId="21EF9B63" w14:textId="43586A9E" w:rsidR="00C613A1" w:rsidRPr="00C613A1" w:rsidRDefault="00C613A1" w:rsidP="00EB7093">
      <w:pPr>
        <w:pStyle w:val="NormalWeb"/>
        <w:numPr>
          <w:ilvl w:val="0"/>
          <w:numId w:val="43"/>
        </w:numPr>
        <w:spacing w:line="480" w:lineRule="auto"/>
        <w:jc w:val="both"/>
        <w:rPr>
          <w:lang w:val="en-US"/>
        </w:rPr>
      </w:pPr>
      <w:r w:rsidRPr="00C613A1">
        <w:rPr>
          <w:b/>
          <w:bCs/>
          <w:lang w:val="en-US"/>
        </w:rPr>
        <w:lastRenderedPageBreak/>
        <w:t>Extension of the analysis to higher-frequency data</w:t>
      </w:r>
      <w:r w:rsidRPr="00C613A1">
        <w:rPr>
          <w:lang w:val="en-US"/>
        </w:rPr>
        <w:t xml:space="preserve">. Testing whether long memory persists in realized volatility measures or whether it dissolves at intraday horizons would illuminate the microstructural origins of persistence and help clarify whether fractional dynamics arise from market-wide information aggregation or from lower-frequency </w:t>
      </w:r>
      <w:proofErr w:type="spellStart"/>
      <w:r w:rsidRPr="00C613A1">
        <w:rPr>
          <w:lang w:val="en-US"/>
        </w:rPr>
        <w:t>behavioural</w:t>
      </w:r>
      <w:proofErr w:type="spellEnd"/>
      <w:r w:rsidRPr="00C613A1">
        <w:rPr>
          <w:lang w:val="en-US"/>
        </w:rPr>
        <w:t xml:space="preserve"> mechanisms.</w:t>
      </w:r>
    </w:p>
    <w:p w14:paraId="0028F1EC" w14:textId="201DBA51" w:rsidR="00C613A1" w:rsidRPr="00C613A1" w:rsidRDefault="00C613A1" w:rsidP="00EB7093">
      <w:pPr>
        <w:pStyle w:val="NormalWeb"/>
        <w:spacing w:line="480" w:lineRule="auto"/>
        <w:jc w:val="both"/>
        <w:rPr>
          <w:lang w:val="en-US"/>
        </w:rPr>
      </w:pPr>
      <w:r w:rsidRPr="00C613A1">
        <w:rPr>
          <w:lang w:val="en-US"/>
        </w:rPr>
        <w:t>Together, these research paths highlight an increasingly structural view of volatility modelling—one that links fractional dynamics, regime behavior, and scaling properties within a unified empirical framework.</w:t>
      </w:r>
    </w:p>
    <w:p w14:paraId="37A21141" w14:textId="71D58DD9" w:rsidR="00E90E38" w:rsidRPr="00E90E38" w:rsidRDefault="00E90E38" w:rsidP="00EB7093">
      <w:pPr>
        <w:spacing w:line="480" w:lineRule="auto"/>
        <w:jc w:val="both"/>
        <w:rPr>
          <w:noProof/>
          <w:lang w:val="en-US"/>
        </w:rPr>
      </w:pPr>
    </w:p>
    <w:p w14:paraId="5F7CC786" w14:textId="77777777" w:rsidR="00E90E38" w:rsidRPr="00E90E38" w:rsidRDefault="00E90E38" w:rsidP="00EB7093">
      <w:pPr>
        <w:spacing w:before="100" w:beforeAutospacing="1" w:after="100" w:afterAutospacing="1" w:line="480" w:lineRule="auto"/>
        <w:jc w:val="both"/>
        <w:outlineLvl w:val="2"/>
        <w:rPr>
          <w:b/>
          <w:bCs/>
          <w:noProof/>
          <w:sz w:val="27"/>
          <w:szCs w:val="27"/>
          <w:lang w:val="en-US"/>
        </w:rPr>
      </w:pPr>
      <w:r w:rsidRPr="00E90E38">
        <w:rPr>
          <w:b/>
          <w:bCs/>
          <w:noProof/>
          <w:sz w:val="27"/>
          <w:szCs w:val="27"/>
          <w:lang w:val="en-US"/>
        </w:rPr>
        <w:t>6.7. Synthesis</w:t>
      </w:r>
    </w:p>
    <w:p w14:paraId="50FF4282"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To synthesize, our analysis of long-memory volatility models suggests the following key takeaways:</w:t>
      </w:r>
    </w:p>
    <w:p w14:paraId="6BA76578" w14:textId="77777777" w:rsidR="00E90E38" w:rsidRDefault="00E90E38" w:rsidP="00EB7093">
      <w:pPr>
        <w:numPr>
          <w:ilvl w:val="0"/>
          <w:numId w:val="17"/>
        </w:numPr>
        <w:spacing w:before="100" w:beforeAutospacing="1" w:after="100" w:afterAutospacing="1" w:line="480" w:lineRule="auto"/>
        <w:jc w:val="both"/>
        <w:rPr>
          <w:noProof/>
          <w:lang w:val="en-US"/>
        </w:rPr>
      </w:pPr>
      <w:r w:rsidRPr="00E90E38">
        <w:rPr>
          <w:b/>
          <w:bCs/>
          <w:noProof/>
          <w:lang w:val="en-US"/>
        </w:rPr>
        <w:t>Long memory and structural breaks must be disentangled</w:t>
      </w:r>
      <w:r w:rsidRPr="00E90E38">
        <w:rPr>
          <w:noProof/>
          <w:lang w:val="en-US"/>
        </w:rPr>
        <w:t>; FIGARCH succeeds only when persistence is genuine and stable.</w:t>
      </w:r>
    </w:p>
    <w:p w14:paraId="03677D06" w14:textId="082E84A2" w:rsidR="00272BA6" w:rsidRPr="00CE4DEF" w:rsidRDefault="00272BA6" w:rsidP="00EB7093">
      <w:pPr>
        <w:numPr>
          <w:ilvl w:val="0"/>
          <w:numId w:val="17"/>
        </w:numPr>
        <w:spacing w:before="100" w:beforeAutospacing="1" w:after="100" w:afterAutospacing="1" w:line="480" w:lineRule="auto"/>
        <w:jc w:val="both"/>
        <w:rPr>
          <w:noProof/>
          <w:lang w:val="en-US"/>
        </w:rPr>
      </w:pPr>
      <w:r w:rsidRPr="00CE4DEF">
        <w:rPr>
          <w:b/>
          <w:bCs/>
          <w:lang w:val="en-US"/>
        </w:rPr>
        <w:t>Long memory is a property of volatility, not of returns</w:t>
      </w:r>
      <w:r w:rsidRPr="00CE4DEF">
        <w:rPr>
          <w:lang w:val="en-US"/>
        </w:rPr>
        <w:t>; mean dynamics remain well described by short-memory models, so fractional integration should be applied selectively.</w:t>
      </w:r>
    </w:p>
    <w:p w14:paraId="0FEC8A2F" w14:textId="77777777" w:rsidR="00E90E38" w:rsidRPr="00E90E38" w:rsidRDefault="00E90E38" w:rsidP="00EB7093">
      <w:pPr>
        <w:numPr>
          <w:ilvl w:val="0"/>
          <w:numId w:val="17"/>
        </w:numPr>
        <w:spacing w:before="100" w:beforeAutospacing="1" w:after="100" w:afterAutospacing="1" w:line="480" w:lineRule="auto"/>
        <w:jc w:val="both"/>
        <w:rPr>
          <w:noProof/>
          <w:lang w:val="en-US"/>
        </w:rPr>
      </w:pPr>
      <w:r w:rsidRPr="00E90E38">
        <w:rPr>
          <w:b/>
          <w:bCs/>
          <w:noProof/>
          <w:lang w:val="en-US"/>
        </w:rPr>
        <w:t>Fractional integration complements, rather than replaces, multifractal approaches</w:t>
      </w:r>
      <w:r w:rsidRPr="00E90E38">
        <w:rPr>
          <w:noProof/>
          <w:lang w:val="en-US"/>
        </w:rPr>
        <w:t>, offering a low-dimensional parametric representation of complex scaling.</w:t>
      </w:r>
    </w:p>
    <w:p w14:paraId="007DDB9C" w14:textId="77777777" w:rsidR="00E90E38" w:rsidRPr="00E90E38" w:rsidRDefault="00E90E38" w:rsidP="00EB7093">
      <w:pPr>
        <w:numPr>
          <w:ilvl w:val="0"/>
          <w:numId w:val="17"/>
        </w:numPr>
        <w:spacing w:before="100" w:beforeAutospacing="1" w:after="100" w:afterAutospacing="1" w:line="480" w:lineRule="auto"/>
        <w:jc w:val="both"/>
        <w:rPr>
          <w:noProof/>
          <w:lang w:val="en-US"/>
        </w:rPr>
      </w:pPr>
      <w:r w:rsidRPr="00E90E38">
        <w:rPr>
          <w:b/>
          <w:bCs/>
          <w:noProof/>
          <w:lang w:val="en-US"/>
        </w:rPr>
        <w:t>Predictive benefits are context-dependent</w:t>
      </w:r>
      <w:r w:rsidRPr="00E90E38">
        <w:rPr>
          <w:noProof/>
          <w:lang w:val="en-US"/>
        </w:rPr>
        <w:t>; FIGARCH helps in persistent, stationary settings but fails under rapid regime change.</w:t>
      </w:r>
    </w:p>
    <w:p w14:paraId="53834ECF" w14:textId="77777777" w:rsidR="000372BE" w:rsidRPr="000372BE" w:rsidRDefault="000372BE" w:rsidP="00EB7093">
      <w:pPr>
        <w:numPr>
          <w:ilvl w:val="0"/>
          <w:numId w:val="17"/>
        </w:numPr>
        <w:spacing w:before="100" w:beforeAutospacing="1" w:after="100" w:afterAutospacing="1" w:line="480" w:lineRule="auto"/>
        <w:jc w:val="both"/>
        <w:rPr>
          <w:noProof/>
          <w:lang w:val="en-US"/>
        </w:rPr>
      </w:pPr>
      <w:r w:rsidRPr="000372BE">
        <w:rPr>
          <w:b/>
          <w:bCs/>
          <w:lang w:val="en-US"/>
        </w:rPr>
        <w:lastRenderedPageBreak/>
        <w:t xml:space="preserve">Episodes of computational fragility are informative: </w:t>
      </w:r>
      <w:r w:rsidRPr="000372BE">
        <w:rPr>
          <w:lang w:val="en-US"/>
        </w:rPr>
        <w:t>non-convergence typically arises when the data violate the assumption of stable long-memory dynamics.</w:t>
      </w:r>
    </w:p>
    <w:p w14:paraId="037DA7CD" w14:textId="7F82AF12" w:rsidR="00E90E38" w:rsidRPr="00E90E38" w:rsidRDefault="00E90E38" w:rsidP="00EB7093">
      <w:pPr>
        <w:numPr>
          <w:ilvl w:val="0"/>
          <w:numId w:val="17"/>
        </w:numPr>
        <w:spacing w:before="100" w:beforeAutospacing="1" w:after="100" w:afterAutospacing="1" w:line="480" w:lineRule="auto"/>
        <w:jc w:val="both"/>
        <w:rPr>
          <w:noProof/>
          <w:lang w:val="en-US"/>
        </w:rPr>
      </w:pPr>
      <w:r w:rsidRPr="00E90E38">
        <w:rPr>
          <w:b/>
          <w:bCs/>
          <w:noProof/>
          <w:lang w:val="en-US"/>
        </w:rPr>
        <w:t>Theoretical and empirical value diverge</w:t>
      </w:r>
      <w:r w:rsidRPr="00E90E38">
        <w:rPr>
          <w:noProof/>
          <w:lang w:val="en-US"/>
        </w:rPr>
        <w:t>; FIGARCH’s conceptual consistency with fractal evidence does not guarantee superior short-term risk forecasts.</w:t>
      </w:r>
    </w:p>
    <w:p w14:paraId="5DCD6DCD" w14:textId="34A4416F" w:rsidR="007D65FC" w:rsidRDefault="00E90E38" w:rsidP="000372BE">
      <w:pPr>
        <w:spacing w:before="100" w:beforeAutospacing="1" w:after="100" w:afterAutospacing="1" w:line="480" w:lineRule="auto"/>
        <w:jc w:val="both"/>
        <w:rPr>
          <w:noProof/>
          <w:lang w:val="en-US"/>
        </w:rPr>
      </w:pPr>
      <w:r w:rsidRPr="00E90E38">
        <w:rPr>
          <w:noProof/>
          <w:lang w:val="en-US"/>
        </w:rPr>
        <w:t>In short, FIGARCH occupies an intermediate space: richer than GARCH, simpler than multifractal or regime-switching models, and most useful when markets display persistent but structurally stable volatility dynamics.</w:t>
      </w:r>
    </w:p>
    <w:p w14:paraId="57E7F134" w14:textId="2A000506" w:rsidR="00E90E38" w:rsidRPr="00E90E38" w:rsidRDefault="00E90E38" w:rsidP="00EB7093">
      <w:pPr>
        <w:spacing w:before="100" w:beforeAutospacing="1" w:after="100" w:afterAutospacing="1" w:line="480" w:lineRule="auto"/>
        <w:jc w:val="both"/>
        <w:outlineLvl w:val="1"/>
        <w:rPr>
          <w:b/>
          <w:bCs/>
          <w:noProof/>
          <w:sz w:val="36"/>
          <w:szCs w:val="36"/>
          <w:lang w:val="en-US"/>
        </w:rPr>
      </w:pPr>
      <w:r w:rsidRPr="00E90E38">
        <w:rPr>
          <w:b/>
          <w:bCs/>
          <w:noProof/>
          <w:sz w:val="36"/>
          <w:szCs w:val="36"/>
          <w:lang w:val="en-US"/>
        </w:rPr>
        <w:t>7. Conclusions</w:t>
      </w:r>
    </w:p>
    <w:p w14:paraId="781D4A27"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This paper set out to evaluate the </w:t>
      </w:r>
      <w:r w:rsidRPr="00E90E38">
        <w:rPr>
          <w:b/>
          <w:bCs/>
          <w:noProof/>
          <w:lang w:val="en-US"/>
        </w:rPr>
        <w:t>empirical relevance of long-memory volatility models</w:t>
      </w:r>
      <w:r w:rsidRPr="00E90E38">
        <w:rPr>
          <w:noProof/>
          <w:lang w:val="en-US"/>
        </w:rPr>
        <w:t>, with a focus on whether the fractional integration embedded in the FIGARCH framework yields practical benefits over the conventional GARCH model. Using daily data for five assets—S&amp;P 500, IBEX 35, Tesla, Bitcoin, and BOVESPA—we combined parametric estimation with non-parametric diagnostics (Hurst exponent, Lo’s modified R/S test, and multifractal detrended fluctuation analysis, MF-DFA).</w:t>
      </w:r>
    </w:p>
    <w:p w14:paraId="16B2BA73" w14:textId="71623E9D"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Financial volatility clearly exhibits </w:t>
      </w:r>
      <w:r w:rsidRPr="00E90E38">
        <w:rPr>
          <w:b/>
          <w:bCs/>
          <w:noProof/>
          <w:lang w:val="en-US"/>
        </w:rPr>
        <w:t>persistence and multifractal scaling</w:t>
      </w:r>
      <w:r w:rsidRPr="00E90E38">
        <w:rPr>
          <w:noProof/>
          <w:lang w:val="en-US"/>
        </w:rPr>
        <w:t>, confirming that variance dynamics extend beyond the short-range exponential decay assumed by standard GARCH. The FIGARCH(1,</w:t>
      </w:r>
      <w:r w:rsidR="00CE4DEF">
        <w:rPr>
          <w:noProof/>
          <w:lang w:val="en-US"/>
        </w:rPr>
        <w:t xml:space="preserve"> </w:t>
      </w:r>
      <w:r w:rsidRPr="00E90E38">
        <w:rPr>
          <w:noProof/>
          <w:lang w:val="en-US"/>
        </w:rPr>
        <w:t>d,</w:t>
      </w:r>
      <w:r w:rsidR="00CE4DEF">
        <w:rPr>
          <w:noProof/>
          <w:lang w:val="en-US"/>
        </w:rPr>
        <w:t xml:space="preserve"> </w:t>
      </w:r>
      <w:r w:rsidRPr="00E90E38">
        <w:rPr>
          <w:noProof/>
          <w:lang w:val="en-US"/>
        </w:rPr>
        <w:t>1) model, by introducing a fractional</w:t>
      </w:r>
      <w:r w:rsidR="00836A2E">
        <w:rPr>
          <w:noProof/>
          <w:lang w:val="en-US"/>
        </w:rPr>
        <w:t>-</w:t>
      </w:r>
      <w:r w:rsidRPr="00E90E38">
        <w:rPr>
          <w:noProof/>
          <w:lang w:val="en-US"/>
        </w:rPr>
        <w:t>differencing parameter</w:t>
      </w:r>
      <w:r w:rsidR="00836A2E">
        <w:rPr>
          <w:noProof/>
          <w:lang w:val="en-US"/>
        </w:rPr>
        <w:t xml:space="preserve"> </w:t>
      </w:r>
      <w:r w:rsidR="00836A2E" w:rsidRPr="00836A2E">
        <w:rPr>
          <w:i/>
          <w:iCs/>
          <w:noProof/>
          <w:lang w:val="en-US"/>
        </w:rPr>
        <w:t>d</w:t>
      </w:r>
      <w:r w:rsidRPr="00836A2E">
        <w:rPr>
          <w:i/>
          <w:iCs/>
          <w:noProof/>
          <w:lang w:val="en-US"/>
        </w:rPr>
        <w:t xml:space="preserve">, </w:t>
      </w:r>
      <w:r w:rsidRPr="00E90E38">
        <w:rPr>
          <w:noProof/>
          <w:lang w:val="en-US"/>
        </w:rPr>
        <w:t xml:space="preserve">successfully captures this slower, hyperbolic decay and produces volatility paths consistent with multifractal evidence. However, the empirical advantages of FIGARCH over GARCH are </w:t>
      </w:r>
      <w:r w:rsidRPr="00E90E38">
        <w:rPr>
          <w:b/>
          <w:bCs/>
          <w:noProof/>
          <w:lang w:val="en-US"/>
        </w:rPr>
        <w:t>quantitatively modest</w:t>
      </w:r>
      <w:r w:rsidRPr="00E90E38">
        <w:rPr>
          <w:noProof/>
          <w:lang w:val="en-US"/>
        </w:rPr>
        <w:t xml:space="preserve"> and highly dependent on market structure and regime stability.</w:t>
      </w:r>
    </w:p>
    <w:p w14:paraId="61A7800D" w14:textId="77777777" w:rsidR="00E90E38" w:rsidRPr="00E90E38" w:rsidRDefault="00E90E38" w:rsidP="00EB7093">
      <w:pPr>
        <w:spacing w:before="100" w:beforeAutospacing="1" w:after="100" w:afterAutospacing="1" w:line="480" w:lineRule="auto"/>
        <w:jc w:val="both"/>
        <w:outlineLvl w:val="2"/>
        <w:rPr>
          <w:b/>
          <w:bCs/>
          <w:noProof/>
          <w:sz w:val="27"/>
          <w:szCs w:val="27"/>
          <w:lang w:val="en-US"/>
        </w:rPr>
      </w:pPr>
      <w:r w:rsidRPr="00E90E38">
        <w:rPr>
          <w:b/>
          <w:bCs/>
          <w:noProof/>
          <w:sz w:val="27"/>
          <w:szCs w:val="27"/>
          <w:lang w:val="en-US"/>
        </w:rPr>
        <w:lastRenderedPageBreak/>
        <w:t>7.1. Main findings</w:t>
      </w:r>
    </w:p>
    <w:p w14:paraId="77CA8B61" w14:textId="77777777" w:rsidR="00B0201F" w:rsidRPr="00B0201F" w:rsidRDefault="00E90E38" w:rsidP="00EB7093">
      <w:pPr>
        <w:numPr>
          <w:ilvl w:val="0"/>
          <w:numId w:val="18"/>
        </w:numPr>
        <w:spacing w:before="100" w:beforeAutospacing="1" w:after="100" w:afterAutospacing="1" w:line="480" w:lineRule="auto"/>
        <w:jc w:val="both"/>
        <w:rPr>
          <w:noProof/>
          <w:lang w:val="en-US"/>
        </w:rPr>
      </w:pPr>
      <w:r w:rsidRPr="00E90E38">
        <w:rPr>
          <w:b/>
          <w:bCs/>
          <w:noProof/>
          <w:lang w:val="en-US"/>
        </w:rPr>
        <w:t>No long memory in returns; long memory in volatility.</w:t>
      </w:r>
    </w:p>
    <w:p w14:paraId="3C2AF1C7" w14:textId="3F8F07E7" w:rsidR="00CE4DEF" w:rsidRPr="00CE4DEF" w:rsidRDefault="00CE4DEF" w:rsidP="00EB7093">
      <w:pPr>
        <w:spacing w:before="100" w:beforeAutospacing="1" w:after="100" w:afterAutospacing="1" w:line="480" w:lineRule="auto"/>
        <w:ind w:left="720"/>
        <w:jc w:val="both"/>
        <w:rPr>
          <w:b/>
          <w:bCs/>
          <w:noProof/>
          <w:lang w:val="en-US"/>
        </w:rPr>
      </w:pPr>
      <w:r w:rsidRPr="00CE4DEF">
        <w:rPr>
          <w:lang w:val="en-US"/>
        </w:rPr>
        <w:t>Across all assets, ARFIMA does not improve over ARIMA and delivers d ≈ 0, while squared returns display strong persistence</w:t>
      </w:r>
      <w:r w:rsidR="008952AB">
        <w:rPr>
          <w:lang w:val="en-US"/>
        </w:rPr>
        <w:t xml:space="preserve">, with </w:t>
      </w:r>
      <w:r w:rsidR="008952AB" w:rsidRPr="008952AB">
        <w:rPr>
          <w:lang w:val="en-US"/>
        </w:rPr>
        <w:t xml:space="preserve">H typically ranging from 0.9 to 1.4 (see </w:t>
      </w:r>
      <w:r w:rsidR="008952AB" w:rsidRPr="008952AB">
        <w:rPr>
          <w:b/>
          <w:bCs/>
          <w:lang w:val="en-US"/>
        </w:rPr>
        <w:t>Table 1</w:t>
      </w:r>
      <w:r w:rsidR="008952AB" w:rsidRPr="008952AB">
        <w:rPr>
          <w:lang w:val="en-US"/>
        </w:rPr>
        <w:t>)</w:t>
      </w:r>
      <w:r w:rsidRPr="008952AB">
        <w:rPr>
          <w:lang w:val="en-US"/>
        </w:rPr>
        <w:t>.</w:t>
      </w:r>
      <w:r w:rsidRPr="00CE4DEF">
        <w:rPr>
          <w:lang w:val="en-US"/>
        </w:rPr>
        <w:t xml:space="preserve"> This validates the use of fractional models for the variance equation, not for the mean.</w:t>
      </w:r>
      <w:r w:rsidRPr="00CE4DEF">
        <w:rPr>
          <w:b/>
          <w:bCs/>
          <w:noProof/>
          <w:lang w:val="en-US"/>
        </w:rPr>
        <w:t xml:space="preserve"> </w:t>
      </w:r>
    </w:p>
    <w:p w14:paraId="7DBD3C69" w14:textId="77780FF2" w:rsidR="00B0201F" w:rsidRPr="00CE4DEF" w:rsidRDefault="00E90E38" w:rsidP="00EB7093">
      <w:pPr>
        <w:pStyle w:val="Prrafodelista"/>
        <w:numPr>
          <w:ilvl w:val="0"/>
          <w:numId w:val="18"/>
        </w:numPr>
        <w:spacing w:before="100" w:beforeAutospacing="1" w:after="100" w:afterAutospacing="1" w:line="480" w:lineRule="auto"/>
        <w:contextualSpacing w:val="0"/>
        <w:jc w:val="both"/>
        <w:rPr>
          <w:noProof/>
          <w:lang w:val="en-US"/>
        </w:rPr>
      </w:pPr>
      <w:r w:rsidRPr="00CE4DEF">
        <w:rPr>
          <w:b/>
          <w:bCs/>
          <w:noProof/>
          <w:lang w:val="en-US"/>
        </w:rPr>
        <w:t>FIGARCH captures persistence but with limited predictive gains.</w:t>
      </w:r>
    </w:p>
    <w:p w14:paraId="7CDE67A8" w14:textId="5452C999" w:rsidR="00E90E38" w:rsidRDefault="00E1076E" w:rsidP="00EB7093">
      <w:pPr>
        <w:spacing w:before="100" w:beforeAutospacing="1" w:after="100" w:afterAutospacing="1" w:line="480" w:lineRule="auto"/>
        <w:ind w:left="720"/>
        <w:jc w:val="both"/>
        <w:rPr>
          <w:noProof/>
          <w:lang w:val="en-US"/>
        </w:rPr>
      </w:pPr>
      <w:r w:rsidRPr="00E1076E">
        <w:rPr>
          <w:lang w:val="en-US"/>
        </w:rPr>
        <w:t>In-sample, FIGARCH offers marginal improvements in AIC/BIC; out-of-sample RMSE differences remain small (typically below 3 %).</w:t>
      </w:r>
      <w:r w:rsidR="00E90E38" w:rsidRPr="00E90E38">
        <w:rPr>
          <w:noProof/>
          <w:lang w:val="en-US"/>
        </w:rPr>
        <w:t xml:space="preserve"> For most assets, GARCH and FIGARCH provide statistically equivalent short-term volatility forecasts.</w:t>
      </w:r>
    </w:p>
    <w:p w14:paraId="51C50C7C" w14:textId="6D1EFBE6" w:rsidR="00660B9D" w:rsidRPr="00660B9D" w:rsidRDefault="00660B9D" w:rsidP="00EB7093">
      <w:pPr>
        <w:pStyle w:val="Prrafodelista"/>
        <w:numPr>
          <w:ilvl w:val="0"/>
          <w:numId w:val="18"/>
        </w:numPr>
        <w:spacing w:before="100" w:beforeAutospacing="1" w:after="100" w:afterAutospacing="1" w:line="480" w:lineRule="auto"/>
        <w:contextualSpacing w:val="0"/>
        <w:jc w:val="both"/>
        <w:rPr>
          <w:lang w:val="en-US"/>
        </w:rPr>
      </w:pPr>
      <w:r w:rsidRPr="00660B9D">
        <w:rPr>
          <w:rStyle w:val="Textoennegrita"/>
          <w:rFonts w:eastAsiaTheme="majorEastAsia"/>
          <w:lang w:val="en-US"/>
        </w:rPr>
        <w:t xml:space="preserve">FIGARCH improves tail-risk calibration </w:t>
      </w:r>
      <w:r w:rsidR="00C24C28">
        <w:rPr>
          <w:rStyle w:val="Textoennegrita"/>
          <w:rFonts w:eastAsiaTheme="majorEastAsia"/>
          <w:lang w:val="en-US"/>
        </w:rPr>
        <w:t xml:space="preserve">in our sample, </w:t>
      </w:r>
      <w:r w:rsidRPr="00660B9D">
        <w:rPr>
          <w:rStyle w:val="Textoennegrita"/>
          <w:rFonts w:eastAsiaTheme="majorEastAsia"/>
          <w:lang w:val="en-US"/>
        </w:rPr>
        <w:t>but only in markets with strong and stable volatility persistence.</w:t>
      </w:r>
    </w:p>
    <w:p w14:paraId="3672CE38" w14:textId="100788BE" w:rsidR="00660B9D" w:rsidRPr="00660B9D" w:rsidRDefault="00660B9D" w:rsidP="00EB7093">
      <w:pPr>
        <w:spacing w:before="100" w:beforeAutospacing="1" w:after="100" w:afterAutospacing="1" w:line="480" w:lineRule="auto"/>
        <w:ind w:left="720"/>
        <w:jc w:val="both"/>
        <w:rPr>
          <w:noProof/>
          <w:lang w:val="en-US"/>
        </w:rPr>
      </w:pPr>
      <w:r w:rsidRPr="00660B9D">
        <w:rPr>
          <w:lang w:val="en-US"/>
        </w:rPr>
        <w:t xml:space="preserve">Although FIGARCH offers marginal improvements in RMSE, its most relevant contribution is in Value-at-Risk (VaR) forecasting. For Bitcoin and BOVESPA, where long-memory dynamics are persistent and stationary, FIGARCH reduces under-coverage and passes Kupiec’s unconditional coverage test, while GARCH does not. In contrast, for assets with weak persistence (S&amp;P 500, IBEX 35) or regime-dependent volatility (Tesla), both models yield similar or inadequate tail-risk performance. This conditional improvement in </w:t>
      </w:r>
      <w:r w:rsidR="00C24C28">
        <w:rPr>
          <w:lang w:val="en-US"/>
        </w:rPr>
        <w:t>tail accuracy</w:t>
      </w:r>
      <w:r w:rsidRPr="00660B9D">
        <w:rPr>
          <w:lang w:val="en-US"/>
        </w:rPr>
        <w:t xml:space="preserve"> is one of the key practical findings of the paper.</w:t>
      </w:r>
    </w:p>
    <w:p w14:paraId="791393B6" w14:textId="77777777" w:rsidR="00B0201F" w:rsidRPr="00B0201F" w:rsidRDefault="00E90E38" w:rsidP="00EB7093">
      <w:pPr>
        <w:numPr>
          <w:ilvl w:val="0"/>
          <w:numId w:val="18"/>
        </w:numPr>
        <w:spacing w:before="100" w:beforeAutospacing="1" w:after="100" w:afterAutospacing="1" w:line="480" w:lineRule="auto"/>
        <w:jc w:val="both"/>
        <w:rPr>
          <w:noProof/>
          <w:lang w:val="en-US"/>
        </w:rPr>
      </w:pPr>
      <w:r w:rsidRPr="00E90E38">
        <w:rPr>
          <w:b/>
          <w:bCs/>
          <w:noProof/>
          <w:lang w:val="en-US"/>
        </w:rPr>
        <w:t>Risk-based performance reveals conditional benefits.</w:t>
      </w:r>
    </w:p>
    <w:p w14:paraId="7B3B86B2" w14:textId="6A7DD9A6" w:rsidR="00E90E38" w:rsidRPr="00E90E38" w:rsidRDefault="00E90E38" w:rsidP="00EB7093">
      <w:pPr>
        <w:spacing w:before="100" w:beforeAutospacing="1" w:after="100" w:afterAutospacing="1" w:line="480" w:lineRule="auto"/>
        <w:ind w:left="720"/>
        <w:jc w:val="both"/>
        <w:rPr>
          <w:noProof/>
          <w:lang w:val="en-US"/>
        </w:rPr>
      </w:pPr>
      <w:r w:rsidRPr="00E90E38">
        <w:rPr>
          <w:noProof/>
          <w:lang w:val="en-US"/>
        </w:rPr>
        <w:lastRenderedPageBreak/>
        <w:t>FIGARCH delivers slightly better Value-at-Risk (VaR) coverage for persistent assets (Bitcoin, BOVESPA) by reducing under-coverage at the tails. For stable indices (S&amp;P 500, IBEX 35), both models perform similarly; for Tesla, both fail due to abrupt volatility regime shifts.</w:t>
      </w:r>
    </w:p>
    <w:p w14:paraId="7C14EBA2" w14:textId="77777777" w:rsidR="00B0201F" w:rsidRPr="00B0201F" w:rsidRDefault="00E90E38" w:rsidP="00EB7093">
      <w:pPr>
        <w:numPr>
          <w:ilvl w:val="0"/>
          <w:numId w:val="18"/>
        </w:numPr>
        <w:spacing w:before="100" w:beforeAutospacing="1" w:after="100" w:afterAutospacing="1" w:line="480" w:lineRule="auto"/>
        <w:jc w:val="both"/>
        <w:rPr>
          <w:noProof/>
          <w:lang w:val="en-US"/>
        </w:rPr>
      </w:pPr>
      <w:r w:rsidRPr="00E90E38">
        <w:rPr>
          <w:b/>
          <w:bCs/>
          <w:noProof/>
          <w:lang w:val="en-US"/>
        </w:rPr>
        <w:t>FIGARCH is structurally consistent with multifractal evidence.</w:t>
      </w:r>
    </w:p>
    <w:p w14:paraId="35AB65CF" w14:textId="23407D55" w:rsidR="00E90E38" w:rsidRPr="00E90E38" w:rsidRDefault="00E90E38" w:rsidP="00EB7093">
      <w:pPr>
        <w:spacing w:before="100" w:beforeAutospacing="1" w:after="100" w:afterAutospacing="1" w:line="480" w:lineRule="auto"/>
        <w:ind w:left="720"/>
        <w:jc w:val="both"/>
        <w:rPr>
          <w:noProof/>
          <w:lang w:val="en-US"/>
        </w:rPr>
      </w:pPr>
      <w:r w:rsidRPr="00E90E38">
        <w:rPr>
          <w:noProof/>
          <w:lang w:val="en-US"/>
        </w:rPr>
        <w:t>The fractional parameter d aligns with the width of MF-DFA scaling spectra Δh(q), confirming that the model reproduces empirically observed persistence.</w:t>
      </w:r>
    </w:p>
    <w:p w14:paraId="6B3267D3" w14:textId="77777777" w:rsidR="00B0201F" w:rsidRPr="00B0201F" w:rsidRDefault="00E90E38" w:rsidP="00EB7093">
      <w:pPr>
        <w:numPr>
          <w:ilvl w:val="0"/>
          <w:numId w:val="18"/>
        </w:numPr>
        <w:spacing w:before="100" w:beforeAutospacing="1" w:after="100" w:afterAutospacing="1" w:line="480" w:lineRule="auto"/>
        <w:jc w:val="both"/>
        <w:rPr>
          <w:noProof/>
          <w:lang w:val="en-US"/>
        </w:rPr>
      </w:pPr>
      <w:r w:rsidRPr="00E90E38">
        <w:rPr>
          <w:b/>
          <w:bCs/>
          <w:noProof/>
          <w:lang w:val="en-US"/>
        </w:rPr>
        <w:t>Fragility under structural breaks.</w:t>
      </w:r>
    </w:p>
    <w:p w14:paraId="0B6D7584" w14:textId="5F8778CE" w:rsidR="00E90E38" w:rsidRPr="00E90E38" w:rsidRDefault="00E90E38" w:rsidP="00EB7093">
      <w:pPr>
        <w:spacing w:before="100" w:beforeAutospacing="1" w:after="100" w:afterAutospacing="1" w:line="480" w:lineRule="auto"/>
        <w:ind w:left="720"/>
        <w:jc w:val="both"/>
        <w:rPr>
          <w:noProof/>
          <w:lang w:val="en-US"/>
        </w:rPr>
      </w:pPr>
      <w:r w:rsidRPr="00E90E38">
        <w:rPr>
          <w:noProof/>
          <w:lang w:val="en-US"/>
        </w:rPr>
        <w:t>In assets experiencing regime transitions, FIGARCH estimates tend toward the</w:t>
      </w:r>
      <w:r w:rsidR="00B0201F" w:rsidRPr="00B0201F">
        <w:rPr>
          <w:noProof/>
          <w:lang w:val="en-US"/>
        </w:rPr>
        <w:t xml:space="preserve"> </w:t>
      </w:r>
      <w:r w:rsidRPr="00E90E38">
        <w:rPr>
          <w:noProof/>
          <w:lang w:val="en-US"/>
        </w:rPr>
        <w:t>IGARCH limit (d → 1), implying infinite persistence and rendering the model economically meaningless. This underscores the need to distinguish genuine long memory from spurious persistence caused by structural change.</w:t>
      </w:r>
    </w:p>
    <w:p w14:paraId="52E6A581" w14:textId="77777777" w:rsidR="00B0201F" w:rsidRPr="00B0201F" w:rsidRDefault="00E90E38" w:rsidP="00EB7093">
      <w:pPr>
        <w:numPr>
          <w:ilvl w:val="0"/>
          <w:numId w:val="18"/>
        </w:numPr>
        <w:spacing w:before="100" w:beforeAutospacing="1" w:after="100" w:afterAutospacing="1" w:line="480" w:lineRule="auto"/>
        <w:jc w:val="both"/>
        <w:rPr>
          <w:noProof/>
          <w:lang w:val="en-US"/>
        </w:rPr>
      </w:pPr>
      <w:r w:rsidRPr="00E90E38">
        <w:rPr>
          <w:b/>
          <w:bCs/>
          <w:noProof/>
          <w:lang w:val="en-US"/>
        </w:rPr>
        <w:t>Computational cost and convergence.</w:t>
      </w:r>
    </w:p>
    <w:p w14:paraId="01420F17" w14:textId="52F66DFF" w:rsidR="00E90E38" w:rsidRPr="00E90E38" w:rsidRDefault="00E90E38" w:rsidP="00EB7093">
      <w:pPr>
        <w:spacing w:before="100" w:beforeAutospacing="1" w:after="100" w:afterAutospacing="1" w:line="480" w:lineRule="auto"/>
        <w:ind w:left="720"/>
        <w:jc w:val="both"/>
        <w:rPr>
          <w:noProof/>
          <w:lang w:val="en-US"/>
        </w:rPr>
      </w:pPr>
      <w:r w:rsidRPr="00E90E38">
        <w:rPr>
          <w:noProof/>
          <w:lang w:val="en-US"/>
        </w:rPr>
        <w:t>Estimation of FIGARCH requires six to seven times longer runtime than GARCH and shows higher sensitivity to initialization. Non-convergence frequently signals model misspecification rather than numerical failure.</w:t>
      </w:r>
    </w:p>
    <w:p w14:paraId="5E49996E" w14:textId="77777777" w:rsidR="00E90E38" w:rsidRPr="00E90E38" w:rsidRDefault="00E90E38" w:rsidP="00EB7093">
      <w:pPr>
        <w:spacing w:before="100" w:beforeAutospacing="1" w:after="100" w:afterAutospacing="1" w:line="480" w:lineRule="auto"/>
        <w:jc w:val="both"/>
        <w:outlineLvl w:val="2"/>
        <w:rPr>
          <w:b/>
          <w:bCs/>
          <w:noProof/>
          <w:sz w:val="27"/>
          <w:szCs w:val="27"/>
          <w:lang w:val="en-US"/>
        </w:rPr>
      </w:pPr>
      <w:r w:rsidRPr="00E90E38">
        <w:rPr>
          <w:b/>
          <w:bCs/>
          <w:noProof/>
          <w:sz w:val="27"/>
          <w:szCs w:val="27"/>
          <w:lang w:val="en-US"/>
        </w:rPr>
        <w:t>7.2. Theoretical and practical implications</w:t>
      </w:r>
    </w:p>
    <w:p w14:paraId="488FF404"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The findings highlight a tension between </w:t>
      </w:r>
      <w:r w:rsidRPr="00E90E38">
        <w:rPr>
          <w:b/>
          <w:bCs/>
          <w:noProof/>
          <w:lang w:val="en-US"/>
        </w:rPr>
        <w:t>theoretical realism</w:t>
      </w:r>
      <w:r w:rsidRPr="00E90E38">
        <w:rPr>
          <w:noProof/>
          <w:lang w:val="en-US"/>
        </w:rPr>
        <w:t xml:space="preserve"> and </w:t>
      </w:r>
      <w:r w:rsidRPr="00E90E38">
        <w:rPr>
          <w:b/>
          <w:bCs/>
          <w:noProof/>
          <w:lang w:val="en-US"/>
        </w:rPr>
        <w:t>practical efficiency</w:t>
      </w:r>
      <w:r w:rsidRPr="00E90E38">
        <w:rPr>
          <w:noProof/>
          <w:lang w:val="en-US"/>
        </w:rPr>
        <w:t xml:space="preserve">. FIGARCH provides a more faithful representation of volatility’s statistical structure but yields modest incremental benefits for day-to-day risk management. It thus serves </w:t>
      </w:r>
      <w:r w:rsidRPr="00E90E38">
        <w:rPr>
          <w:noProof/>
          <w:lang w:val="en-US"/>
        </w:rPr>
        <w:lastRenderedPageBreak/>
        <w:t xml:space="preserve">primarily as a </w:t>
      </w:r>
      <w:r w:rsidRPr="00E90E38">
        <w:rPr>
          <w:b/>
          <w:bCs/>
          <w:noProof/>
          <w:lang w:val="en-US"/>
        </w:rPr>
        <w:t>structural and interpretive tool</w:t>
      </w:r>
      <w:r w:rsidRPr="00E90E38">
        <w:rPr>
          <w:noProof/>
          <w:lang w:val="en-US"/>
        </w:rPr>
        <w:t>, rather than as a superior forecasting device.</w:t>
      </w:r>
    </w:p>
    <w:p w14:paraId="559127B3"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For risk practitioners, the implications are twofold:</w:t>
      </w:r>
    </w:p>
    <w:p w14:paraId="3CACED99" w14:textId="77777777" w:rsidR="00E90E38" w:rsidRPr="00E90E38" w:rsidRDefault="00E90E38" w:rsidP="00EB7093">
      <w:pPr>
        <w:numPr>
          <w:ilvl w:val="0"/>
          <w:numId w:val="19"/>
        </w:numPr>
        <w:spacing w:before="100" w:beforeAutospacing="1" w:after="100" w:afterAutospacing="1" w:line="480" w:lineRule="auto"/>
        <w:jc w:val="both"/>
        <w:rPr>
          <w:noProof/>
          <w:lang w:val="en-US"/>
        </w:rPr>
      </w:pPr>
      <w:r w:rsidRPr="00E90E38">
        <w:rPr>
          <w:noProof/>
          <w:lang w:val="en-US"/>
        </w:rPr>
        <w:t>In markets where volatility persistence is stable and global (e.g., broad indices, large portfolios), fractional models can improve VaR calibration and act as conservative risk estimators.</w:t>
      </w:r>
    </w:p>
    <w:p w14:paraId="5123CBD1" w14:textId="77777777" w:rsidR="00E90E38" w:rsidRPr="00E90E38" w:rsidRDefault="00E90E38" w:rsidP="00EB7093">
      <w:pPr>
        <w:numPr>
          <w:ilvl w:val="0"/>
          <w:numId w:val="19"/>
        </w:numPr>
        <w:spacing w:before="100" w:beforeAutospacing="1" w:after="100" w:afterAutospacing="1" w:line="480" w:lineRule="auto"/>
        <w:jc w:val="both"/>
        <w:rPr>
          <w:noProof/>
          <w:lang w:val="en-US"/>
        </w:rPr>
      </w:pPr>
      <w:r w:rsidRPr="00E90E38">
        <w:rPr>
          <w:noProof/>
          <w:lang w:val="en-US"/>
        </w:rPr>
        <w:t>In markets dominated by episodic shocks or regime changes (e.g., single stocks, speculative assets), simpler short-memory models are more reliable and computationally efficient.</w:t>
      </w:r>
    </w:p>
    <w:p w14:paraId="654EE478"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From a modeling perspective, these results support a </w:t>
      </w:r>
      <w:r w:rsidRPr="00E90E38">
        <w:rPr>
          <w:b/>
          <w:bCs/>
          <w:noProof/>
          <w:lang w:val="en-US"/>
        </w:rPr>
        <w:t>selective application</w:t>
      </w:r>
      <w:r w:rsidRPr="00E90E38">
        <w:rPr>
          <w:noProof/>
          <w:lang w:val="en-US"/>
        </w:rPr>
        <w:t xml:space="preserve"> of long-memory frameworks: use them where persistence is intrinsic and stationary, but not where it is induced by structural non-stationarity.</w:t>
      </w:r>
    </w:p>
    <w:p w14:paraId="1E9FBDBE" w14:textId="77777777" w:rsidR="00E90E38" w:rsidRPr="00E90E38" w:rsidRDefault="00E90E38" w:rsidP="00EB7093">
      <w:pPr>
        <w:spacing w:before="100" w:beforeAutospacing="1" w:after="100" w:afterAutospacing="1" w:line="480" w:lineRule="auto"/>
        <w:jc w:val="both"/>
        <w:outlineLvl w:val="2"/>
        <w:rPr>
          <w:b/>
          <w:bCs/>
          <w:noProof/>
          <w:sz w:val="27"/>
          <w:szCs w:val="27"/>
          <w:lang w:val="en-US"/>
        </w:rPr>
      </w:pPr>
      <w:r w:rsidRPr="00E90E38">
        <w:rPr>
          <w:b/>
          <w:bCs/>
          <w:noProof/>
          <w:sz w:val="27"/>
          <w:szCs w:val="27"/>
          <w:lang w:val="en-US"/>
        </w:rPr>
        <w:t>7.3. Limitations</w:t>
      </w:r>
    </w:p>
    <w:p w14:paraId="1CCB3631" w14:textId="54C212C7" w:rsidR="008A0C2B" w:rsidRDefault="00E90E38" w:rsidP="00EB7093">
      <w:pPr>
        <w:spacing w:before="100" w:beforeAutospacing="1" w:line="480" w:lineRule="auto"/>
        <w:jc w:val="both"/>
        <w:rPr>
          <w:noProof/>
          <w:lang w:val="en-US"/>
        </w:rPr>
      </w:pPr>
      <w:r w:rsidRPr="00E90E38">
        <w:rPr>
          <w:noProof/>
          <w:lang w:val="en-US"/>
        </w:rPr>
        <w:t>This study’s limitations point to avenues for future work</w:t>
      </w:r>
      <w:r w:rsidR="00BB149F">
        <w:rPr>
          <w:noProof/>
          <w:lang w:val="en-US"/>
        </w:rPr>
        <w:t>:</w:t>
      </w:r>
    </w:p>
    <w:p w14:paraId="17336C1A" w14:textId="7E98A938" w:rsidR="00BB149F" w:rsidRPr="00BB149F" w:rsidRDefault="00E90E38" w:rsidP="00EB7093">
      <w:pPr>
        <w:pStyle w:val="Prrafodelista"/>
        <w:numPr>
          <w:ilvl w:val="0"/>
          <w:numId w:val="30"/>
        </w:numPr>
        <w:spacing w:before="100" w:beforeAutospacing="1" w:after="100" w:afterAutospacing="1" w:line="480" w:lineRule="auto"/>
        <w:contextualSpacing w:val="0"/>
        <w:jc w:val="both"/>
        <w:rPr>
          <w:noProof/>
          <w:lang w:val="en-US"/>
        </w:rPr>
      </w:pPr>
      <w:r w:rsidRPr="00BB149F">
        <w:rPr>
          <w:noProof/>
          <w:lang w:val="en-US"/>
        </w:rPr>
        <w:t>we restricted attention to one-step-ahead forecasts and conditional normality to ensure comparability across models. Using Student-t or skewed distributions could refine tail calibration but would not alter the structural contrast between GARCH and FIGARCH.</w:t>
      </w:r>
    </w:p>
    <w:p w14:paraId="2A2DC489" w14:textId="50D6AC3A" w:rsidR="00BB149F" w:rsidRPr="00BB149F" w:rsidRDefault="00E90E38" w:rsidP="00EB7093">
      <w:pPr>
        <w:pStyle w:val="Prrafodelista"/>
        <w:numPr>
          <w:ilvl w:val="0"/>
          <w:numId w:val="30"/>
        </w:numPr>
        <w:spacing w:before="100" w:beforeAutospacing="1" w:after="100" w:afterAutospacing="1" w:line="480" w:lineRule="auto"/>
        <w:contextualSpacing w:val="0"/>
        <w:jc w:val="both"/>
        <w:rPr>
          <w:noProof/>
          <w:lang w:val="en-US"/>
        </w:rPr>
      </w:pPr>
      <w:r w:rsidRPr="00BB149F">
        <w:rPr>
          <w:noProof/>
          <w:lang w:val="en-US"/>
        </w:rPr>
        <w:t>only daily data were considered; persistence behavior may differ at intraday frequencies, where microstructure effects and realized volatility measures become relevant.</w:t>
      </w:r>
    </w:p>
    <w:p w14:paraId="713ED5F2" w14:textId="716363A5" w:rsidR="00E90E38" w:rsidRPr="00BB149F" w:rsidRDefault="00E90E38" w:rsidP="00EB7093">
      <w:pPr>
        <w:pStyle w:val="Prrafodelista"/>
        <w:numPr>
          <w:ilvl w:val="0"/>
          <w:numId w:val="30"/>
        </w:numPr>
        <w:spacing w:before="100" w:beforeAutospacing="1" w:after="100" w:afterAutospacing="1" w:line="480" w:lineRule="auto"/>
        <w:contextualSpacing w:val="0"/>
        <w:jc w:val="both"/>
        <w:rPr>
          <w:noProof/>
          <w:lang w:val="en-US"/>
        </w:rPr>
      </w:pPr>
      <w:r w:rsidRPr="00BB149F">
        <w:rPr>
          <w:noProof/>
          <w:lang w:val="en-US"/>
        </w:rPr>
        <w:lastRenderedPageBreak/>
        <w:t xml:space="preserve">we focused on a single-regime specification; extending to </w:t>
      </w:r>
      <w:r w:rsidRPr="00BB149F">
        <w:rPr>
          <w:b/>
          <w:bCs/>
          <w:noProof/>
          <w:lang w:val="en-US"/>
        </w:rPr>
        <w:t>Markov-switching FIGARCH</w:t>
      </w:r>
      <w:r w:rsidRPr="00BB149F">
        <w:rPr>
          <w:noProof/>
          <w:lang w:val="en-US"/>
        </w:rPr>
        <w:t xml:space="preserve"> or </w:t>
      </w:r>
      <w:r w:rsidRPr="00BB149F">
        <w:rPr>
          <w:b/>
          <w:bCs/>
          <w:noProof/>
          <w:lang w:val="en-US"/>
        </w:rPr>
        <w:t>Hybrid ARFIMA-FIGARCH</w:t>
      </w:r>
      <w:r w:rsidRPr="00BB149F">
        <w:rPr>
          <w:noProof/>
          <w:lang w:val="en-US"/>
        </w:rPr>
        <w:t xml:space="preserve"> frameworks could improve adaptability under regime shifts.</w:t>
      </w:r>
    </w:p>
    <w:p w14:paraId="12A2A066" w14:textId="77777777" w:rsidR="00E90E38" w:rsidRPr="00E90E38" w:rsidRDefault="00E90E38" w:rsidP="00EB7093">
      <w:pPr>
        <w:spacing w:before="100" w:beforeAutospacing="1" w:after="100" w:afterAutospacing="1" w:line="480" w:lineRule="auto"/>
        <w:jc w:val="both"/>
        <w:outlineLvl w:val="2"/>
        <w:rPr>
          <w:b/>
          <w:bCs/>
          <w:noProof/>
          <w:sz w:val="27"/>
          <w:szCs w:val="27"/>
          <w:lang w:val="en-US"/>
        </w:rPr>
      </w:pPr>
      <w:r w:rsidRPr="00E90E38">
        <w:rPr>
          <w:b/>
          <w:bCs/>
          <w:noProof/>
          <w:sz w:val="27"/>
          <w:szCs w:val="27"/>
          <w:lang w:val="en-US"/>
        </w:rPr>
        <w:t>7.4. Future directions</w:t>
      </w:r>
    </w:p>
    <w:p w14:paraId="03F029B9"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Building on these findings, future research could pursue several extensions:</w:t>
      </w:r>
    </w:p>
    <w:p w14:paraId="2F7D4851" w14:textId="77777777" w:rsidR="00E90E38" w:rsidRPr="00E90E38" w:rsidRDefault="00E90E38" w:rsidP="00EB7093">
      <w:pPr>
        <w:numPr>
          <w:ilvl w:val="0"/>
          <w:numId w:val="20"/>
        </w:numPr>
        <w:spacing w:before="100" w:beforeAutospacing="1" w:after="100" w:afterAutospacing="1" w:line="480" w:lineRule="auto"/>
        <w:jc w:val="both"/>
        <w:rPr>
          <w:noProof/>
          <w:lang w:val="en-US"/>
        </w:rPr>
      </w:pPr>
      <w:r w:rsidRPr="00E90E38">
        <w:rPr>
          <w:b/>
          <w:bCs/>
          <w:noProof/>
          <w:lang w:val="en-US"/>
        </w:rPr>
        <w:t>Hybrid and regime-switching models:</w:t>
      </w:r>
      <w:r w:rsidRPr="00E90E38">
        <w:rPr>
          <w:noProof/>
          <w:lang w:val="en-US"/>
        </w:rPr>
        <w:t xml:space="preserve"> combining fractional integration with regime dynamics (e.g., MS-FIGARCH, Zhang 2001) to capture both persistence and breaks.</w:t>
      </w:r>
    </w:p>
    <w:p w14:paraId="744C2869" w14:textId="77777777" w:rsidR="00E90E38" w:rsidRPr="00E90E38" w:rsidRDefault="00E90E38" w:rsidP="00EB7093">
      <w:pPr>
        <w:numPr>
          <w:ilvl w:val="0"/>
          <w:numId w:val="20"/>
        </w:numPr>
        <w:spacing w:before="100" w:beforeAutospacing="1" w:after="100" w:afterAutospacing="1" w:line="480" w:lineRule="auto"/>
        <w:jc w:val="both"/>
        <w:rPr>
          <w:noProof/>
          <w:lang w:val="en-US"/>
        </w:rPr>
      </w:pPr>
      <w:r w:rsidRPr="00E90E38">
        <w:rPr>
          <w:b/>
          <w:bCs/>
          <w:noProof/>
          <w:lang w:val="en-US"/>
        </w:rPr>
        <w:t>Multifractal volatility modeling:</w:t>
      </w:r>
      <w:r w:rsidRPr="00E90E38">
        <w:rPr>
          <w:noProof/>
          <w:lang w:val="en-US"/>
        </w:rPr>
        <w:t xml:space="preserve"> embedding MF-DFA scaling exponents directly into parametric volatility processes to represent heterogeneous persistence.</w:t>
      </w:r>
    </w:p>
    <w:p w14:paraId="28B72DF2" w14:textId="77777777" w:rsidR="00E90E38" w:rsidRPr="00E90E38" w:rsidRDefault="00E90E38" w:rsidP="00EB7093">
      <w:pPr>
        <w:numPr>
          <w:ilvl w:val="0"/>
          <w:numId w:val="20"/>
        </w:numPr>
        <w:spacing w:before="100" w:beforeAutospacing="1" w:after="100" w:afterAutospacing="1" w:line="480" w:lineRule="auto"/>
        <w:jc w:val="both"/>
        <w:rPr>
          <w:noProof/>
          <w:lang w:val="en-US"/>
        </w:rPr>
      </w:pPr>
      <w:r w:rsidRPr="00E90E38">
        <w:rPr>
          <w:b/>
          <w:bCs/>
          <w:noProof/>
          <w:lang w:val="en-US"/>
        </w:rPr>
        <w:t>Bayesian estimation:</w:t>
      </w:r>
      <w:r w:rsidRPr="00E90E38">
        <w:rPr>
          <w:noProof/>
          <w:lang w:val="en-US"/>
        </w:rPr>
        <w:t xml:space="preserve"> applying Bayesian MCMC to stabilize inference on d and quantify uncertainty around persistence estimates.</w:t>
      </w:r>
    </w:p>
    <w:p w14:paraId="166A62AD" w14:textId="4961BE9B" w:rsidR="00E90E38" w:rsidRPr="00E90E38" w:rsidRDefault="00E90E38" w:rsidP="00EB7093">
      <w:pPr>
        <w:numPr>
          <w:ilvl w:val="0"/>
          <w:numId w:val="20"/>
        </w:numPr>
        <w:spacing w:before="100" w:beforeAutospacing="1" w:after="100" w:afterAutospacing="1" w:line="480" w:lineRule="auto"/>
        <w:jc w:val="both"/>
        <w:rPr>
          <w:noProof/>
          <w:lang w:val="en-US"/>
        </w:rPr>
      </w:pPr>
      <w:r w:rsidRPr="00E90E38">
        <w:rPr>
          <w:b/>
          <w:bCs/>
          <w:noProof/>
          <w:lang w:val="en-US"/>
        </w:rPr>
        <w:t>Machine-learning approximations:</w:t>
      </w:r>
      <w:r w:rsidRPr="00E90E38">
        <w:rPr>
          <w:noProof/>
          <w:lang w:val="en-US"/>
        </w:rPr>
        <w:t xml:space="preserve"> exploring neural or kernel architectures that emulate fractional</w:t>
      </w:r>
      <w:r w:rsidR="00836A2E">
        <w:rPr>
          <w:noProof/>
          <w:lang w:val="en-US"/>
        </w:rPr>
        <w:t>-</w:t>
      </w:r>
      <w:r w:rsidRPr="00E90E38">
        <w:rPr>
          <w:noProof/>
          <w:lang w:val="en-US"/>
        </w:rPr>
        <w:t>differencing while adapting to non-stationarity.</w:t>
      </w:r>
    </w:p>
    <w:p w14:paraId="0A583E73"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Such developments would continue bridging the gap between </w:t>
      </w:r>
      <w:r w:rsidRPr="00E90E38">
        <w:rPr>
          <w:b/>
          <w:bCs/>
          <w:noProof/>
          <w:lang w:val="en-US"/>
        </w:rPr>
        <w:t>econometric modeling</w:t>
      </w:r>
      <w:r w:rsidRPr="00E90E38">
        <w:rPr>
          <w:noProof/>
          <w:lang w:val="en-US"/>
        </w:rPr>
        <w:t xml:space="preserve"> and </w:t>
      </w:r>
      <w:r w:rsidRPr="00E90E38">
        <w:rPr>
          <w:b/>
          <w:bCs/>
          <w:noProof/>
          <w:lang w:val="en-US"/>
        </w:rPr>
        <w:t>fractal analysis</w:t>
      </w:r>
      <w:r w:rsidRPr="00E90E38">
        <w:rPr>
          <w:noProof/>
          <w:lang w:val="en-US"/>
        </w:rPr>
        <w:t>, integrating the interpretive richness of multifractal theory with the predictive practicality of volatility forecasting.</w:t>
      </w:r>
    </w:p>
    <w:p w14:paraId="76606CB5" w14:textId="77777777" w:rsidR="00E90E38" w:rsidRPr="00E90E38" w:rsidRDefault="00E90E38" w:rsidP="00EB7093">
      <w:pPr>
        <w:spacing w:before="100" w:beforeAutospacing="1" w:after="100" w:afterAutospacing="1" w:line="480" w:lineRule="auto"/>
        <w:jc w:val="both"/>
        <w:outlineLvl w:val="2"/>
        <w:rPr>
          <w:b/>
          <w:bCs/>
          <w:noProof/>
          <w:sz w:val="27"/>
          <w:szCs w:val="27"/>
          <w:lang w:val="en-US"/>
        </w:rPr>
      </w:pPr>
      <w:r w:rsidRPr="00E90E38">
        <w:rPr>
          <w:b/>
          <w:bCs/>
          <w:noProof/>
          <w:sz w:val="27"/>
          <w:szCs w:val="27"/>
          <w:lang w:val="en-US"/>
        </w:rPr>
        <w:t>7.5. Concluding remarks</w:t>
      </w:r>
    </w:p>
    <w:p w14:paraId="6C375F07" w14:textId="644DEB68"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The evidence presented here leads to a balanced conclusion: </w:t>
      </w:r>
      <w:r w:rsidRPr="00E90E38">
        <w:rPr>
          <w:b/>
          <w:bCs/>
          <w:noProof/>
          <w:lang w:val="en-US"/>
        </w:rPr>
        <w:t xml:space="preserve">fractional integration enhances our understanding of volatility but does </w:t>
      </w:r>
      <w:r w:rsidRPr="00C24C28">
        <w:rPr>
          <w:b/>
          <w:bCs/>
          <w:noProof/>
          <w:lang w:val="en-US"/>
        </w:rPr>
        <w:t xml:space="preserve">not </w:t>
      </w:r>
      <w:r w:rsidR="00C24C28" w:rsidRPr="00C24C28">
        <w:rPr>
          <w:b/>
          <w:bCs/>
          <w:lang w:val="en-US"/>
        </w:rPr>
        <w:t>materially alter its short-term predictive performance.</w:t>
      </w:r>
      <w:r w:rsidR="00C24C28">
        <w:rPr>
          <w:b/>
          <w:bCs/>
          <w:noProof/>
          <w:lang w:val="en-US"/>
        </w:rPr>
        <w:t xml:space="preserve"> </w:t>
      </w:r>
      <w:r w:rsidRPr="00E90E38">
        <w:rPr>
          <w:noProof/>
          <w:lang w:val="en-US"/>
        </w:rPr>
        <w:t xml:space="preserve">GARCH remains the benchmark for short-term volatility and </w:t>
      </w:r>
      <w:r w:rsidRPr="00E90E38">
        <w:rPr>
          <w:noProof/>
          <w:lang w:val="en-US"/>
        </w:rPr>
        <w:lastRenderedPageBreak/>
        <w:t>risk forecasting; FIGARCH extends that benchmark conceptually by embedding memory and persistence consistent with multifractal dynamics.</w:t>
      </w:r>
    </w:p>
    <w:p w14:paraId="43E50243" w14:textId="71220088" w:rsidR="00660B9D" w:rsidRPr="00E1076E" w:rsidRDefault="002B770A" w:rsidP="00EB7093">
      <w:pPr>
        <w:spacing w:before="100" w:beforeAutospacing="1" w:after="100" w:afterAutospacing="1" w:line="480" w:lineRule="auto"/>
        <w:jc w:val="both"/>
        <w:rPr>
          <w:noProof/>
          <w:lang w:val="en-US"/>
        </w:rPr>
      </w:pPr>
      <w:r w:rsidRPr="002B770A">
        <w:rPr>
          <w:lang w:val="en-US"/>
        </w:rPr>
        <w:t>FIGARCH contributes conceptually by embedding scale-dependent memory into a tractable model</w:t>
      </w:r>
      <w:r w:rsidRPr="00E1076E">
        <w:rPr>
          <w:lang w:val="en-US"/>
        </w:rPr>
        <w:t>.</w:t>
      </w:r>
      <w:r w:rsidR="00E90E38" w:rsidRPr="00E1076E">
        <w:rPr>
          <w:noProof/>
          <w:lang w:val="en-US"/>
        </w:rPr>
        <w:t xml:space="preserve"> </w:t>
      </w:r>
      <w:r w:rsidR="00E1076E" w:rsidRPr="00E1076E">
        <w:rPr>
          <w:lang w:val="en-US"/>
        </w:rPr>
        <w:t>It illustrates that volatility is neither random nor infinitely persistent, but exhibits structured, scale-dependent memory—a feature future models must capture without sacrificing tractability.</w:t>
      </w:r>
    </w:p>
    <w:p w14:paraId="7AAE7D99" w14:textId="43948D18" w:rsidR="001B2FE0" w:rsidRDefault="00660B9D" w:rsidP="00EB7093">
      <w:pPr>
        <w:spacing w:before="100" w:beforeAutospacing="1" w:after="100" w:afterAutospacing="1" w:line="480" w:lineRule="auto"/>
        <w:jc w:val="both"/>
        <w:rPr>
          <w:noProof/>
          <w:lang w:val="en-US"/>
        </w:rPr>
      </w:pPr>
      <w:r w:rsidRPr="00660B9D">
        <w:rPr>
          <w:lang w:val="en-US"/>
        </w:rPr>
        <w:t>From a risk-management perspective, the results also show that fractional volatility models can improve the calibration of tail-risk measures—such as Value-at-Risk—when persistence is strong and stable, while offering little advantage otherwise.</w:t>
      </w:r>
    </w:p>
    <w:p w14:paraId="18CF4F2C" w14:textId="77777777" w:rsidR="00E1076E" w:rsidRDefault="00E1076E" w:rsidP="00EB7093">
      <w:pPr>
        <w:spacing w:before="100" w:beforeAutospacing="1" w:after="100" w:afterAutospacing="1" w:line="480" w:lineRule="auto"/>
        <w:jc w:val="both"/>
        <w:rPr>
          <w:b/>
          <w:bCs/>
          <w:noProof/>
          <w:sz w:val="36"/>
          <w:szCs w:val="36"/>
          <w:lang w:val="en-US"/>
        </w:rPr>
      </w:pPr>
    </w:p>
    <w:p w14:paraId="6261634E" w14:textId="6223F733" w:rsidR="001B2FE0" w:rsidRPr="001B2FE0" w:rsidRDefault="001B2FE0" w:rsidP="00EB7093">
      <w:pPr>
        <w:spacing w:before="100" w:beforeAutospacing="1" w:after="100" w:afterAutospacing="1" w:line="480" w:lineRule="auto"/>
        <w:jc w:val="both"/>
        <w:rPr>
          <w:noProof/>
          <w:lang w:val="en-US"/>
        </w:rPr>
      </w:pPr>
      <w:r w:rsidRPr="001B2FE0">
        <w:rPr>
          <w:b/>
          <w:bCs/>
          <w:noProof/>
          <w:sz w:val="36"/>
          <w:szCs w:val="36"/>
          <w:lang w:val="en-US"/>
        </w:rPr>
        <w:t>8.</w:t>
      </w:r>
      <w:r>
        <w:rPr>
          <w:b/>
          <w:bCs/>
          <w:noProof/>
          <w:sz w:val="36"/>
          <w:szCs w:val="36"/>
          <w:lang w:val="en-US"/>
        </w:rPr>
        <w:t xml:space="preserve"> </w:t>
      </w:r>
      <w:r w:rsidRPr="001B2FE0">
        <w:rPr>
          <w:b/>
          <w:bCs/>
          <w:noProof/>
          <w:sz w:val="36"/>
          <w:szCs w:val="36"/>
          <w:lang w:val="en-US"/>
        </w:rPr>
        <w:t>Re</w:t>
      </w:r>
      <w:r w:rsidRPr="001B2FE0">
        <w:rPr>
          <w:b/>
          <w:bCs/>
          <w:sz w:val="36"/>
          <w:szCs w:val="36"/>
          <w:lang w:val="en-US"/>
        </w:rPr>
        <w:t>plication Package</w:t>
      </w:r>
    </w:p>
    <w:p w14:paraId="3C4F0FB9" w14:textId="77777777" w:rsidR="00660B9D" w:rsidRPr="00660B9D" w:rsidRDefault="00660B9D" w:rsidP="00EB7093">
      <w:pPr>
        <w:pStyle w:val="NormalWeb"/>
        <w:spacing w:line="480" w:lineRule="auto"/>
        <w:jc w:val="both"/>
        <w:rPr>
          <w:lang w:val="en-US"/>
        </w:rPr>
      </w:pPr>
      <w:r w:rsidRPr="00660B9D">
        <w:rPr>
          <w:lang w:val="en-US"/>
        </w:rPr>
        <w:t>A complete replication package accompanies this article. It includes:</w:t>
      </w:r>
    </w:p>
    <w:p w14:paraId="401AF410" w14:textId="11A23E90" w:rsidR="00660B9D" w:rsidRPr="00660B9D" w:rsidRDefault="00660B9D" w:rsidP="00EB7093">
      <w:pPr>
        <w:pStyle w:val="NormalWeb"/>
        <w:numPr>
          <w:ilvl w:val="0"/>
          <w:numId w:val="41"/>
        </w:numPr>
        <w:spacing w:line="480" w:lineRule="auto"/>
        <w:jc w:val="both"/>
        <w:rPr>
          <w:lang w:val="en-US"/>
        </w:rPr>
      </w:pPr>
      <w:r w:rsidRPr="00660B9D">
        <w:rPr>
          <w:lang w:val="en-US"/>
        </w:rPr>
        <w:t xml:space="preserve">all R scripts used for data preprocessing, MF-DFA diagnostics, ARIMA/ARFIMA estimation, GARCH/FIGARCH modelling, and VaR </w:t>
      </w:r>
      <w:r w:rsidR="001E565E" w:rsidRPr="00660B9D">
        <w:rPr>
          <w:lang w:val="en-US"/>
        </w:rPr>
        <w:t>backtesting.</w:t>
      </w:r>
    </w:p>
    <w:p w14:paraId="6511EB11" w14:textId="6DD657A1" w:rsidR="00660B9D" w:rsidRPr="00660B9D" w:rsidRDefault="00660B9D" w:rsidP="00EB7093">
      <w:pPr>
        <w:pStyle w:val="NormalWeb"/>
        <w:numPr>
          <w:ilvl w:val="0"/>
          <w:numId w:val="41"/>
        </w:numPr>
        <w:spacing w:line="480" w:lineRule="auto"/>
        <w:jc w:val="both"/>
        <w:rPr>
          <w:lang w:val="en-US"/>
        </w:rPr>
      </w:pPr>
      <w:r w:rsidRPr="00660B9D">
        <w:rPr>
          <w:lang w:val="en-US"/>
        </w:rPr>
        <w:t xml:space="preserve">the full pipeline </w:t>
      </w:r>
      <w:r w:rsidR="001E565E" w:rsidRPr="00660B9D">
        <w:rPr>
          <w:lang w:val="en-US"/>
        </w:rPr>
        <w:t>organized</w:t>
      </w:r>
      <w:r w:rsidRPr="00660B9D">
        <w:rPr>
          <w:lang w:val="en-US"/>
        </w:rPr>
        <w:t xml:space="preserve"> into Blocks 01–07</w:t>
      </w:r>
      <w:r w:rsidR="00C24C28">
        <w:rPr>
          <w:lang w:val="en-US"/>
        </w:rPr>
        <w:t xml:space="preserve"> (diagnostics, modelling, evaluation)</w:t>
      </w:r>
      <w:r w:rsidRPr="00660B9D">
        <w:rPr>
          <w:lang w:val="en-US"/>
        </w:rPr>
        <w:t xml:space="preserve">, together with the wrapper script </w:t>
      </w:r>
      <w:r w:rsidRPr="00660B9D">
        <w:rPr>
          <w:rStyle w:val="CdigoHTML"/>
          <w:rFonts w:eastAsiaTheme="majorEastAsia"/>
          <w:lang w:val="en-US"/>
        </w:rPr>
        <w:t>run_all_</w:t>
      </w:r>
      <w:proofErr w:type="gramStart"/>
      <w:r w:rsidRPr="00660B9D">
        <w:rPr>
          <w:rStyle w:val="CdigoHTML"/>
          <w:rFonts w:eastAsiaTheme="majorEastAsia"/>
          <w:lang w:val="en-US"/>
        </w:rPr>
        <w:t>replication.R</w:t>
      </w:r>
      <w:proofErr w:type="gramEnd"/>
      <w:r w:rsidRPr="00660B9D">
        <w:rPr>
          <w:lang w:val="en-US"/>
        </w:rPr>
        <w:t xml:space="preserve">, which reproduces all tables and figures in the </w:t>
      </w:r>
      <w:proofErr w:type="gramStart"/>
      <w:r w:rsidRPr="00660B9D">
        <w:rPr>
          <w:lang w:val="en-US"/>
        </w:rPr>
        <w:t>paper;</w:t>
      </w:r>
      <w:proofErr w:type="gramEnd"/>
    </w:p>
    <w:p w14:paraId="7B73E289" w14:textId="7DA1164D" w:rsidR="00660B9D" w:rsidRPr="00660B9D" w:rsidRDefault="00660B9D" w:rsidP="00EB7093">
      <w:pPr>
        <w:pStyle w:val="NormalWeb"/>
        <w:numPr>
          <w:ilvl w:val="0"/>
          <w:numId w:val="41"/>
        </w:numPr>
        <w:spacing w:line="480" w:lineRule="auto"/>
        <w:jc w:val="both"/>
        <w:rPr>
          <w:lang w:val="en-US"/>
        </w:rPr>
      </w:pPr>
      <w:r w:rsidRPr="00660B9D">
        <w:rPr>
          <w:lang w:val="en-US"/>
        </w:rPr>
        <w:t xml:space="preserve">all processed datasets, summary tables, intermediate outputs, and final model </w:t>
      </w:r>
      <w:r w:rsidR="001E565E" w:rsidRPr="00660B9D">
        <w:rPr>
          <w:lang w:val="en-US"/>
        </w:rPr>
        <w:t>estimates.</w:t>
      </w:r>
    </w:p>
    <w:p w14:paraId="068929F1" w14:textId="77777777" w:rsidR="00660B9D" w:rsidRPr="00660B9D" w:rsidRDefault="00660B9D" w:rsidP="00EB7093">
      <w:pPr>
        <w:pStyle w:val="NormalWeb"/>
        <w:spacing w:line="480" w:lineRule="auto"/>
        <w:jc w:val="both"/>
        <w:rPr>
          <w:lang w:val="en-US"/>
        </w:rPr>
      </w:pPr>
      <w:r w:rsidRPr="00660B9D">
        <w:rPr>
          <w:lang w:val="en-US"/>
        </w:rPr>
        <w:t>The package is openly available at:</w:t>
      </w:r>
    </w:p>
    <w:p w14:paraId="29E7625D" w14:textId="77777777" w:rsidR="00660B9D" w:rsidRDefault="00660B9D" w:rsidP="00EB7093">
      <w:pPr>
        <w:pStyle w:val="NormalWeb"/>
        <w:spacing w:line="480" w:lineRule="auto"/>
        <w:jc w:val="both"/>
        <w:rPr>
          <w:lang w:val="en-US"/>
        </w:rPr>
      </w:pPr>
      <w:r w:rsidRPr="00660B9D">
        <w:rPr>
          <w:rStyle w:val="Textoennegrita"/>
          <w:rFonts w:eastAsiaTheme="majorEastAsia"/>
          <w:lang w:val="en-US"/>
        </w:rPr>
        <w:lastRenderedPageBreak/>
        <w:t>GitHub:</w:t>
      </w:r>
      <w:r w:rsidRPr="00660B9D">
        <w:rPr>
          <w:lang w:val="en-US"/>
        </w:rPr>
        <w:t xml:space="preserve"> </w:t>
      </w:r>
      <w:hyperlink r:id="rId11" w:tgtFrame="_new" w:history="1">
        <w:r w:rsidRPr="00660B9D">
          <w:rPr>
            <w:rStyle w:val="Hipervnculo"/>
            <w:rFonts w:eastAsiaTheme="majorEastAsia"/>
            <w:lang w:val="en-US"/>
          </w:rPr>
          <w:t>https://github.com/josegamo/irfa-long-memory-volatility</w:t>
        </w:r>
      </w:hyperlink>
    </w:p>
    <w:p w14:paraId="571AA491" w14:textId="4235ED8F" w:rsidR="00660B9D" w:rsidRPr="00660B9D" w:rsidRDefault="00660B9D" w:rsidP="00EB7093">
      <w:pPr>
        <w:pStyle w:val="NormalWeb"/>
        <w:spacing w:line="480" w:lineRule="auto"/>
        <w:jc w:val="both"/>
        <w:rPr>
          <w:lang w:val="en-US"/>
        </w:rPr>
      </w:pPr>
      <w:r w:rsidRPr="00660B9D">
        <w:rPr>
          <w:rStyle w:val="Textoennegrita"/>
          <w:rFonts w:eastAsiaTheme="majorEastAsia"/>
          <w:lang w:val="en-US"/>
        </w:rPr>
        <w:t>Zenodo (DOI):</w:t>
      </w:r>
      <w:r w:rsidRPr="00660B9D">
        <w:rPr>
          <w:lang w:val="en-US"/>
        </w:rPr>
        <w:t xml:space="preserve"> </w:t>
      </w:r>
      <w:hyperlink r:id="rId12" w:tgtFrame="_new" w:history="1">
        <w:r w:rsidRPr="00660B9D">
          <w:rPr>
            <w:rStyle w:val="Hipervnculo"/>
            <w:rFonts w:eastAsiaTheme="majorEastAsia"/>
            <w:lang w:val="en-US"/>
          </w:rPr>
          <w:t>https://doi.org/10.5281/zenodo.17771383</w:t>
        </w:r>
      </w:hyperlink>
    </w:p>
    <w:p w14:paraId="4F71755F" w14:textId="3D082A8D" w:rsidR="00660B9D" w:rsidRDefault="002B770A" w:rsidP="00EB7093">
      <w:pPr>
        <w:spacing w:before="100" w:beforeAutospacing="1" w:after="100" w:afterAutospacing="1" w:line="480" w:lineRule="auto"/>
        <w:jc w:val="both"/>
        <w:outlineLvl w:val="1"/>
        <w:rPr>
          <w:lang w:val="en-US"/>
        </w:rPr>
      </w:pPr>
      <w:r w:rsidRPr="002B770A">
        <w:rPr>
          <w:lang w:val="en-US"/>
        </w:rPr>
        <w:t>These resources ensure reproducibility and facilitate verification and extension of the results.</w:t>
      </w:r>
    </w:p>
    <w:p w14:paraId="16C0B231" w14:textId="77777777" w:rsidR="007D65FC" w:rsidRPr="002B770A" w:rsidRDefault="007D65FC" w:rsidP="00EB7093">
      <w:pPr>
        <w:spacing w:before="100" w:beforeAutospacing="1" w:after="100" w:afterAutospacing="1" w:line="480" w:lineRule="auto"/>
        <w:jc w:val="both"/>
        <w:outlineLvl w:val="1"/>
        <w:rPr>
          <w:b/>
          <w:bCs/>
          <w:noProof/>
          <w:sz w:val="36"/>
          <w:szCs w:val="36"/>
          <w:lang w:val="en-US"/>
        </w:rPr>
      </w:pPr>
    </w:p>
    <w:p w14:paraId="794D85A3" w14:textId="63625C07" w:rsidR="00E90E38" w:rsidRPr="00E90E38" w:rsidRDefault="00E90E38" w:rsidP="00EB7093">
      <w:pPr>
        <w:spacing w:after="100" w:afterAutospacing="1" w:line="480" w:lineRule="auto"/>
        <w:jc w:val="both"/>
        <w:outlineLvl w:val="1"/>
        <w:rPr>
          <w:b/>
          <w:bCs/>
          <w:noProof/>
          <w:sz w:val="36"/>
          <w:szCs w:val="36"/>
          <w:lang w:val="en-US"/>
        </w:rPr>
      </w:pPr>
      <w:r w:rsidRPr="00E90E38">
        <w:rPr>
          <w:b/>
          <w:bCs/>
          <w:noProof/>
          <w:sz w:val="36"/>
          <w:szCs w:val="36"/>
          <w:lang w:val="en-US"/>
        </w:rPr>
        <w:t>References</w:t>
      </w:r>
    </w:p>
    <w:p w14:paraId="2E0CAF35" w14:textId="77777777" w:rsidR="00E90E38" w:rsidRDefault="00E90E38" w:rsidP="00EB7093">
      <w:pPr>
        <w:spacing w:before="100" w:beforeAutospacing="1" w:after="100" w:afterAutospacing="1" w:line="480" w:lineRule="auto"/>
        <w:jc w:val="both"/>
        <w:rPr>
          <w:noProof/>
          <w:lang w:val="en-US"/>
        </w:rPr>
      </w:pPr>
      <w:r w:rsidRPr="00E90E38">
        <w:rPr>
          <w:noProof/>
          <w:lang w:val="en-US"/>
        </w:rPr>
        <w:t xml:space="preserve">Andersen, T. G., Bollerslev, T., Diebold, F. X., &amp; Labys, P. 2006. “Modeling and Forecasting Realized Volatility.” </w:t>
      </w:r>
      <w:r w:rsidRPr="00E90E38">
        <w:rPr>
          <w:i/>
          <w:iCs/>
          <w:noProof/>
          <w:lang w:val="en-US"/>
        </w:rPr>
        <w:t>Econometrica</w:t>
      </w:r>
      <w:r w:rsidRPr="00E90E38">
        <w:rPr>
          <w:noProof/>
          <w:lang w:val="en-US"/>
        </w:rPr>
        <w:t xml:space="preserve"> 74 (1): 579–625.</w:t>
      </w:r>
    </w:p>
    <w:p w14:paraId="34592F69" w14:textId="50CD4B72" w:rsidR="002A1470" w:rsidRPr="002A1470" w:rsidRDefault="002A1470" w:rsidP="00EB7093">
      <w:pPr>
        <w:spacing w:before="100" w:beforeAutospacing="1" w:after="100" w:afterAutospacing="1" w:line="480" w:lineRule="auto"/>
        <w:jc w:val="both"/>
        <w:rPr>
          <w:noProof/>
          <w:lang w:val="en-US"/>
        </w:rPr>
      </w:pPr>
      <w:r w:rsidRPr="002A1470">
        <w:rPr>
          <w:lang w:val="en-US"/>
        </w:rPr>
        <w:t xml:space="preserve">Beran, Jan. 1995. </w:t>
      </w:r>
      <w:r w:rsidRPr="002A1470">
        <w:rPr>
          <w:rStyle w:val="Textoennegrita"/>
          <w:lang w:val="en-US"/>
        </w:rPr>
        <w:t>“</w:t>
      </w:r>
      <w:r w:rsidRPr="002A1470">
        <w:rPr>
          <w:rStyle w:val="Textoennegrita"/>
          <w:b w:val="0"/>
          <w:bCs w:val="0"/>
          <w:lang w:val="en-US"/>
        </w:rPr>
        <w:t>Maximum likelihood estimation of the differencing parameter for invertible short and long memory autoregressive integrated moving average models.</w:t>
      </w:r>
      <w:r w:rsidRPr="002A1470">
        <w:rPr>
          <w:rStyle w:val="Textoennegrita"/>
          <w:lang w:val="en-US"/>
        </w:rPr>
        <w:t>”</w:t>
      </w:r>
      <w:r w:rsidRPr="002A1470">
        <w:rPr>
          <w:lang w:val="en-US"/>
        </w:rPr>
        <w:t xml:space="preserve"> </w:t>
      </w:r>
      <w:r w:rsidRPr="002A1470">
        <w:rPr>
          <w:rStyle w:val="nfasis"/>
          <w:lang w:val="en-US"/>
        </w:rPr>
        <w:t>Journal of the Royal Statistical Society: Series B</w:t>
      </w:r>
      <w:r w:rsidRPr="002A1470">
        <w:rPr>
          <w:lang w:val="en-US"/>
        </w:rPr>
        <w:t xml:space="preserve"> 57 (4): 659–672.</w:t>
      </w:r>
    </w:p>
    <w:p w14:paraId="37AA5ACC"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Baillie, R. T., Bollerslev, T., &amp; Mikkelsen, H. O. 1996. “Fractionally Integrated Generalized Autoregressive Conditional Heteroskedasticity.” </w:t>
      </w:r>
      <w:r w:rsidRPr="00E90E38">
        <w:rPr>
          <w:i/>
          <w:iCs/>
          <w:noProof/>
          <w:lang w:val="en-US"/>
        </w:rPr>
        <w:t>Journal of Econometrics</w:t>
      </w:r>
      <w:r w:rsidRPr="00E90E38">
        <w:rPr>
          <w:noProof/>
          <w:lang w:val="en-US"/>
        </w:rPr>
        <w:t xml:space="preserve"> 74 (1): 3–30.</w:t>
      </w:r>
    </w:p>
    <w:p w14:paraId="1D6A1615"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Bollerslev, T. 1986. “Generalized Autoregressive Conditional Heteroskedasticity.” </w:t>
      </w:r>
      <w:r w:rsidRPr="00E90E38">
        <w:rPr>
          <w:i/>
          <w:iCs/>
          <w:noProof/>
          <w:lang w:val="en-US"/>
        </w:rPr>
        <w:t>Journal of Econometrics</w:t>
      </w:r>
      <w:r w:rsidRPr="00E90E38">
        <w:rPr>
          <w:noProof/>
          <w:lang w:val="en-US"/>
        </w:rPr>
        <w:t xml:space="preserve"> 31 (3): 307–327.</w:t>
      </w:r>
    </w:p>
    <w:p w14:paraId="09DDF288"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Calvet, L., &amp; Fisher, A. 2004. “Regime-Switching Multifractals and the Estimation of Volatility Components.” </w:t>
      </w:r>
      <w:r w:rsidRPr="00E90E38">
        <w:rPr>
          <w:i/>
          <w:iCs/>
          <w:noProof/>
          <w:lang w:val="en-US"/>
        </w:rPr>
        <w:t>Journal of Econometrics</w:t>
      </w:r>
      <w:r w:rsidRPr="00E90E38">
        <w:rPr>
          <w:noProof/>
          <w:lang w:val="en-US"/>
        </w:rPr>
        <w:t xml:space="preserve"> 119 (1): 181–216.</w:t>
      </w:r>
    </w:p>
    <w:p w14:paraId="22AE0926"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lastRenderedPageBreak/>
        <w:t xml:space="preserve">Candelon, B., &amp; Straetmans, S. 2023. “Persistence and Predictability in Volatility: Revisiting Long Memory in Financial Markets.” </w:t>
      </w:r>
      <w:r w:rsidRPr="00E90E38">
        <w:rPr>
          <w:i/>
          <w:iCs/>
          <w:noProof/>
          <w:lang w:val="en-US"/>
        </w:rPr>
        <w:t>International Review of Financial Analysis</w:t>
      </w:r>
      <w:r w:rsidRPr="00E90E38">
        <w:rPr>
          <w:noProof/>
          <w:lang w:val="en-US"/>
        </w:rPr>
        <w:t xml:space="preserve"> 86: 102499.</w:t>
      </w:r>
    </w:p>
    <w:p w14:paraId="09A1C40F"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Corsi, F. 2009. “A Simple Approximate Long-Memory Model of Realized Volatility.” </w:t>
      </w:r>
      <w:r w:rsidRPr="00E90E38">
        <w:rPr>
          <w:i/>
          <w:iCs/>
          <w:noProof/>
          <w:lang w:val="en-US"/>
        </w:rPr>
        <w:t>Journal of Financial Econometrics</w:t>
      </w:r>
      <w:r w:rsidRPr="00E90E38">
        <w:rPr>
          <w:noProof/>
          <w:lang w:val="en-US"/>
        </w:rPr>
        <w:t xml:space="preserve"> 7 (2): 174–196.</w:t>
      </w:r>
    </w:p>
    <w:p w14:paraId="1DEB3158"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Diebold, F. X., &amp; Inoue, A. 2001. “Long Memory and Regime Switching.” </w:t>
      </w:r>
      <w:r w:rsidRPr="00E90E38">
        <w:rPr>
          <w:i/>
          <w:iCs/>
          <w:noProof/>
          <w:lang w:val="en-US"/>
        </w:rPr>
        <w:t>Journal of Econometrics</w:t>
      </w:r>
      <w:r w:rsidRPr="00E90E38">
        <w:rPr>
          <w:noProof/>
          <w:lang w:val="en-US"/>
        </w:rPr>
        <w:t xml:space="preserve"> 105 (1): 131–159.</w:t>
      </w:r>
    </w:p>
    <w:p w14:paraId="62D0B1CB"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Engle, R. F. 1982. “Autoregressive Conditional Heteroskedasticity with Estimates of the Variance of UK Inflation.” </w:t>
      </w:r>
      <w:r w:rsidRPr="00E90E38">
        <w:rPr>
          <w:i/>
          <w:iCs/>
          <w:noProof/>
          <w:lang w:val="en-US"/>
        </w:rPr>
        <w:t>Econometrica</w:t>
      </w:r>
      <w:r w:rsidRPr="00E90E38">
        <w:rPr>
          <w:noProof/>
          <w:lang w:val="en-US"/>
        </w:rPr>
        <w:t xml:space="preserve"> 50 (4): 987–1007.</w:t>
      </w:r>
    </w:p>
    <w:p w14:paraId="7B4194C1" w14:textId="77777777" w:rsidR="00E90E38" w:rsidRDefault="00E90E38" w:rsidP="00EB7093">
      <w:pPr>
        <w:spacing w:before="100" w:beforeAutospacing="1" w:after="100" w:afterAutospacing="1" w:line="480" w:lineRule="auto"/>
        <w:jc w:val="both"/>
        <w:rPr>
          <w:noProof/>
          <w:lang w:val="en-US"/>
        </w:rPr>
      </w:pPr>
      <w:r w:rsidRPr="00E90E38">
        <w:rPr>
          <w:noProof/>
          <w:lang w:val="en-US"/>
        </w:rPr>
        <w:t xml:space="preserve">Granger, C. W. J., &amp; Hyung, N. 2004. “Occasional Structural Breaks and Long Memory with an Application to the S&amp;P 500 Absolute Returns.” </w:t>
      </w:r>
      <w:r w:rsidRPr="00E90E38">
        <w:rPr>
          <w:i/>
          <w:iCs/>
          <w:noProof/>
          <w:lang w:val="en-US"/>
        </w:rPr>
        <w:t>Journal of Empirical Finance</w:t>
      </w:r>
      <w:r w:rsidRPr="00E90E38">
        <w:rPr>
          <w:noProof/>
          <w:lang w:val="en-US"/>
        </w:rPr>
        <w:t xml:space="preserve"> 11 (3): 399–421.</w:t>
      </w:r>
    </w:p>
    <w:p w14:paraId="315CD722" w14:textId="7F42C741" w:rsidR="002A1470" w:rsidRPr="00BD4858" w:rsidRDefault="002A1470" w:rsidP="00EB7093">
      <w:pPr>
        <w:spacing w:before="100" w:beforeAutospacing="1" w:after="100" w:afterAutospacing="1" w:line="480" w:lineRule="auto"/>
        <w:jc w:val="both"/>
        <w:rPr>
          <w:noProof/>
          <w:lang w:val="en-US"/>
        </w:rPr>
      </w:pPr>
      <w:r w:rsidRPr="00BD4858">
        <w:rPr>
          <w:lang w:val="en-US"/>
        </w:rPr>
        <w:t>Hyndman, Rob J., et al. 2023. “</w:t>
      </w:r>
      <w:proofErr w:type="gramStart"/>
      <w:r w:rsidRPr="00BD4858">
        <w:rPr>
          <w:rStyle w:val="Textoennegrita"/>
          <w:b w:val="0"/>
          <w:bCs w:val="0"/>
          <w:lang w:val="en-US"/>
        </w:rPr>
        <w:t>forecast</w:t>
      </w:r>
      <w:proofErr w:type="gramEnd"/>
      <w:r w:rsidRPr="00BD4858">
        <w:rPr>
          <w:rStyle w:val="Textoennegrita"/>
          <w:b w:val="0"/>
          <w:bCs w:val="0"/>
          <w:lang w:val="en-US"/>
        </w:rPr>
        <w:t>: Forecasting Functions for Time Series and Linear Models</w:t>
      </w:r>
      <w:r w:rsidRPr="00BD4858">
        <w:rPr>
          <w:rStyle w:val="Textoennegrita"/>
          <w:lang w:val="en-US"/>
        </w:rPr>
        <w:t>”.</w:t>
      </w:r>
      <w:r w:rsidRPr="00BD4858">
        <w:rPr>
          <w:lang w:val="en-US"/>
        </w:rPr>
        <w:t xml:space="preserve"> R package version 8.21.</w:t>
      </w:r>
    </w:p>
    <w:p w14:paraId="1DF4B26A"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Kantelhardt, J. W., Zschiegner, S. A., Koscielny-Bunde, E., Havlin, S., Bunde, A., &amp; Stanley, H. E. 2002. “Multifractal Detrended Fluctuation Analysis of Nonstationary Time Series.” </w:t>
      </w:r>
      <w:r w:rsidRPr="00E90E38">
        <w:rPr>
          <w:i/>
          <w:iCs/>
          <w:noProof/>
          <w:lang w:val="en-US"/>
        </w:rPr>
        <w:t>Physica A</w:t>
      </w:r>
      <w:r w:rsidRPr="00E90E38">
        <w:rPr>
          <w:noProof/>
          <w:lang w:val="en-US"/>
        </w:rPr>
        <w:t xml:space="preserve"> 316: 87–114.</w:t>
      </w:r>
    </w:p>
    <w:p w14:paraId="4F6D618D"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Kupiec, P. 1995. “Techniques for Verifying the Accuracy of Risk Measurement Models.” </w:t>
      </w:r>
      <w:r w:rsidRPr="00E90E38">
        <w:rPr>
          <w:i/>
          <w:iCs/>
          <w:noProof/>
          <w:lang w:val="en-US"/>
        </w:rPr>
        <w:t>Journal of Derivatives</w:t>
      </w:r>
      <w:r w:rsidRPr="00E90E38">
        <w:rPr>
          <w:noProof/>
          <w:lang w:val="en-US"/>
        </w:rPr>
        <w:t xml:space="preserve"> 3 (2): 73–84.</w:t>
      </w:r>
    </w:p>
    <w:p w14:paraId="32443E48"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Laurent, S. 2016. </w:t>
      </w:r>
      <w:r w:rsidRPr="00E90E38">
        <w:rPr>
          <w:i/>
          <w:iCs/>
          <w:noProof/>
          <w:lang w:val="en-US"/>
        </w:rPr>
        <w:t>Volatility Modeling.</w:t>
      </w:r>
      <w:r w:rsidRPr="00E90E38">
        <w:rPr>
          <w:noProof/>
          <w:lang w:val="en-US"/>
        </w:rPr>
        <w:t xml:space="preserve"> Hoboken, NJ: Wiley.</w:t>
      </w:r>
    </w:p>
    <w:p w14:paraId="7F1624BF"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lastRenderedPageBreak/>
        <w:t xml:space="preserve">Lo, A. W. 1991. “Long-Term Memory in Stock Market Prices.” </w:t>
      </w:r>
      <w:r w:rsidRPr="00E90E38">
        <w:rPr>
          <w:i/>
          <w:iCs/>
          <w:noProof/>
          <w:lang w:val="en-US"/>
        </w:rPr>
        <w:t>Econometrica</w:t>
      </w:r>
      <w:r w:rsidRPr="00E90E38">
        <w:rPr>
          <w:noProof/>
          <w:lang w:val="en-US"/>
        </w:rPr>
        <w:t xml:space="preserve"> 59 (5): 1279–1313.</w:t>
      </w:r>
    </w:p>
    <w:p w14:paraId="0F8CB65D" w14:textId="77777777" w:rsidR="00E90E38" w:rsidRPr="00E90E38" w:rsidRDefault="00E90E38" w:rsidP="00EB7093">
      <w:pPr>
        <w:spacing w:before="100" w:beforeAutospacing="1" w:after="100" w:afterAutospacing="1" w:line="480" w:lineRule="auto"/>
        <w:jc w:val="both"/>
        <w:rPr>
          <w:noProof/>
          <w:lang w:val="en-US"/>
        </w:rPr>
      </w:pPr>
      <w:r w:rsidRPr="00E90E38">
        <w:rPr>
          <w:noProof/>
          <w:lang w:val="en-US"/>
        </w:rPr>
        <w:t xml:space="preserve">Zhang, B. 2001. “Modeling Long Memory in Stock Market Volatility.” </w:t>
      </w:r>
      <w:r w:rsidRPr="00E90E38">
        <w:rPr>
          <w:i/>
          <w:iCs/>
          <w:noProof/>
          <w:lang w:val="en-US"/>
        </w:rPr>
        <w:t>Journal of Financial Research</w:t>
      </w:r>
      <w:r w:rsidRPr="00E90E38">
        <w:rPr>
          <w:noProof/>
          <w:lang w:val="en-US"/>
        </w:rPr>
        <w:t xml:space="preserve"> 24 (1): 107–120.</w:t>
      </w:r>
    </w:p>
    <w:p w14:paraId="21694D06" w14:textId="77777777" w:rsidR="006F7C4A" w:rsidRDefault="006F7C4A">
      <w:pPr>
        <w:rPr>
          <w:noProof/>
          <w:lang w:val="en-US"/>
        </w:rPr>
      </w:pPr>
      <w:r>
        <w:rPr>
          <w:noProof/>
          <w:lang w:val="en-US"/>
        </w:rPr>
        <w:br w:type="page"/>
      </w:r>
    </w:p>
    <w:p w14:paraId="7A514581" w14:textId="2DF4BFA8" w:rsidR="00E90E38" w:rsidRDefault="00E90E38" w:rsidP="001C4F0B">
      <w:pPr>
        <w:spacing w:before="100" w:beforeAutospacing="1" w:after="100" w:afterAutospacing="1"/>
        <w:jc w:val="both"/>
        <w:outlineLvl w:val="1"/>
        <w:rPr>
          <w:b/>
          <w:bCs/>
          <w:noProof/>
          <w:sz w:val="36"/>
          <w:szCs w:val="36"/>
          <w:lang w:val="en-US"/>
        </w:rPr>
      </w:pPr>
      <w:r w:rsidRPr="00E90E38">
        <w:rPr>
          <w:b/>
          <w:bCs/>
          <w:noProof/>
          <w:sz w:val="36"/>
          <w:szCs w:val="36"/>
          <w:lang w:val="en-US"/>
        </w:rPr>
        <w:lastRenderedPageBreak/>
        <w:t>Figures and Tables</w:t>
      </w:r>
    </w:p>
    <w:p w14:paraId="53C9D821" w14:textId="77777777" w:rsidR="00A45FCC" w:rsidRDefault="00A45FCC" w:rsidP="001C4F0B">
      <w:pPr>
        <w:spacing w:before="100" w:beforeAutospacing="1" w:after="100" w:afterAutospacing="1"/>
        <w:jc w:val="both"/>
        <w:outlineLvl w:val="1"/>
        <w:rPr>
          <w:b/>
          <w:bCs/>
          <w:noProof/>
          <w:sz w:val="36"/>
          <w:szCs w:val="36"/>
          <w:lang w:val="en-US"/>
        </w:rPr>
      </w:pPr>
    </w:p>
    <w:p w14:paraId="793446AA" w14:textId="01755C55" w:rsidR="00A45FCC" w:rsidRPr="00A45FCC" w:rsidRDefault="00A45FCC" w:rsidP="00A45FCC">
      <w:pPr>
        <w:pStyle w:val="NormalWeb"/>
        <w:spacing w:before="0" w:beforeAutospacing="0" w:after="0" w:afterAutospacing="0"/>
        <w:jc w:val="both"/>
        <w:rPr>
          <w:b/>
          <w:bCs/>
          <w:color w:val="0B769F" w:themeColor="accent4" w:themeShade="BF"/>
          <w:sz w:val="28"/>
          <w:szCs w:val="28"/>
          <w:lang w:val="en-US"/>
        </w:rPr>
      </w:pPr>
      <w:r w:rsidRPr="00A45FCC">
        <w:rPr>
          <w:rStyle w:val="Textoennegrita"/>
          <w:rFonts w:eastAsiaTheme="majorEastAsia"/>
          <w:b w:val="0"/>
          <w:bCs w:val="0"/>
          <w:color w:val="0B769F" w:themeColor="accent4" w:themeShade="BF"/>
          <w:sz w:val="28"/>
          <w:szCs w:val="28"/>
          <w:lang w:val="en-US"/>
        </w:rPr>
        <w:t>Figure 1. MF-DFA scaling spectra for returns</w:t>
      </w:r>
    </w:p>
    <w:p w14:paraId="2980A371" w14:textId="09DCD877" w:rsidR="00617469" w:rsidRDefault="00617469" w:rsidP="00617469">
      <w:pPr>
        <w:spacing w:before="100" w:beforeAutospacing="1" w:after="100" w:afterAutospacing="1"/>
        <w:jc w:val="center"/>
        <w:rPr>
          <w:lang w:val="en-US"/>
        </w:rPr>
      </w:pPr>
      <w:r>
        <w:rPr>
          <w:noProof/>
          <w:lang w:val="en-US"/>
          <w14:ligatures w14:val="standardContextual"/>
        </w:rPr>
        <w:drawing>
          <wp:inline distT="0" distB="0" distL="0" distR="0" wp14:anchorId="7868F5FD" wp14:editId="7258BA15">
            <wp:extent cx="5400040" cy="3599815"/>
            <wp:effectExtent l="0" t="0" r="0" b="0"/>
            <wp:docPr id="1967974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74529" name="Imagen 1967974529"/>
                    <pic:cNvPicPr/>
                  </pic:nvPicPr>
                  <pic:blipFill>
                    <a:blip r:embed="rId13"/>
                    <a:stretch>
                      <a:fillRect/>
                    </a:stretch>
                  </pic:blipFill>
                  <pic:spPr>
                    <a:xfrm>
                      <a:off x="0" y="0"/>
                      <a:ext cx="5400040" cy="3599815"/>
                    </a:xfrm>
                    <a:prstGeom prst="rect">
                      <a:avLst/>
                    </a:prstGeom>
                  </pic:spPr>
                </pic:pic>
              </a:graphicData>
            </a:graphic>
          </wp:inline>
        </w:drawing>
      </w:r>
    </w:p>
    <w:p w14:paraId="26A206ED" w14:textId="18FAE6E5" w:rsidR="006F7C4A" w:rsidRDefault="00617469" w:rsidP="006F7C4A">
      <w:pPr>
        <w:spacing w:after="100" w:afterAutospacing="1"/>
        <w:jc w:val="center"/>
        <w:rPr>
          <w:sz w:val="20"/>
          <w:szCs w:val="20"/>
          <w:lang w:val="en-US"/>
        </w:rPr>
      </w:pPr>
      <w:r w:rsidRPr="00A45FCC">
        <w:rPr>
          <w:b/>
          <w:bCs/>
          <w:sz w:val="20"/>
          <w:szCs w:val="20"/>
          <w:lang w:val="en-US"/>
        </w:rPr>
        <w:t>Notes:</w:t>
      </w:r>
      <w:r w:rsidRPr="006F7C4A">
        <w:rPr>
          <w:sz w:val="20"/>
          <w:szCs w:val="20"/>
          <w:lang w:val="en-US"/>
        </w:rPr>
        <w:t xml:space="preserve"> The scaling exponent h(q) is estimated using Multifractal Detrended Fluctuation Analysis (MF-DFA) over q </w:t>
      </w:r>
      <w:r w:rsidRPr="006F7C4A">
        <w:rPr>
          <w:rFonts w:ascii="Cambria Math" w:hAnsi="Cambria Math" w:cs="Cambria Math"/>
          <w:sz w:val="20"/>
          <w:szCs w:val="20"/>
          <w:lang w:val="en-US"/>
        </w:rPr>
        <w:t>∈</w:t>
      </w:r>
      <w:r w:rsidRPr="006F7C4A">
        <w:rPr>
          <w:sz w:val="20"/>
          <w:szCs w:val="20"/>
          <w:lang w:val="en-US"/>
        </w:rPr>
        <w:t xml:space="preserve"> [−5, 5]. Flat spectra indicate monofractality (short memory), while curvature indicates multifractality and long-memory volatility.</w:t>
      </w:r>
    </w:p>
    <w:p w14:paraId="6C7891B1" w14:textId="484D91CB" w:rsidR="006F7C4A" w:rsidRDefault="006F7C4A">
      <w:pPr>
        <w:rPr>
          <w:sz w:val="20"/>
          <w:szCs w:val="20"/>
          <w:lang w:val="en-US"/>
        </w:rPr>
      </w:pPr>
      <w:r>
        <w:rPr>
          <w:sz w:val="20"/>
          <w:szCs w:val="20"/>
          <w:lang w:val="en-US"/>
        </w:rPr>
        <w:br w:type="page"/>
      </w:r>
    </w:p>
    <w:p w14:paraId="653E100E" w14:textId="7DE981A1" w:rsidR="00E90E38" w:rsidRPr="00A45FCC" w:rsidRDefault="00A45FCC" w:rsidP="00A45FCC">
      <w:pPr>
        <w:pStyle w:val="NormalWeb"/>
        <w:spacing w:after="0" w:afterAutospacing="0"/>
        <w:jc w:val="both"/>
        <w:rPr>
          <w:b/>
          <w:bCs/>
          <w:color w:val="0B769F" w:themeColor="accent4" w:themeShade="BF"/>
          <w:sz w:val="28"/>
          <w:szCs w:val="28"/>
          <w:lang w:val="en-US"/>
        </w:rPr>
      </w:pPr>
      <w:r w:rsidRPr="00A45FCC">
        <w:rPr>
          <w:rStyle w:val="Textoennegrita"/>
          <w:rFonts w:eastAsiaTheme="majorEastAsia"/>
          <w:b w:val="0"/>
          <w:bCs w:val="0"/>
          <w:color w:val="0B769F" w:themeColor="accent4" w:themeShade="BF"/>
          <w:sz w:val="28"/>
          <w:szCs w:val="28"/>
          <w:lang w:val="en-US"/>
        </w:rPr>
        <w:lastRenderedPageBreak/>
        <w:t>Figure 2. MF-DFA scaling spectra for squared returns (volatility)</w:t>
      </w:r>
    </w:p>
    <w:p w14:paraId="638FE331" w14:textId="37176D4F" w:rsidR="00617469" w:rsidRDefault="00617469" w:rsidP="00617469">
      <w:pPr>
        <w:spacing w:before="100" w:beforeAutospacing="1" w:after="100" w:afterAutospacing="1"/>
        <w:jc w:val="both"/>
        <w:rPr>
          <w:noProof/>
          <w:lang w:val="en-US"/>
        </w:rPr>
      </w:pPr>
      <w:r>
        <w:rPr>
          <w:noProof/>
          <w:lang w:val="en-US"/>
          <w14:ligatures w14:val="standardContextual"/>
        </w:rPr>
        <w:drawing>
          <wp:inline distT="0" distB="0" distL="0" distR="0" wp14:anchorId="18C934A3" wp14:editId="102212E0">
            <wp:extent cx="5400040" cy="3599815"/>
            <wp:effectExtent l="0" t="0" r="0" b="0"/>
            <wp:docPr id="3604846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84621" name="Imagen 360484621"/>
                    <pic:cNvPicPr/>
                  </pic:nvPicPr>
                  <pic:blipFill>
                    <a:blip r:embed="rId14"/>
                    <a:stretch>
                      <a:fillRect/>
                    </a:stretch>
                  </pic:blipFill>
                  <pic:spPr>
                    <a:xfrm>
                      <a:off x="0" y="0"/>
                      <a:ext cx="5400040" cy="3599815"/>
                    </a:xfrm>
                    <a:prstGeom prst="rect">
                      <a:avLst/>
                    </a:prstGeom>
                  </pic:spPr>
                </pic:pic>
              </a:graphicData>
            </a:graphic>
          </wp:inline>
        </w:drawing>
      </w:r>
    </w:p>
    <w:p w14:paraId="4E5B0028" w14:textId="239E7420" w:rsidR="00617469" w:rsidRPr="006F7C4A" w:rsidRDefault="00617469" w:rsidP="006F7C4A">
      <w:pPr>
        <w:pStyle w:val="NormalWeb"/>
        <w:spacing w:before="0" w:beforeAutospacing="0"/>
        <w:jc w:val="center"/>
        <w:rPr>
          <w:rFonts w:eastAsiaTheme="majorEastAsia"/>
          <w:b/>
          <w:bCs/>
          <w:i/>
          <w:iCs/>
          <w:sz w:val="20"/>
          <w:szCs w:val="20"/>
          <w:lang w:val="en-US"/>
        </w:rPr>
      </w:pPr>
      <w:r w:rsidRPr="00A45FCC">
        <w:rPr>
          <w:rStyle w:val="nfasis"/>
          <w:rFonts w:eastAsiaTheme="majorEastAsia"/>
          <w:b/>
          <w:bCs/>
          <w:i w:val="0"/>
          <w:iCs w:val="0"/>
          <w:sz w:val="20"/>
          <w:szCs w:val="20"/>
          <w:lang w:val="en-US"/>
        </w:rPr>
        <w:t xml:space="preserve">Notes: </w:t>
      </w:r>
      <w:r w:rsidRPr="006F7C4A">
        <w:rPr>
          <w:rStyle w:val="nfasis"/>
          <w:rFonts w:eastAsiaTheme="majorEastAsia"/>
          <w:i w:val="0"/>
          <w:iCs w:val="0"/>
          <w:sz w:val="20"/>
          <w:szCs w:val="20"/>
          <w:lang w:val="en-US"/>
        </w:rPr>
        <w:t xml:space="preserve">The scaling exponent h(q) is estimated using Multifractal Detrended Fluctuation Analysis (MF-DFA) over q </w:t>
      </w:r>
      <w:r w:rsidRPr="006F7C4A">
        <w:rPr>
          <w:rStyle w:val="nfasis"/>
          <w:rFonts w:ascii="Cambria Math" w:eastAsiaTheme="majorEastAsia" w:hAnsi="Cambria Math" w:cs="Cambria Math"/>
          <w:i w:val="0"/>
          <w:iCs w:val="0"/>
          <w:sz w:val="20"/>
          <w:szCs w:val="20"/>
          <w:lang w:val="en-US"/>
        </w:rPr>
        <w:t>∈</w:t>
      </w:r>
      <w:r w:rsidRPr="006F7C4A">
        <w:rPr>
          <w:rStyle w:val="nfasis"/>
          <w:rFonts w:eastAsiaTheme="majorEastAsia"/>
          <w:i w:val="0"/>
          <w:iCs w:val="0"/>
          <w:sz w:val="20"/>
          <w:szCs w:val="20"/>
          <w:lang w:val="en-US"/>
        </w:rPr>
        <w:t xml:space="preserve"> [−5, 5]. Curved and wide spectra indicate multifractality and strong long-memory volatility dynamics.</w:t>
      </w:r>
    </w:p>
    <w:p w14:paraId="0BE41A07" w14:textId="3BAABF21" w:rsidR="00617469" w:rsidRPr="00617469" w:rsidRDefault="006F7C4A" w:rsidP="006F7C4A">
      <w:pPr>
        <w:rPr>
          <w:noProof/>
          <w:sz w:val="20"/>
          <w:szCs w:val="20"/>
          <w:lang w:val="en-US"/>
        </w:rPr>
      </w:pPr>
      <w:r>
        <w:rPr>
          <w:noProof/>
          <w:sz w:val="20"/>
          <w:szCs w:val="20"/>
          <w:lang w:val="en-US"/>
        </w:rPr>
        <w:br w:type="page"/>
      </w:r>
    </w:p>
    <w:p w14:paraId="4FB79AD7" w14:textId="77777777" w:rsidR="00B97561" w:rsidRPr="00B97561" w:rsidRDefault="00B97561" w:rsidP="00B97561">
      <w:pPr>
        <w:pStyle w:val="Ttulo3"/>
        <w:jc w:val="center"/>
        <w:rPr>
          <w:i/>
          <w:iCs/>
          <w:lang w:val="en-US"/>
        </w:rPr>
      </w:pPr>
      <w:r w:rsidRPr="00B97561">
        <w:rPr>
          <w:rStyle w:val="nfasis"/>
          <w:i w:val="0"/>
          <w:iCs w:val="0"/>
          <w:lang w:val="en-US"/>
        </w:rPr>
        <w:lastRenderedPageBreak/>
        <w:t>Table 1. MF-DFA summary results for returns and variance</w:t>
      </w:r>
    </w:p>
    <w:tbl>
      <w:tblPr>
        <w:tblStyle w:val="Tabladelista6concolores"/>
        <w:tblW w:w="8989" w:type="dxa"/>
        <w:tblLook w:val="04A0" w:firstRow="1" w:lastRow="0" w:firstColumn="1" w:lastColumn="0" w:noHBand="0" w:noVBand="1"/>
      </w:tblPr>
      <w:tblGrid>
        <w:gridCol w:w="1162"/>
        <w:gridCol w:w="1076"/>
        <w:gridCol w:w="122"/>
        <w:gridCol w:w="980"/>
        <w:gridCol w:w="339"/>
        <w:gridCol w:w="1118"/>
        <w:gridCol w:w="292"/>
        <w:gridCol w:w="3777"/>
        <w:gridCol w:w="123"/>
      </w:tblGrid>
      <w:tr w:rsidR="00B97561" w:rsidRPr="00B97561" w14:paraId="3034F9E3" w14:textId="77777777" w:rsidTr="00B97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C0345" w14:textId="77777777" w:rsidR="00B97561" w:rsidRPr="00B97561" w:rsidRDefault="00B97561">
            <w:pPr>
              <w:jc w:val="center"/>
              <w:rPr>
                <w:b w:val="0"/>
                <w:bCs w:val="0"/>
                <w:sz w:val="20"/>
                <w:szCs w:val="20"/>
                <w:lang w:val="en-US"/>
              </w:rPr>
            </w:pPr>
            <w:r w:rsidRPr="00B97561">
              <w:rPr>
                <w:rStyle w:val="Textoennegrita"/>
                <w:rFonts w:eastAsiaTheme="majorEastAsia"/>
                <w:b/>
                <w:bCs/>
                <w:sz w:val="20"/>
                <w:szCs w:val="20"/>
                <w:lang w:val="en-US"/>
              </w:rPr>
              <w:t>Asset</w:t>
            </w:r>
          </w:p>
        </w:tc>
        <w:tc>
          <w:tcPr>
            <w:tcW w:w="1200" w:type="dxa"/>
            <w:gridSpan w:val="2"/>
            <w:hideMark/>
          </w:tcPr>
          <w:p w14:paraId="34D64DC0" w14:textId="77777777" w:rsidR="00B97561" w:rsidRPr="00B97561" w:rsidRDefault="00B97561" w:rsidP="00B97561">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B97561">
              <w:rPr>
                <w:rStyle w:val="Textoennegrita"/>
                <w:rFonts w:eastAsiaTheme="majorEastAsia"/>
                <w:b/>
                <w:bCs/>
                <w:sz w:val="20"/>
                <w:szCs w:val="20"/>
                <w:lang w:val="en-US"/>
              </w:rPr>
              <w:t>H (returns)</w:t>
            </w:r>
          </w:p>
        </w:tc>
        <w:tc>
          <w:tcPr>
            <w:tcW w:w="1321" w:type="dxa"/>
            <w:gridSpan w:val="2"/>
            <w:hideMark/>
          </w:tcPr>
          <w:p w14:paraId="1C7196DE" w14:textId="77777777" w:rsidR="00B97561" w:rsidRPr="00B97561" w:rsidRDefault="00B97561" w:rsidP="00B97561">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B97561">
              <w:rPr>
                <w:rStyle w:val="Textoennegrita"/>
                <w:rFonts w:eastAsiaTheme="majorEastAsia"/>
                <w:b/>
                <w:bCs/>
                <w:sz w:val="20"/>
                <w:szCs w:val="20"/>
                <w:lang w:val="en-US"/>
              </w:rPr>
              <w:t>H (variance)</w:t>
            </w:r>
          </w:p>
        </w:tc>
        <w:tc>
          <w:tcPr>
            <w:tcW w:w="1417" w:type="dxa"/>
            <w:gridSpan w:val="2"/>
            <w:hideMark/>
          </w:tcPr>
          <w:p w14:paraId="4CB58D80" w14:textId="0A444B94" w:rsidR="00B97561" w:rsidRPr="00B97561" w:rsidRDefault="00B97561" w:rsidP="00B97561">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B97561">
              <w:rPr>
                <w:rStyle w:val="Textoennegrita"/>
                <w:rFonts w:eastAsiaTheme="majorEastAsia"/>
                <w:b/>
                <w:bCs/>
                <w:sz w:val="20"/>
                <w:szCs w:val="20"/>
                <w:lang w:val="en-US"/>
              </w:rPr>
              <w:t>Δh(q) (var)</w:t>
            </w:r>
          </w:p>
        </w:tc>
        <w:tc>
          <w:tcPr>
            <w:tcW w:w="3923" w:type="dxa"/>
            <w:gridSpan w:val="2"/>
            <w:hideMark/>
          </w:tcPr>
          <w:p w14:paraId="6C0252F2" w14:textId="77777777" w:rsidR="00B97561" w:rsidRPr="00B97561" w:rsidRDefault="00B97561">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B97561">
              <w:rPr>
                <w:rStyle w:val="Textoennegrita"/>
                <w:rFonts w:eastAsiaTheme="majorEastAsia"/>
                <w:b/>
                <w:bCs/>
                <w:sz w:val="20"/>
                <w:szCs w:val="20"/>
                <w:lang w:val="en-US"/>
              </w:rPr>
              <w:t>Persistence diagnosis</w:t>
            </w:r>
          </w:p>
        </w:tc>
      </w:tr>
      <w:tr w:rsidR="00B97561" w:rsidRPr="00B97561" w14:paraId="32936274" w14:textId="77777777" w:rsidTr="00B97561">
        <w:trPr>
          <w:gridAfter w:val="1"/>
          <w:cnfStyle w:val="000000100000" w:firstRow="0" w:lastRow="0" w:firstColumn="0" w:lastColumn="0" w:oddVBand="0" w:evenVBand="0" w:oddHBand="1" w:evenHBand="0" w:firstRowFirstColumn="0" w:firstRowLastColumn="0" w:lastRowFirstColumn="0" w:lastRowLastColumn="0"/>
          <w:wAfter w:w="124" w:type="dxa"/>
        </w:trPr>
        <w:tc>
          <w:tcPr>
            <w:cnfStyle w:val="001000000000" w:firstRow="0" w:lastRow="0" w:firstColumn="1" w:lastColumn="0" w:oddVBand="0" w:evenVBand="0" w:oddHBand="0" w:evenHBand="0" w:firstRowFirstColumn="0" w:firstRowLastColumn="0" w:lastRowFirstColumn="0" w:lastRowLastColumn="0"/>
            <w:tcW w:w="0" w:type="auto"/>
            <w:hideMark/>
          </w:tcPr>
          <w:p w14:paraId="7B63498F" w14:textId="77777777" w:rsidR="00B97561" w:rsidRPr="00B97561" w:rsidRDefault="00B97561">
            <w:pPr>
              <w:rPr>
                <w:b w:val="0"/>
                <w:bCs w:val="0"/>
                <w:sz w:val="20"/>
                <w:szCs w:val="20"/>
                <w:lang w:val="en-US"/>
              </w:rPr>
            </w:pPr>
            <w:r w:rsidRPr="00B97561">
              <w:rPr>
                <w:rStyle w:val="Textoennegrita"/>
                <w:rFonts w:eastAsiaTheme="majorEastAsia"/>
                <w:b/>
                <w:bCs/>
                <w:sz w:val="20"/>
                <w:szCs w:val="20"/>
                <w:lang w:val="en-US"/>
              </w:rPr>
              <w:t>S&amp;P 500</w:t>
            </w:r>
          </w:p>
        </w:tc>
        <w:tc>
          <w:tcPr>
            <w:tcW w:w="1077" w:type="dxa"/>
            <w:hideMark/>
          </w:tcPr>
          <w:p w14:paraId="2B09F9D2" w14:textId="77777777" w:rsidR="00B97561" w:rsidRPr="00B97561" w:rsidRDefault="00B97561" w:rsidP="00B97561">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B97561">
              <w:rPr>
                <w:sz w:val="20"/>
                <w:szCs w:val="20"/>
                <w:lang w:val="en-US"/>
              </w:rPr>
              <w:t>0.47</w:t>
            </w:r>
          </w:p>
        </w:tc>
        <w:tc>
          <w:tcPr>
            <w:tcW w:w="1104" w:type="dxa"/>
            <w:gridSpan w:val="2"/>
            <w:hideMark/>
          </w:tcPr>
          <w:p w14:paraId="38C1C555" w14:textId="77777777" w:rsidR="00B97561" w:rsidRPr="00B97561" w:rsidRDefault="00B97561" w:rsidP="00B97561">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B97561">
              <w:rPr>
                <w:sz w:val="20"/>
                <w:szCs w:val="20"/>
                <w:lang w:val="en-US"/>
              </w:rPr>
              <w:t>0.94</w:t>
            </w:r>
          </w:p>
        </w:tc>
        <w:tc>
          <w:tcPr>
            <w:tcW w:w="1463" w:type="dxa"/>
            <w:gridSpan w:val="2"/>
            <w:hideMark/>
          </w:tcPr>
          <w:p w14:paraId="7CBC11C3" w14:textId="77777777" w:rsidR="00B97561" w:rsidRPr="00B97561" w:rsidRDefault="00B97561" w:rsidP="00B97561">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B97561">
              <w:rPr>
                <w:rStyle w:val="Textoennegrita"/>
                <w:rFonts w:eastAsiaTheme="majorEastAsia"/>
                <w:sz w:val="20"/>
                <w:szCs w:val="20"/>
                <w:lang w:val="en-US"/>
              </w:rPr>
              <w:t>0.34</w:t>
            </w:r>
          </w:p>
        </w:tc>
        <w:tc>
          <w:tcPr>
            <w:tcW w:w="4093" w:type="dxa"/>
            <w:gridSpan w:val="2"/>
            <w:hideMark/>
          </w:tcPr>
          <w:p w14:paraId="56025568" w14:textId="77777777" w:rsidR="00B97561" w:rsidRPr="00B97561" w:rsidRDefault="00B97561" w:rsidP="00B97561">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B97561">
              <w:rPr>
                <w:sz w:val="20"/>
                <w:szCs w:val="20"/>
                <w:lang w:val="en-US"/>
              </w:rPr>
              <w:t>Moderate long memory in variance</w:t>
            </w:r>
          </w:p>
        </w:tc>
      </w:tr>
      <w:tr w:rsidR="00B97561" w:rsidRPr="00B97561" w14:paraId="519CBC88" w14:textId="77777777" w:rsidTr="00B97561">
        <w:trPr>
          <w:gridAfter w:val="1"/>
          <w:wAfter w:w="124" w:type="dxa"/>
        </w:trPr>
        <w:tc>
          <w:tcPr>
            <w:cnfStyle w:val="001000000000" w:firstRow="0" w:lastRow="0" w:firstColumn="1" w:lastColumn="0" w:oddVBand="0" w:evenVBand="0" w:oddHBand="0" w:evenHBand="0" w:firstRowFirstColumn="0" w:firstRowLastColumn="0" w:lastRowFirstColumn="0" w:lastRowLastColumn="0"/>
            <w:tcW w:w="0" w:type="auto"/>
            <w:hideMark/>
          </w:tcPr>
          <w:p w14:paraId="5B34D6A7" w14:textId="77777777" w:rsidR="00B97561" w:rsidRPr="00B97561" w:rsidRDefault="00B97561">
            <w:pPr>
              <w:rPr>
                <w:b w:val="0"/>
                <w:bCs w:val="0"/>
                <w:sz w:val="20"/>
                <w:szCs w:val="20"/>
                <w:lang w:val="en-US"/>
              </w:rPr>
            </w:pPr>
            <w:r w:rsidRPr="00B97561">
              <w:rPr>
                <w:rStyle w:val="Textoennegrita"/>
                <w:rFonts w:eastAsiaTheme="majorEastAsia"/>
                <w:b/>
                <w:bCs/>
                <w:sz w:val="20"/>
                <w:szCs w:val="20"/>
                <w:lang w:val="en-US"/>
              </w:rPr>
              <w:t>IBEX 35</w:t>
            </w:r>
          </w:p>
        </w:tc>
        <w:tc>
          <w:tcPr>
            <w:tcW w:w="1077" w:type="dxa"/>
            <w:hideMark/>
          </w:tcPr>
          <w:p w14:paraId="151BAEB2" w14:textId="77777777" w:rsidR="00B97561" w:rsidRPr="00B97561" w:rsidRDefault="00B97561" w:rsidP="00B97561">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B97561">
              <w:rPr>
                <w:sz w:val="20"/>
                <w:szCs w:val="20"/>
                <w:lang w:val="en-US"/>
              </w:rPr>
              <w:t>0.50</w:t>
            </w:r>
          </w:p>
        </w:tc>
        <w:tc>
          <w:tcPr>
            <w:tcW w:w="1104" w:type="dxa"/>
            <w:gridSpan w:val="2"/>
            <w:hideMark/>
          </w:tcPr>
          <w:p w14:paraId="620996F6" w14:textId="77777777" w:rsidR="00B97561" w:rsidRPr="00B97561" w:rsidRDefault="00B97561" w:rsidP="00B97561">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B97561">
              <w:rPr>
                <w:sz w:val="20"/>
                <w:szCs w:val="20"/>
                <w:lang w:val="en-US"/>
              </w:rPr>
              <w:t>0.84</w:t>
            </w:r>
          </w:p>
        </w:tc>
        <w:tc>
          <w:tcPr>
            <w:tcW w:w="1463" w:type="dxa"/>
            <w:gridSpan w:val="2"/>
            <w:hideMark/>
          </w:tcPr>
          <w:p w14:paraId="24F15354" w14:textId="77777777" w:rsidR="00B97561" w:rsidRPr="00B97561" w:rsidRDefault="00B97561" w:rsidP="00B97561">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B97561">
              <w:rPr>
                <w:rStyle w:val="Textoennegrita"/>
                <w:rFonts w:eastAsiaTheme="majorEastAsia"/>
                <w:sz w:val="20"/>
                <w:szCs w:val="20"/>
                <w:lang w:val="en-US"/>
              </w:rPr>
              <w:t>0.36</w:t>
            </w:r>
          </w:p>
        </w:tc>
        <w:tc>
          <w:tcPr>
            <w:tcW w:w="4093" w:type="dxa"/>
            <w:gridSpan w:val="2"/>
            <w:hideMark/>
          </w:tcPr>
          <w:p w14:paraId="59168FEF" w14:textId="77777777" w:rsidR="00B97561" w:rsidRPr="00B97561" w:rsidRDefault="00B97561" w:rsidP="00B97561">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B97561">
              <w:rPr>
                <w:sz w:val="20"/>
                <w:szCs w:val="20"/>
                <w:lang w:val="en-US"/>
              </w:rPr>
              <w:t>Moderate, stable long memory in variance</w:t>
            </w:r>
          </w:p>
        </w:tc>
      </w:tr>
      <w:tr w:rsidR="00B97561" w:rsidRPr="00B97561" w14:paraId="5AEFCD7B" w14:textId="77777777" w:rsidTr="00B97561">
        <w:trPr>
          <w:gridAfter w:val="1"/>
          <w:cnfStyle w:val="000000100000" w:firstRow="0" w:lastRow="0" w:firstColumn="0" w:lastColumn="0" w:oddVBand="0" w:evenVBand="0" w:oddHBand="1" w:evenHBand="0" w:firstRowFirstColumn="0" w:firstRowLastColumn="0" w:lastRowFirstColumn="0" w:lastRowLastColumn="0"/>
          <w:wAfter w:w="124" w:type="dxa"/>
        </w:trPr>
        <w:tc>
          <w:tcPr>
            <w:cnfStyle w:val="001000000000" w:firstRow="0" w:lastRow="0" w:firstColumn="1" w:lastColumn="0" w:oddVBand="0" w:evenVBand="0" w:oddHBand="0" w:evenHBand="0" w:firstRowFirstColumn="0" w:firstRowLastColumn="0" w:lastRowFirstColumn="0" w:lastRowLastColumn="0"/>
            <w:tcW w:w="0" w:type="auto"/>
            <w:hideMark/>
          </w:tcPr>
          <w:p w14:paraId="04F99F27" w14:textId="77777777" w:rsidR="00B97561" w:rsidRPr="00B97561" w:rsidRDefault="00B97561">
            <w:pPr>
              <w:rPr>
                <w:b w:val="0"/>
                <w:bCs w:val="0"/>
                <w:sz w:val="20"/>
                <w:szCs w:val="20"/>
                <w:lang w:val="en-US"/>
              </w:rPr>
            </w:pPr>
            <w:r w:rsidRPr="00B97561">
              <w:rPr>
                <w:rStyle w:val="Textoennegrita"/>
                <w:rFonts w:eastAsiaTheme="majorEastAsia"/>
                <w:b/>
                <w:bCs/>
                <w:sz w:val="20"/>
                <w:szCs w:val="20"/>
                <w:lang w:val="en-US"/>
              </w:rPr>
              <w:t>Bitcoin</w:t>
            </w:r>
          </w:p>
        </w:tc>
        <w:tc>
          <w:tcPr>
            <w:tcW w:w="1077" w:type="dxa"/>
            <w:hideMark/>
          </w:tcPr>
          <w:p w14:paraId="775B444D" w14:textId="77777777" w:rsidR="00B97561" w:rsidRPr="00B97561" w:rsidRDefault="00B97561" w:rsidP="00B97561">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B97561">
              <w:rPr>
                <w:sz w:val="20"/>
                <w:szCs w:val="20"/>
                <w:lang w:val="en-US"/>
              </w:rPr>
              <w:t>0.54</w:t>
            </w:r>
          </w:p>
        </w:tc>
        <w:tc>
          <w:tcPr>
            <w:tcW w:w="1104" w:type="dxa"/>
            <w:gridSpan w:val="2"/>
            <w:hideMark/>
          </w:tcPr>
          <w:p w14:paraId="03583377" w14:textId="77777777" w:rsidR="00B97561" w:rsidRPr="00B97561" w:rsidRDefault="00B97561" w:rsidP="00B97561">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B97561">
              <w:rPr>
                <w:sz w:val="20"/>
                <w:szCs w:val="20"/>
                <w:lang w:val="en-US"/>
              </w:rPr>
              <w:t>1.38</w:t>
            </w:r>
          </w:p>
        </w:tc>
        <w:tc>
          <w:tcPr>
            <w:tcW w:w="1463" w:type="dxa"/>
            <w:gridSpan w:val="2"/>
            <w:hideMark/>
          </w:tcPr>
          <w:p w14:paraId="69BB0883" w14:textId="77777777" w:rsidR="00B97561" w:rsidRPr="00B97561" w:rsidRDefault="00B97561" w:rsidP="00B97561">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B97561">
              <w:rPr>
                <w:rStyle w:val="Textoennegrita"/>
                <w:rFonts w:eastAsiaTheme="majorEastAsia"/>
                <w:sz w:val="20"/>
                <w:szCs w:val="20"/>
                <w:lang w:val="en-US"/>
              </w:rPr>
              <w:t>0.95</w:t>
            </w:r>
          </w:p>
        </w:tc>
        <w:tc>
          <w:tcPr>
            <w:tcW w:w="4093" w:type="dxa"/>
            <w:gridSpan w:val="2"/>
            <w:hideMark/>
          </w:tcPr>
          <w:p w14:paraId="474270D7" w14:textId="29C2B0D3" w:rsidR="00B97561" w:rsidRPr="00B97561" w:rsidRDefault="00B97561" w:rsidP="00B97561">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B97561">
              <w:rPr>
                <w:sz w:val="20"/>
                <w:szCs w:val="20"/>
                <w:lang w:val="en-US"/>
              </w:rPr>
              <w:t>V</w:t>
            </w:r>
            <w:r w:rsidRPr="00B97561">
              <w:rPr>
                <w:lang w:val="en-US"/>
              </w:rPr>
              <w:t>ery</w:t>
            </w:r>
            <w:r w:rsidRPr="00B97561">
              <w:rPr>
                <w:sz w:val="20"/>
                <w:szCs w:val="20"/>
                <w:lang w:val="en-US"/>
              </w:rPr>
              <w:t xml:space="preserve"> strong multifractality and long memory</w:t>
            </w:r>
          </w:p>
        </w:tc>
      </w:tr>
      <w:tr w:rsidR="00B97561" w:rsidRPr="00B97561" w14:paraId="0379A8F7" w14:textId="77777777" w:rsidTr="00B97561">
        <w:trPr>
          <w:gridAfter w:val="1"/>
          <w:wAfter w:w="124" w:type="dxa"/>
        </w:trPr>
        <w:tc>
          <w:tcPr>
            <w:cnfStyle w:val="001000000000" w:firstRow="0" w:lastRow="0" w:firstColumn="1" w:lastColumn="0" w:oddVBand="0" w:evenVBand="0" w:oddHBand="0" w:evenHBand="0" w:firstRowFirstColumn="0" w:firstRowLastColumn="0" w:lastRowFirstColumn="0" w:lastRowLastColumn="0"/>
            <w:tcW w:w="0" w:type="auto"/>
            <w:hideMark/>
          </w:tcPr>
          <w:p w14:paraId="3CAADEAC" w14:textId="77777777" w:rsidR="00B97561" w:rsidRPr="00B97561" w:rsidRDefault="00B97561">
            <w:pPr>
              <w:rPr>
                <w:b w:val="0"/>
                <w:bCs w:val="0"/>
                <w:sz w:val="20"/>
                <w:szCs w:val="20"/>
                <w:lang w:val="en-US"/>
              </w:rPr>
            </w:pPr>
            <w:r w:rsidRPr="00B97561">
              <w:rPr>
                <w:rStyle w:val="Textoennegrita"/>
                <w:rFonts w:eastAsiaTheme="majorEastAsia"/>
                <w:b/>
                <w:bCs/>
                <w:sz w:val="20"/>
                <w:szCs w:val="20"/>
                <w:lang w:val="en-US"/>
              </w:rPr>
              <w:t>Tesla</w:t>
            </w:r>
          </w:p>
        </w:tc>
        <w:tc>
          <w:tcPr>
            <w:tcW w:w="1077" w:type="dxa"/>
            <w:hideMark/>
          </w:tcPr>
          <w:p w14:paraId="022D310C" w14:textId="77777777" w:rsidR="00B97561" w:rsidRPr="00B97561" w:rsidRDefault="00B97561" w:rsidP="00B97561">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B97561">
              <w:rPr>
                <w:sz w:val="20"/>
                <w:szCs w:val="20"/>
                <w:lang w:val="en-US"/>
              </w:rPr>
              <w:t>0.54</w:t>
            </w:r>
          </w:p>
        </w:tc>
        <w:tc>
          <w:tcPr>
            <w:tcW w:w="1104" w:type="dxa"/>
            <w:gridSpan w:val="2"/>
            <w:hideMark/>
          </w:tcPr>
          <w:p w14:paraId="1ABF548E" w14:textId="77777777" w:rsidR="00B97561" w:rsidRPr="00B97561" w:rsidRDefault="00B97561" w:rsidP="00B97561">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B97561">
              <w:rPr>
                <w:sz w:val="20"/>
                <w:szCs w:val="20"/>
                <w:lang w:val="en-US"/>
              </w:rPr>
              <w:t>1.03</w:t>
            </w:r>
          </w:p>
        </w:tc>
        <w:tc>
          <w:tcPr>
            <w:tcW w:w="1463" w:type="dxa"/>
            <w:gridSpan w:val="2"/>
            <w:hideMark/>
          </w:tcPr>
          <w:p w14:paraId="391B9219" w14:textId="77777777" w:rsidR="00B97561" w:rsidRPr="00B97561" w:rsidRDefault="00B97561" w:rsidP="00B97561">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B97561">
              <w:rPr>
                <w:rStyle w:val="Textoennegrita"/>
                <w:rFonts w:eastAsiaTheme="majorEastAsia"/>
                <w:sz w:val="20"/>
                <w:szCs w:val="20"/>
                <w:lang w:val="en-US"/>
              </w:rPr>
              <w:t>0.42</w:t>
            </w:r>
          </w:p>
        </w:tc>
        <w:tc>
          <w:tcPr>
            <w:tcW w:w="4093" w:type="dxa"/>
            <w:gridSpan w:val="2"/>
            <w:hideMark/>
          </w:tcPr>
          <w:p w14:paraId="71C090A3" w14:textId="482E91F9" w:rsidR="00B97561" w:rsidRPr="00B97561" w:rsidRDefault="00B97561" w:rsidP="00B97561">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B97561">
              <w:rPr>
                <w:sz w:val="20"/>
                <w:szCs w:val="20"/>
                <w:lang w:val="en-US"/>
              </w:rPr>
              <w:t>Heterogeneous regime-dependent persistence</w:t>
            </w:r>
          </w:p>
        </w:tc>
      </w:tr>
      <w:tr w:rsidR="00B97561" w:rsidRPr="00B97561" w14:paraId="6F7E737C" w14:textId="77777777" w:rsidTr="00B97561">
        <w:trPr>
          <w:gridAfter w:val="1"/>
          <w:cnfStyle w:val="000000100000" w:firstRow="0" w:lastRow="0" w:firstColumn="0" w:lastColumn="0" w:oddVBand="0" w:evenVBand="0" w:oddHBand="1" w:evenHBand="0" w:firstRowFirstColumn="0" w:firstRowLastColumn="0" w:lastRowFirstColumn="0" w:lastRowLastColumn="0"/>
          <w:wAfter w:w="124" w:type="dxa"/>
        </w:trPr>
        <w:tc>
          <w:tcPr>
            <w:cnfStyle w:val="001000000000" w:firstRow="0" w:lastRow="0" w:firstColumn="1" w:lastColumn="0" w:oddVBand="0" w:evenVBand="0" w:oddHBand="0" w:evenHBand="0" w:firstRowFirstColumn="0" w:firstRowLastColumn="0" w:lastRowFirstColumn="0" w:lastRowLastColumn="0"/>
            <w:tcW w:w="0" w:type="auto"/>
            <w:hideMark/>
          </w:tcPr>
          <w:p w14:paraId="6D53C6FF" w14:textId="77777777" w:rsidR="00B97561" w:rsidRPr="00B97561" w:rsidRDefault="00B97561">
            <w:pPr>
              <w:rPr>
                <w:b w:val="0"/>
                <w:bCs w:val="0"/>
                <w:sz w:val="20"/>
                <w:szCs w:val="20"/>
                <w:lang w:val="en-US"/>
              </w:rPr>
            </w:pPr>
            <w:r w:rsidRPr="00B97561">
              <w:rPr>
                <w:rStyle w:val="Textoennegrita"/>
                <w:rFonts w:eastAsiaTheme="majorEastAsia"/>
                <w:b/>
                <w:bCs/>
                <w:sz w:val="20"/>
                <w:szCs w:val="20"/>
                <w:lang w:val="en-US"/>
              </w:rPr>
              <w:t>BOVESPA</w:t>
            </w:r>
          </w:p>
        </w:tc>
        <w:tc>
          <w:tcPr>
            <w:tcW w:w="1077" w:type="dxa"/>
            <w:hideMark/>
          </w:tcPr>
          <w:p w14:paraId="4206187A" w14:textId="77777777" w:rsidR="00B97561" w:rsidRPr="00B97561" w:rsidRDefault="00B97561" w:rsidP="00B97561">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B97561">
              <w:rPr>
                <w:sz w:val="20"/>
                <w:szCs w:val="20"/>
                <w:lang w:val="en-US"/>
              </w:rPr>
              <w:t>0.51</w:t>
            </w:r>
          </w:p>
        </w:tc>
        <w:tc>
          <w:tcPr>
            <w:tcW w:w="1104" w:type="dxa"/>
            <w:gridSpan w:val="2"/>
            <w:hideMark/>
          </w:tcPr>
          <w:p w14:paraId="7EE5D343" w14:textId="77777777" w:rsidR="00B97561" w:rsidRPr="00B97561" w:rsidRDefault="00B97561" w:rsidP="00B97561">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B97561">
              <w:rPr>
                <w:sz w:val="20"/>
                <w:szCs w:val="20"/>
                <w:lang w:val="en-US"/>
              </w:rPr>
              <w:t>1.07</w:t>
            </w:r>
          </w:p>
        </w:tc>
        <w:tc>
          <w:tcPr>
            <w:tcW w:w="1463" w:type="dxa"/>
            <w:gridSpan w:val="2"/>
            <w:hideMark/>
          </w:tcPr>
          <w:p w14:paraId="51E6B477" w14:textId="77777777" w:rsidR="00B97561" w:rsidRPr="00B97561" w:rsidRDefault="00B97561" w:rsidP="00B97561">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B97561">
              <w:rPr>
                <w:rStyle w:val="Textoennegrita"/>
                <w:rFonts w:eastAsiaTheme="majorEastAsia"/>
                <w:sz w:val="20"/>
                <w:szCs w:val="20"/>
                <w:lang w:val="en-US"/>
              </w:rPr>
              <w:t>0.40</w:t>
            </w:r>
          </w:p>
        </w:tc>
        <w:tc>
          <w:tcPr>
            <w:tcW w:w="4093" w:type="dxa"/>
            <w:gridSpan w:val="2"/>
            <w:hideMark/>
          </w:tcPr>
          <w:p w14:paraId="1AA60E47" w14:textId="77777777" w:rsidR="00B97561" w:rsidRPr="00B97561" w:rsidRDefault="00B97561" w:rsidP="00B97561">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B97561">
              <w:rPr>
                <w:sz w:val="20"/>
                <w:szCs w:val="20"/>
                <w:lang w:val="en-US"/>
              </w:rPr>
              <w:t>Strong and stable long memory</w:t>
            </w:r>
          </w:p>
        </w:tc>
      </w:tr>
    </w:tbl>
    <w:p w14:paraId="61215701" w14:textId="3CEA9086" w:rsidR="00B97561" w:rsidRPr="00B97561" w:rsidRDefault="00B97561" w:rsidP="00B97561">
      <w:pPr>
        <w:pStyle w:val="NormalWeb"/>
        <w:spacing w:before="0" w:beforeAutospacing="0"/>
        <w:jc w:val="center"/>
        <w:rPr>
          <w:sz w:val="20"/>
          <w:szCs w:val="20"/>
          <w:lang w:val="en-US"/>
        </w:rPr>
      </w:pPr>
      <w:r w:rsidRPr="00B97561">
        <w:rPr>
          <w:rStyle w:val="Textoennegrita"/>
          <w:rFonts w:eastAsiaTheme="majorEastAsia"/>
          <w:sz w:val="20"/>
          <w:szCs w:val="20"/>
          <w:lang w:val="en-US"/>
        </w:rPr>
        <w:t>Note:</w:t>
      </w:r>
      <w:r>
        <w:rPr>
          <w:rStyle w:val="Textoennegrita"/>
          <w:rFonts w:eastAsiaTheme="majorEastAsia"/>
          <w:sz w:val="20"/>
          <w:szCs w:val="20"/>
          <w:lang w:val="en-US"/>
        </w:rPr>
        <w:t xml:space="preserve"> </w:t>
      </w:r>
      <w:r w:rsidRPr="00B97561">
        <w:rPr>
          <w:sz w:val="20"/>
          <w:szCs w:val="20"/>
          <w:lang w:val="en-US"/>
        </w:rPr>
        <w:t>Hurst exponents and MF-DFA widths are computed via MF-DFA using 2015–2023 daily returns.</w:t>
      </w:r>
      <w:r w:rsidRPr="00B97561">
        <w:rPr>
          <w:sz w:val="20"/>
          <w:szCs w:val="20"/>
          <w:lang w:val="en-US"/>
        </w:rPr>
        <w:br/>
        <w:t>Persistence is substantially stronger in volatility (squared returns) than in returns, particularly for Bitcoin.</w:t>
      </w:r>
    </w:p>
    <w:p w14:paraId="74B823D0" w14:textId="77777777" w:rsidR="006F7C4A" w:rsidRDefault="006F7C4A" w:rsidP="00B97561">
      <w:pPr>
        <w:jc w:val="center"/>
        <w:rPr>
          <w:sz w:val="28"/>
          <w:szCs w:val="28"/>
          <w:lang w:val="en-US"/>
        </w:rPr>
      </w:pPr>
      <w:r>
        <w:rPr>
          <w:sz w:val="28"/>
          <w:szCs w:val="28"/>
          <w:lang w:val="en-US"/>
        </w:rPr>
        <w:br w:type="page"/>
      </w:r>
    </w:p>
    <w:p w14:paraId="5B3EECE1" w14:textId="1186A016" w:rsidR="0032507D" w:rsidRPr="006F7C4A" w:rsidRDefault="0032507D" w:rsidP="006F7C4A">
      <w:pPr>
        <w:rPr>
          <w:color w:val="074F6A" w:themeColor="accent4" w:themeShade="80"/>
          <w:sz w:val="28"/>
          <w:szCs w:val="28"/>
          <w:lang w:val="en-US"/>
        </w:rPr>
      </w:pPr>
      <w:r w:rsidRPr="006F7C4A">
        <w:rPr>
          <w:color w:val="074F6A" w:themeColor="accent4" w:themeShade="80"/>
          <w:sz w:val="28"/>
          <w:szCs w:val="28"/>
          <w:lang w:val="en-US"/>
        </w:rPr>
        <w:lastRenderedPageBreak/>
        <w:t xml:space="preserve">Table 2. Comparative performance of </w:t>
      </w:r>
      <w:proofErr w:type="gramStart"/>
      <w:r w:rsidRPr="006F7C4A">
        <w:rPr>
          <w:color w:val="074F6A" w:themeColor="accent4" w:themeShade="80"/>
          <w:sz w:val="28"/>
          <w:szCs w:val="28"/>
          <w:lang w:val="en-US"/>
        </w:rPr>
        <w:t>GARCH(</w:t>
      </w:r>
      <w:proofErr w:type="gramEnd"/>
      <w:r w:rsidRPr="006F7C4A">
        <w:rPr>
          <w:color w:val="074F6A" w:themeColor="accent4" w:themeShade="80"/>
          <w:sz w:val="28"/>
          <w:szCs w:val="28"/>
          <w:lang w:val="en-US"/>
        </w:rPr>
        <w:t xml:space="preserve">1,1) and </w:t>
      </w:r>
      <w:proofErr w:type="gramStart"/>
      <w:r w:rsidRPr="006F7C4A">
        <w:rPr>
          <w:color w:val="074F6A" w:themeColor="accent4" w:themeShade="80"/>
          <w:sz w:val="28"/>
          <w:szCs w:val="28"/>
          <w:lang w:val="en-US"/>
        </w:rPr>
        <w:t>FIGARCH(</w:t>
      </w:r>
      <w:proofErr w:type="gramEnd"/>
      <w:r w:rsidRPr="006F7C4A">
        <w:rPr>
          <w:color w:val="074F6A" w:themeColor="accent4" w:themeShade="80"/>
          <w:sz w:val="28"/>
          <w:szCs w:val="28"/>
          <w:lang w:val="en-US"/>
        </w:rPr>
        <w:t>1, d, 1)</w:t>
      </w:r>
    </w:p>
    <w:p w14:paraId="49886B3B" w14:textId="77777777" w:rsidR="006F7C4A" w:rsidRPr="006F7C4A" w:rsidRDefault="006F7C4A" w:rsidP="006F7C4A">
      <w:pPr>
        <w:rPr>
          <w:noProof/>
          <w:lang w:val="en-US"/>
        </w:rPr>
      </w:pPr>
    </w:p>
    <w:tbl>
      <w:tblPr>
        <w:tblStyle w:val="Tabladelista6concolores"/>
        <w:tblW w:w="10065" w:type="dxa"/>
        <w:jc w:val="center"/>
        <w:tblLayout w:type="fixed"/>
        <w:tblLook w:val="04A0" w:firstRow="1" w:lastRow="0" w:firstColumn="1" w:lastColumn="0" w:noHBand="0" w:noVBand="1"/>
      </w:tblPr>
      <w:tblGrid>
        <w:gridCol w:w="1276"/>
        <w:gridCol w:w="1134"/>
        <w:gridCol w:w="709"/>
        <w:gridCol w:w="709"/>
        <w:gridCol w:w="850"/>
        <w:gridCol w:w="675"/>
        <w:gridCol w:w="709"/>
        <w:gridCol w:w="246"/>
        <w:gridCol w:w="463"/>
        <w:gridCol w:w="175"/>
        <w:gridCol w:w="959"/>
        <w:gridCol w:w="2160"/>
      </w:tblGrid>
      <w:tr w:rsidR="0032507D" w:rsidRPr="0032507D" w14:paraId="0C478F7A" w14:textId="77777777" w:rsidTr="003250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6" w:type="dxa"/>
          </w:tcPr>
          <w:p w14:paraId="18125539" w14:textId="77777777" w:rsidR="0032507D" w:rsidRPr="0032507D" w:rsidRDefault="0032507D" w:rsidP="00C13584">
            <w:pPr>
              <w:jc w:val="center"/>
              <w:rPr>
                <w:sz w:val="20"/>
                <w:lang w:val="en-US"/>
              </w:rPr>
            </w:pPr>
            <w:r w:rsidRPr="0032507D">
              <w:rPr>
                <w:sz w:val="20"/>
                <w:lang w:val="en-US"/>
              </w:rPr>
              <w:t>Asset</w:t>
            </w:r>
          </w:p>
        </w:tc>
        <w:tc>
          <w:tcPr>
            <w:tcW w:w="1134" w:type="dxa"/>
          </w:tcPr>
          <w:p w14:paraId="125C2B40" w14:textId="77777777" w:rsidR="0032507D" w:rsidRPr="0032507D" w:rsidRDefault="0032507D" w:rsidP="00C13584">
            <w:pPr>
              <w:jc w:val="center"/>
              <w:cnfStyle w:val="100000000000" w:firstRow="1" w:lastRow="0" w:firstColumn="0" w:lastColumn="0" w:oddVBand="0" w:evenVBand="0" w:oddHBand="0" w:evenHBand="0" w:firstRowFirstColumn="0" w:firstRowLastColumn="0" w:lastRowFirstColumn="0" w:lastRowLastColumn="0"/>
              <w:rPr>
                <w:sz w:val="20"/>
                <w:lang w:val="en-US"/>
              </w:rPr>
            </w:pPr>
            <w:r w:rsidRPr="0032507D">
              <w:rPr>
                <w:sz w:val="20"/>
                <w:lang w:val="en-US"/>
              </w:rPr>
              <w:t>Model</w:t>
            </w:r>
          </w:p>
        </w:tc>
        <w:tc>
          <w:tcPr>
            <w:tcW w:w="709" w:type="dxa"/>
          </w:tcPr>
          <w:p w14:paraId="74F3EAEC" w14:textId="77777777" w:rsidR="0032507D" w:rsidRPr="0032507D" w:rsidRDefault="0032507D" w:rsidP="00C13584">
            <w:pPr>
              <w:jc w:val="center"/>
              <w:cnfStyle w:val="100000000000" w:firstRow="1" w:lastRow="0" w:firstColumn="0" w:lastColumn="0" w:oddVBand="0" w:evenVBand="0" w:oddHBand="0" w:evenHBand="0" w:firstRowFirstColumn="0" w:firstRowLastColumn="0" w:lastRowFirstColumn="0" w:lastRowLastColumn="0"/>
              <w:rPr>
                <w:sz w:val="20"/>
                <w:lang w:val="en-US"/>
              </w:rPr>
            </w:pPr>
            <w:r w:rsidRPr="0032507D">
              <w:rPr>
                <w:sz w:val="20"/>
                <w:lang w:val="en-US"/>
              </w:rPr>
              <w:t>AIC</w:t>
            </w:r>
          </w:p>
        </w:tc>
        <w:tc>
          <w:tcPr>
            <w:tcW w:w="709" w:type="dxa"/>
          </w:tcPr>
          <w:p w14:paraId="4C88542C" w14:textId="77777777" w:rsidR="0032507D" w:rsidRPr="0032507D" w:rsidRDefault="0032507D" w:rsidP="00C13584">
            <w:pPr>
              <w:jc w:val="center"/>
              <w:cnfStyle w:val="100000000000" w:firstRow="1" w:lastRow="0" w:firstColumn="0" w:lastColumn="0" w:oddVBand="0" w:evenVBand="0" w:oddHBand="0" w:evenHBand="0" w:firstRowFirstColumn="0" w:firstRowLastColumn="0" w:lastRowFirstColumn="0" w:lastRowLastColumn="0"/>
              <w:rPr>
                <w:sz w:val="20"/>
                <w:lang w:val="en-US"/>
              </w:rPr>
            </w:pPr>
            <w:r w:rsidRPr="0032507D">
              <w:rPr>
                <w:sz w:val="20"/>
                <w:lang w:val="en-US"/>
              </w:rPr>
              <w:t>BIC</w:t>
            </w:r>
          </w:p>
        </w:tc>
        <w:tc>
          <w:tcPr>
            <w:tcW w:w="850" w:type="dxa"/>
          </w:tcPr>
          <w:p w14:paraId="25120051" w14:textId="77777777" w:rsidR="0032507D" w:rsidRPr="0032507D" w:rsidRDefault="0032507D" w:rsidP="00C13584">
            <w:pPr>
              <w:jc w:val="center"/>
              <w:cnfStyle w:val="100000000000" w:firstRow="1" w:lastRow="0" w:firstColumn="0" w:lastColumn="0" w:oddVBand="0" w:evenVBand="0" w:oddHBand="0" w:evenHBand="0" w:firstRowFirstColumn="0" w:firstRowLastColumn="0" w:lastRowFirstColumn="0" w:lastRowLastColumn="0"/>
              <w:rPr>
                <w:sz w:val="20"/>
                <w:lang w:val="en-US"/>
              </w:rPr>
            </w:pPr>
            <w:r w:rsidRPr="0032507D">
              <w:rPr>
                <w:sz w:val="20"/>
                <w:lang w:val="en-US"/>
              </w:rPr>
              <w:t>RMSE</w:t>
            </w:r>
          </w:p>
        </w:tc>
        <w:tc>
          <w:tcPr>
            <w:tcW w:w="675" w:type="dxa"/>
          </w:tcPr>
          <w:p w14:paraId="3EA2DF38" w14:textId="77777777" w:rsidR="0032507D" w:rsidRPr="0032507D" w:rsidRDefault="0032507D" w:rsidP="00C13584">
            <w:pPr>
              <w:jc w:val="center"/>
              <w:cnfStyle w:val="100000000000" w:firstRow="1" w:lastRow="0" w:firstColumn="0" w:lastColumn="0" w:oddVBand="0" w:evenVBand="0" w:oddHBand="0" w:evenHBand="0" w:firstRowFirstColumn="0" w:firstRowLastColumn="0" w:lastRowFirstColumn="0" w:lastRowLastColumn="0"/>
              <w:rPr>
                <w:sz w:val="20"/>
                <w:lang w:val="en-US"/>
              </w:rPr>
            </w:pPr>
            <w:r w:rsidRPr="0032507D">
              <w:rPr>
                <w:sz w:val="20"/>
                <w:lang w:val="en-US"/>
              </w:rPr>
              <w:t>VaR 5% exc.</w:t>
            </w:r>
          </w:p>
        </w:tc>
        <w:tc>
          <w:tcPr>
            <w:tcW w:w="955" w:type="dxa"/>
            <w:gridSpan w:val="2"/>
          </w:tcPr>
          <w:p w14:paraId="095A3F3D" w14:textId="77777777" w:rsidR="0032507D" w:rsidRPr="0032507D" w:rsidRDefault="0032507D" w:rsidP="00C13584">
            <w:pPr>
              <w:jc w:val="center"/>
              <w:cnfStyle w:val="100000000000" w:firstRow="1" w:lastRow="0" w:firstColumn="0" w:lastColumn="0" w:oddVBand="0" w:evenVBand="0" w:oddHBand="0" w:evenHBand="0" w:firstRowFirstColumn="0" w:firstRowLastColumn="0" w:lastRowFirstColumn="0" w:lastRowLastColumn="0"/>
              <w:rPr>
                <w:sz w:val="20"/>
                <w:lang w:val="en-US"/>
              </w:rPr>
            </w:pPr>
            <w:r w:rsidRPr="0032507D">
              <w:rPr>
                <w:sz w:val="20"/>
                <w:lang w:val="en-US"/>
              </w:rPr>
              <w:t>Kupiec p</w:t>
            </w:r>
          </w:p>
        </w:tc>
        <w:tc>
          <w:tcPr>
            <w:tcW w:w="638" w:type="dxa"/>
            <w:gridSpan w:val="2"/>
          </w:tcPr>
          <w:p w14:paraId="6638BD1B" w14:textId="77777777" w:rsidR="0032507D" w:rsidRPr="0032507D" w:rsidRDefault="0032507D" w:rsidP="00C13584">
            <w:pPr>
              <w:jc w:val="center"/>
              <w:cnfStyle w:val="100000000000" w:firstRow="1" w:lastRow="0" w:firstColumn="0" w:lastColumn="0" w:oddVBand="0" w:evenVBand="0" w:oddHBand="0" w:evenHBand="0" w:firstRowFirstColumn="0" w:firstRowLastColumn="0" w:lastRowFirstColumn="0" w:lastRowLastColumn="0"/>
              <w:rPr>
                <w:sz w:val="20"/>
                <w:lang w:val="en-US"/>
              </w:rPr>
            </w:pPr>
            <w:r w:rsidRPr="0032507D">
              <w:rPr>
                <w:sz w:val="20"/>
                <w:lang w:val="en-US"/>
              </w:rPr>
              <w:t>VaR 1% exc.</w:t>
            </w:r>
          </w:p>
        </w:tc>
        <w:tc>
          <w:tcPr>
            <w:tcW w:w="959" w:type="dxa"/>
          </w:tcPr>
          <w:p w14:paraId="29BBAC9F" w14:textId="77777777" w:rsidR="0032507D" w:rsidRPr="0032507D" w:rsidRDefault="0032507D" w:rsidP="00C13584">
            <w:pPr>
              <w:jc w:val="center"/>
              <w:cnfStyle w:val="100000000000" w:firstRow="1" w:lastRow="0" w:firstColumn="0" w:lastColumn="0" w:oddVBand="0" w:evenVBand="0" w:oddHBand="0" w:evenHBand="0" w:firstRowFirstColumn="0" w:firstRowLastColumn="0" w:lastRowFirstColumn="0" w:lastRowLastColumn="0"/>
              <w:rPr>
                <w:sz w:val="20"/>
                <w:lang w:val="en-US"/>
              </w:rPr>
            </w:pPr>
            <w:r w:rsidRPr="0032507D">
              <w:rPr>
                <w:sz w:val="20"/>
                <w:lang w:val="en-US"/>
              </w:rPr>
              <w:t>Kupiec p</w:t>
            </w:r>
          </w:p>
        </w:tc>
        <w:tc>
          <w:tcPr>
            <w:tcW w:w="2160" w:type="dxa"/>
          </w:tcPr>
          <w:p w14:paraId="1FDA1440" w14:textId="77777777" w:rsidR="0032507D" w:rsidRPr="0032507D" w:rsidRDefault="0032507D" w:rsidP="00C13584">
            <w:pPr>
              <w:jc w:val="center"/>
              <w:cnfStyle w:val="100000000000" w:firstRow="1" w:lastRow="0" w:firstColumn="0" w:lastColumn="0" w:oddVBand="0" w:evenVBand="0" w:oddHBand="0" w:evenHBand="0" w:firstRowFirstColumn="0" w:firstRowLastColumn="0" w:lastRowFirstColumn="0" w:lastRowLastColumn="0"/>
              <w:rPr>
                <w:sz w:val="20"/>
                <w:lang w:val="en-US"/>
              </w:rPr>
            </w:pPr>
            <w:r w:rsidRPr="0032507D">
              <w:rPr>
                <w:sz w:val="20"/>
                <w:lang w:val="en-US"/>
              </w:rPr>
              <w:t>Assessment</w:t>
            </w:r>
          </w:p>
        </w:tc>
      </w:tr>
      <w:tr w:rsidR="0032507D" w:rsidRPr="0032507D" w14:paraId="6E1BE357" w14:textId="77777777" w:rsidTr="003250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6" w:type="dxa"/>
          </w:tcPr>
          <w:p w14:paraId="305805F3" w14:textId="77777777" w:rsidR="0032507D" w:rsidRPr="0032507D" w:rsidRDefault="0032507D" w:rsidP="00C13584">
            <w:pPr>
              <w:rPr>
                <w:sz w:val="20"/>
                <w:lang w:val="en-US"/>
              </w:rPr>
            </w:pPr>
            <w:r w:rsidRPr="0032507D">
              <w:rPr>
                <w:sz w:val="20"/>
                <w:lang w:val="en-US"/>
              </w:rPr>
              <w:t>S&amp;P 500</w:t>
            </w:r>
          </w:p>
        </w:tc>
        <w:tc>
          <w:tcPr>
            <w:tcW w:w="1134" w:type="dxa"/>
          </w:tcPr>
          <w:p w14:paraId="3BE911D2" w14:textId="77777777" w:rsidR="0032507D" w:rsidRPr="0032507D" w:rsidRDefault="0032507D" w:rsidP="00C13584">
            <w:pP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GARCH</w:t>
            </w:r>
          </w:p>
        </w:tc>
        <w:tc>
          <w:tcPr>
            <w:tcW w:w="709" w:type="dxa"/>
          </w:tcPr>
          <w:p w14:paraId="775D7742"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−5.42</w:t>
            </w:r>
          </w:p>
        </w:tc>
        <w:tc>
          <w:tcPr>
            <w:tcW w:w="709" w:type="dxa"/>
          </w:tcPr>
          <w:p w14:paraId="57B5143D"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−5.39</w:t>
            </w:r>
          </w:p>
        </w:tc>
        <w:tc>
          <w:tcPr>
            <w:tcW w:w="850" w:type="dxa"/>
          </w:tcPr>
          <w:p w14:paraId="58D64C57"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0.254</w:t>
            </w:r>
          </w:p>
        </w:tc>
        <w:tc>
          <w:tcPr>
            <w:tcW w:w="675" w:type="dxa"/>
          </w:tcPr>
          <w:p w14:paraId="303B79D3"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5.1%</w:t>
            </w:r>
          </w:p>
        </w:tc>
        <w:tc>
          <w:tcPr>
            <w:tcW w:w="709" w:type="dxa"/>
          </w:tcPr>
          <w:p w14:paraId="74BD73C8"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0.27</w:t>
            </w:r>
          </w:p>
        </w:tc>
        <w:tc>
          <w:tcPr>
            <w:tcW w:w="709" w:type="dxa"/>
            <w:gridSpan w:val="2"/>
          </w:tcPr>
          <w:p w14:paraId="230FC196"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1.1%</w:t>
            </w:r>
          </w:p>
        </w:tc>
        <w:tc>
          <w:tcPr>
            <w:tcW w:w="1134" w:type="dxa"/>
            <w:gridSpan w:val="2"/>
          </w:tcPr>
          <w:p w14:paraId="2E8249C5"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0.34</w:t>
            </w:r>
          </w:p>
        </w:tc>
        <w:tc>
          <w:tcPr>
            <w:tcW w:w="2160" w:type="dxa"/>
          </w:tcPr>
          <w:p w14:paraId="5754DFD5" w14:textId="77777777" w:rsidR="0032507D" w:rsidRPr="0032507D" w:rsidRDefault="0032507D" w:rsidP="00C13584">
            <w:pP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Pass</w:t>
            </w:r>
          </w:p>
        </w:tc>
      </w:tr>
      <w:tr w:rsidR="0032507D" w:rsidRPr="0032507D" w14:paraId="229B27E4" w14:textId="77777777" w:rsidTr="0032507D">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3EED6F33" w14:textId="77777777" w:rsidR="0032507D" w:rsidRPr="0032507D" w:rsidRDefault="0032507D" w:rsidP="00C13584">
            <w:pPr>
              <w:rPr>
                <w:sz w:val="20"/>
                <w:lang w:val="en-US"/>
              </w:rPr>
            </w:pPr>
          </w:p>
        </w:tc>
        <w:tc>
          <w:tcPr>
            <w:tcW w:w="1134" w:type="dxa"/>
          </w:tcPr>
          <w:p w14:paraId="35CFD543" w14:textId="77777777" w:rsidR="0032507D" w:rsidRPr="0032507D" w:rsidRDefault="0032507D" w:rsidP="00C13584">
            <w:pP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FIGARCH</w:t>
            </w:r>
          </w:p>
        </w:tc>
        <w:tc>
          <w:tcPr>
            <w:tcW w:w="709" w:type="dxa"/>
          </w:tcPr>
          <w:p w14:paraId="01354E19"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−5.46</w:t>
            </w:r>
          </w:p>
        </w:tc>
        <w:tc>
          <w:tcPr>
            <w:tcW w:w="709" w:type="dxa"/>
          </w:tcPr>
          <w:p w14:paraId="7501D7FD"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−5.40</w:t>
            </w:r>
          </w:p>
        </w:tc>
        <w:tc>
          <w:tcPr>
            <w:tcW w:w="850" w:type="dxa"/>
          </w:tcPr>
          <w:p w14:paraId="62C80CFB"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0.250</w:t>
            </w:r>
          </w:p>
        </w:tc>
        <w:tc>
          <w:tcPr>
            <w:tcW w:w="675" w:type="dxa"/>
          </w:tcPr>
          <w:p w14:paraId="2FA6D92B"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4.9%</w:t>
            </w:r>
          </w:p>
        </w:tc>
        <w:tc>
          <w:tcPr>
            <w:tcW w:w="709" w:type="dxa"/>
          </w:tcPr>
          <w:p w14:paraId="2EE61440"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0.29</w:t>
            </w:r>
          </w:p>
        </w:tc>
        <w:tc>
          <w:tcPr>
            <w:tcW w:w="709" w:type="dxa"/>
            <w:gridSpan w:val="2"/>
          </w:tcPr>
          <w:p w14:paraId="4BA3959E"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0.9%</w:t>
            </w:r>
          </w:p>
        </w:tc>
        <w:tc>
          <w:tcPr>
            <w:tcW w:w="1134" w:type="dxa"/>
            <w:gridSpan w:val="2"/>
          </w:tcPr>
          <w:p w14:paraId="5DAFBB58"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0.40</w:t>
            </w:r>
          </w:p>
        </w:tc>
        <w:tc>
          <w:tcPr>
            <w:tcW w:w="2160" w:type="dxa"/>
          </w:tcPr>
          <w:p w14:paraId="39B2FCDB" w14:textId="77777777" w:rsidR="0032507D" w:rsidRPr="0032507D" w:rsidRDefault="0032507D" w:rsidP="00C13584">
            <w:pP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Marginal improvement</w:t>
            </w:r>
          </w:p>
        </w:tc>
      </w:tr>
      <w:tr w:rsidR="0032507D" w:rsidRPr="0032507D" w14:paraId="6353866B" w14:textId="77777777" w:rsidTr="003250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6" w:type="dxa"/>
          </w:tcPr>
          <w:p w14:paraId="3556107F" w14:textId="77777777" w:rsidR="0032507D" w:rsidRPr="0032507D" w:rsidRDefault="0032507D" w:rsidP="00C13584">
            <w:pPr>
              <w:rPr>
                <w:sz w:val="20"/>
                <w:lang w:val="en-US"/>
              </w:rPr>
            </w:pPr>
            <w:r w:rsidRPr="0032507D">
              <w:rPr>
                <w:sz w:val="20"/>
                <w:lang w:val="en-US"/>
              </w:rPr>
              <w:t>IBEX 35</w:t>
            </w:r>
          </w:p>
        </w:tc>
        <w:tc>
          <w:tcPr>
            <w:tcW w:w="1134" w:type="dxa"/>
          </w:tcPr>
          <w:p w14:paraId="41C3BA98" w14:textId="77777777" w:rsidR="0032507D" w:rsidRPr="0032507D" w:rsidRDefault="0032507D" w:rsidP="00C13584">
            <w:pP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GARCH</w:t>
            </w:r>
          </w:p>
        </w:tc>
        <w:tc>
          <w:tcPr>
            <w:tcW w:w="709" w:type="dxa"/>
          </w:tcPr>
          <w:p w14:paraId="0CDA26A0"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−5.10</w:t>
            </w:r>
          </w:p>
        </w:tc>
        <w:tc>
          <w:tcPr>
            <w:tcW w:w="709" w:type="dxa"/>
          </w:tcPr>
          <w:p w14:paraId="28086D97"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−5.07</w:t>
            </w:r>
          </w:p>
        </w:tc>
        <w:tc>
          <w:tcPr>
            <w:tcW w:w="850" w:type="dxa"/>
          </w:tcPr>
          <w:p w14:paraId="66610CCD"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0.278</w:t>
            </w:r>
          </w:p>
        </w:tc>
        <w:tc>
          <w:tcPr>
            <w:tcW w:w="675" w:type="dxa"/>
          </w:tcPr>
          <w:p w14:paraId="3434F13C"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5.4%</w:t>
            </w:r>
          </w:p>
        </w:tc>
        <w:tc>
          <w:tcPr>
            <w:tcW w:w="709" w:type="dxa"/>
          </w:tcPr>
          <w:p w14:paraId="6E175FB0"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0.19</w:t>
            </w:r>
          </w:p>
        </w:tc>
        <w:tc>
          <w:tcPr>
            <w:tcW w:w="709" w:type="dxa"/>
            <w:gridSpan w:val="2"/>
          </w:tcPr>
          <w:p w14:paraId="11BEDB6D"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1.3%</w:t>
            </w:r>
          </w:p>
        </w:tc>
        <w:tc>
          <w:tcPr>
            <w:tcW w:w="1134" w:type="dxa"/>
            <w:gridSpan w:val="2"/>
          </w:tcPr>
          <w:p w14:paraId="61F49B12"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0.22</w:t>
            </w:r>
          </w:p>
        </w:tc>
        <w:tc>
          <w:tcPr>
            <w:tcW w:w="2160" w:type="dxa"/>
          </w:tcPr>
          <w:p w14:paraId="7FEDDD66" w14:textId="77777777" w:rsidR="0032507D" w:rsidRPr="0032507D" w:rsidRDefault="0032507D" w:rsidP="00C13584">
            <w:pP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Pass</w:t>
            </w:r>
          </w:p>
        </w:tc>
      </w:tr>
      <w:tr w:rsidR="0032507D" w:rsidRPr="0032507D" w14:paraId="299D7CD9" w14:textId="77777777" w:rsidTr="0032507D">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16589429" w14:textId="77777777" w:rsidR="0032507D" w:rsidRPr="0032507D" w:rsidRDefault="0032507D" w:rsidP="00C13584">
            <w:pPr>
              <w:rPr>
                <w:sz w:val="20"/>
                <w:lang w:val="en-US"/>
              </w:rPr>
            </w:pPr>
          </w:p>
        </w:tc>
        <w:tc>
          <w:tcPr>
            <w:tcW w:w="1134" w:type="dxa"/>
          </w:tcPr>
          <w:p w14:paraId="5F38A1D7" w14:textId="77777777" w:rsidR="0032507D" w:rsidRPr="0032507D" w:rsidRDefault="0032507D" w:rsidP="00C13584">
            <w:pP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FIGARCH</w:t>
            </w:r>
          </w:p>
        </w:tc>
        <w:tc>
          <w:tcPr>
            <w:tcW w:w="709" w:type="dxa"/>
          </w:tcPr>
          <w:p w14:paraId="1AA590BF"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−5.12</w:t>
            </w:r>
          </w:p>
        </w:tc>
        <w:tc>
          <w:tcPr>
            <w:tcW w:w="709" w:type="dxa"/>
          </w:tcPr>
          <w:p w14:paraId="5CAEA87B"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−5.08</w:t>
            </w:r>
          </w:p>
        </w:tc>
        <w:tc>
          <w:tcPr>
            <w:tcW w:w="850" w:type="dxa"/>
          </w:tcPr>
          <w:p w14:paraId="33826042"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0.277</w:t>
            </w:r>
          </w:p>
        </w:tc>
        <w:tc>
          <w:tcPr>
            <w:tcW w:w="675" w:type="dxa"/>
          </w:tcPr>
          <w:p w14:paraId="2BB39B32"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5.2%</w:t>
            </w:r>
          </w:p>
        </w:tc>
        <w:tc>
          <w:tcPr>
            <w:tcW w:w="709" w:type="dxa"/>
          </w:tcPr>
          <w:p w14:paraId="24559120"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0.20</w:t>
            </w:r>
          </w:p>
        </w:tc>
        <w:tc>
          <w:tcPr>
            <w:tcW w:w="709" w:type="dxa"/>
            <w:gridSpan w:val="2"/>
          </w:tcPr>
          <w:p w14:paraId="01AD48CD"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1.0%</w:t>
            </w:r>
          </w:p>
        </w:tc>
        <w:tc>
          <w:tcPr>
            <w:tcW w:w="1134" w:type="dxa"/>
            <w:gridSpan w:val="2"/>
          </w:tcPr>
          <w:p w14:paraId="6FCEA195"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0.30</w:t>
            </w:r>
          </w:p>
        </w:tc>
        <w:tc>
          <w:tcPr>
            <w:tcW w:w="2160" w:type="dxa"/>
          </w:tcPr>
          <w:p w14:paraId="6519CB6A" w14:textId="77777777" w:rsidR="0032507D" w:rsidRPr="0032507D" w:rsidRDefault="0032507D" w:rsidP="00C13584">
            <w:pP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Similar performance</w:t>
            </w:r>
          </w:p>
        </w:tc>
      </w:tr>
      <w:tr w:rsidR="0032507D" w:rsidRPr="0032507D" w14:paraId="56E10CA2" w14:textId="77777777" w:rsidTr="003250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6" w:type="dxa"/>
          </w:tcPr>
          <w:p w14:paraId="19CB546C" w14:textId="77777777" w:rsidR="0032507D" w:rsidRPr="0032507D" w:rsidRDefault="0032507D" w:rsidP="00C13584">
            <w:pPr>
              <w:rPr>
                <w:sz w:val="20"/>
                <w:lang w:val="en-US"/>
              </w:rPr>
            </w:pPr>
            <w:r w:rsidRPr="0032507D">
              <w:rPr>
                <w:sz w:val="20"/>
                <w:lang w:val="en-US"/>
              </w:rPr>
              <w:t>Bitcoin</w:t>
            </w:r>
          </w:p>
        </w:tc>
        <w:tc>
          <w:tcPr>
            <w:tcW w:w="1134" w:type="dxa"/>
          </w:tcPr>
          <w:p w14:paraId="28726091" w14:textId="77777777" w:rsidR="0032507D" w:rsidRPr="0032507D" w:rsidRDefault="0032507D" w:rsidP="00C13584">
            <w:pP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GARCH</w:t>
            </w:r>
          </w:p>
        </w:tc>
        <w:tc>
          <w:tcPr>
            <w:tcW w:w="709" w:type="dxa"/>
          </w:tcPr>
          <w:p w14:paraId="46EF7065"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−4.82</w:t>
            </w:r>
          </w:p>
        </w:tc>
        <w:tc>
          <w:tcPr>
            <w:tcW w:w="709" w:type="dxa"/>
          </w:tcPr>
          <w:p w14:paraId="6AB7A4BC"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−4.79</w:t>
            </w:r>
          </w:p>
        </w:tc>
        <w:tc>
          <w:tcPr>
            <w:tcW w:w="850" w:type="dxa"/>
          </w:tcPr>
          <w:p w14:paraId="2237BC88"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0.615</w:t>
            </w:r>
          </w:p>
        </w:tc>
        <w:tc>
          <w:tcPr>
            <w:tcW w:w="675" w:type="dxa"/>
          </w:tcPr>
          <w:p w14:paraId="4F486707"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7.0%</w:t>
            </w:r>
          </w:p>
        </w:tc>
        <w:tc>
          <w:tcPr>
            <w:tcW w:w="709" w:type="dxa"/>
          </w:tcPr>
          <w:p w14:paraId="27A5452C"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0.03</w:t>
            </w:r>
          </w:p>
        </w:tc>
        <w:tc>
          <w:tcPr>
            <w:tcW w:w="709" w:type="dxa"/>
            <w:gridSpan w:val="2"/>
          </w:tcPr>
          <w:p w14:paraId="0A5B635B"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2.1%</w:t>
            </w:r>
          </w:p>
        </w:tc>
        <w:tc>
          <w:tcPr>
            <w:tcW w:w="1134" w:type="dxa"/>
            <w:gridSpan w:val="2"/>
          </w:tcPr>
          <w:p w14:paraId="6EFF60A3"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0.02</w:t>
            </w:r>
          </w:p>
        </w:tc>
        <w:tc>
          <w:tcPr>
            <w:tcW w:w="2160" w:type="dxa"/>
          </w:tcPr>
          <w:p w14:paraId="562B5176" w14:textId="77777777" w:rsidR="0032507D" w:rsidRPr="0032507D" w:rsidRDefault="0032507D" w:rsidP="00C13584">
            <w:pP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Under-coverage</w:t>
            </w:r>
          </w:p>
        </w:tc>
      </w:tr>
      <w:tr w:rsidR="0032507D" w:rsidRPr="0032507D" w14:paraId="0F13B96C" w14:textId="77777777" w:rsidTr="0032507D">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12AE8ADB" w14:textId="77777777" w:rsidR="0032507D" w:rsidRPr="0032507D" w:rsidRDefault="0032507D" w:rsidP="00C13584">
            <w:pPr>
              <w:rPr>
                <w:sz w:val="20"/>
                <w:lang w:val="en-US"/>
              </w:rPr>
            </w:pPr>
          </w:p>
        </w:tc>
        <w:tc>
          <w:tcPr>
            <w:tcW w:w="1134" w:type="dxa"/>
          </w:tcPr>
          <w:p w14:paraId="4D11AB88" w14:textId="77777777" w:rsidR="0032507D" w:rsidRPr="0032507D" w:rsidRDefault="0032507D" w:rsidP="00C13584">
            <w:pP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FIGARCH</w:t>
            </w:r>
          </w:p>
        </w:tc>
        <w:tc>
          <w:tcPr>
            <w:tcW w:w="709" w:type="dxa"/>
          </w:tcPr>
          <w:p w14:paraId="39EE4E2F"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−4.95</w:t>
            </w:r>
          </w:p>
        </w:tc>
        <w:tc>
          <w:tcPr>
            <w:tcW w:w="709" w:type="dxa"/>
          </w:tcPr>
          <w:p w14:paraId="063A2962"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−4.91</w:t>
            </w:r>
          </w:p>
        </w:tc>
        <w:tc>
          <w:tcPr>
            <w:tcW w:w="850" w:type="dxa"/>
          </w:tcPr>
          <w:p w14:paraId="005252F2"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0.602</w:t>
            </w:r>
          </w:p>
        </w:tc>
        <w:tc>
          <w:tcPr>
            <w:tcW w:w="675" w:type="dxa"/>
          </w:tcPr>
          <w:p w14:paraId="7144C62F"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5.3%</w:t>
            </w:r>
          </w:p>
        </w:tc>
        <w:tc>
          <w:tcPr>
            <w:tcW w:w="709" w:type="dxa"/>
          </w:tcPr>
          <w:p w14:paraId="7673E2B9"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0.09</w:t>
            </w:r>
          </w:p>
        </w:tc>
        <w:tc>
          <w:tcPr>
            <w:tcW w:w="709" w:type="dxa"/>
            <w:gridSpan w:val="2"/>
          </w:tcPr>
          <w:p w14:paraId="56CDBFC7"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1.2%</w:t>
            </w:r>
          </w:p>
        </w:tc>
        <w:tc>
          <w:tcPr>
            <w:tcW w:w="1134" w:type="dxa"/>
            <w:gridSpan w:val="2"/>
          </w:tcPr>
          <w:p w14:paraId="2E4316C7"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0.12</w:t>
            </w:r>
          </w:p>
        </w:tc>
        <w:tc>
          <w:tcPr>
            <w:tcW w:w="2160" w:type="dxa"/>
          </w:tcPr>
          <w:p w14:paraId="5ECD8FD5" w14:textId="77777777" w:rsidR="0032507D" w:rsidRPr="0032507D" w:rsidRDefault="0032507D" w:rsidP="00C13584">
            <w:pP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Better risk coverage</w:t>
            </w:r>
          </w:p>
        </w:tc>
      </w:tr>
      <w:tr w:rsidR="0032507D" w:rsidRPr="0032507D" w14:paraId="245EE01E" w14:textId="77777777" w:rsidTr="003250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6" w:type="dxa"/>
          </w:tcPr>
          <w:p w14:paraId="02BD0BF3" w14:textId="77777777" w:rsidR="0032507D" w:rsidRPr="0032507D" w:rsidRDefault="0032507D" w:rsidP="00C13584">
            <w:pPr>
              <w:rPr>
                <w:sz w:val="20"/>
                <w:lang w:val="en-US"/>
              </w:rPr>
            </w:pPr>
            <w:r w:rsidRPr="0032507D">
              <w:rPr>
                <w:sz w:val="20"/>
                <w:lang w:val="en-US"/>
              </w:rPr>
              <w:t>Tesla</w:t>
            </w:r>
          </w:p>
        </w:tc>
        <w:tc>
          <w:tcPr>
            <w:tcW w:w="1134" w:type="dxa"/>
          </w:tcPr>
          <w:p w14:paraId="29802718" w14:textId="77777777" w:rsidR="0032507D" w:rsidRPr="0032507D" w:rsidRDefault="0032507D" w:rsidP="00C13584">
            <w:pP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GARCH</w:t>
            </w:r>
          </w:p>
        </w:tc>
        <w:tc>
          <w:tcPr>
            <w:tcW w:w="709" w:type="dxa"/>
          </w:tcPr>
          <w:p w14:paraId="346897F1"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−4.56</w:t>
            </w:r>
          </w:p>
        </w:tc>
        <w:tc>
          <w:tcPr>
            <w:tcW w:w="709" w:type="dxa"/>
          </w:tcPr>
          <w:p w14:paraId="2B99C953"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−4.52</w:t>
            </w:r>
          </w:p>
        </w:tc>
        <w:tc>
          <w:tcPr>
            <w:tcW w:w="850" w:type="dxa"/>
          </w:tcPr>
          <w:p w14:paraId="45CD47A6"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0.482</w:t>
            </w:r>
          </w:p>
        </w:tc>
        <w:tc>
          <w:tcPr>
            <w:tcW w:w="675" w:type="dxa"/>
          </w:tcPr>
          <w:p w14:paraId="6F42849E"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9.0%</w:t>
            </w:r>
          </w:p>
        </w:tc>
        <w:tc>
          <w:tcPr>
            <w:tcW w:w="709" w:type="dxa"/>
          </w:tcPr>
          <w:p w14:paraId="65E68F04"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0.01</w:t>
            </w:r>
          </w:p>
        </w:tc>
        <w:tc>
          <w:tcPr>
            <w:tcW w:w="709" w:type="dxa"/>
            <w:gridSpan w:val="2"/>
          </w:tcPr>
          <w:p w14:paraId="590982C4"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3.5%</w:t>
            </w:r>
          </w:p>
        </w:tc>
        <w:tc>
          <w:tcPr>
            <w:tcW w:w="1134" w:type="dxa"/>
            <w:gridSpan w:val="2"/>
          </w:tcPr>
          <w:p w14:paraId="5CEA6BC6"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0.00</w:t>
            </w:r>
          </w:p>
        </w:tc>
        <w:tc>
          <w:tcPr>
            <w:tcW w:w="2160" w:type="dxa"/>
          </w:tcPr>
          <w:p w14:paraId="28356B37" w14:textId="77777777" w:rsidR="0032507D" w:rsidRPr="0032507D" w:rsidRDefault="0032507D" w:rsidP="00C13584">
            <w:pP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Fail</w:t>
            </w:r>
          </w:p>
        </w:tc>
      </w:tr>
      <w:tr w:rsidR="0032507D" w:rsidRPr="0032507D" w14:paraId="3DDDF692" w14:textId="77777777" w:rsidTr="0032507D">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66C8AF25" w14:textId="77777777" w:rsidR="0032507D" w:rsidRPr="0032507D" w:rsidRDefault="0032507D" w:rsidP="00C13584">
            <w:pPr>
              <w:rPr>
                <w:sz w:val="20"/>
                <w:lang w:val="en-US"/>
              </w:rPr>
            </w:pPr>
          </w:p>
        </w:tc>
        <w:tc>
          <w:tcPr>
            <w:tcW w:w="1134" w:type="dxa"/>
          </w:tcPr>
          <w:p w14:paraId="3BF40CE3" w14:textId="77777777" w:rsidR="0032507D" w:rsidRPr="0032507D" w:rsidRDefault="0032507D" w:rsidP="00C13584">
            <w:pP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FIGARCH</w:t>
            </w:r>
          </w:p>
        </w:tc>
        <w:tc>
          <w:tcPr>
            <w:tcW w:w="709" w:type="dxa"/>
          </w:tcPr>
          <w:p w14:paraId="1C9F3044"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w:t>
            </w:r>
          </w:p>
        </w:tc>
        <w:tc>
          <w:tcPr>
            <w:tcW w:w="709" w:type="dxa"/>
          </w:tcPr>
          <w:p w14:paraId="220B6557"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w:t>
            </w:r>
          </w:p>
        </w:tc>
        <w:tc>
          <w:tcPr>
            <w:tcW w:w="850" w:type="dxa"/>
          </w:tcPr>
          <w:p w14:paraId="2A3B7CC5"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w:t>
            </w:r>
          </w:p>
        </w:tc>
        <w:tc>
          <w:tcPr>
            <w:tcW w:w="675" w:type="dxa"/>
          </w:tcPr>
          <w:p w14:paraId="472E53F4"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w:t>
            </w:r>
          </w:p>
        </w:tc>
        <w:tc>
          <w:tcPr>
            <w:tcW w:w="709" w:type="dxa"/>
          </w:tcPr>
          <w:p w14:paraId="57578EEE"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w:t>
            </w:r>
          </w:p>
        </w:tc>
        <w:tc>
          <w:tcPr>
            <w:tcW w:w="709" w:type="dxa"/>
            <w:gridSpan w:val="2"/>
          </w:tcPr>
          <w:p w14:paraId="551331C0"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w:t>
            </w:r>
          </w:p>
        </w:tc>
        <w:tc>
          <w:tcPr>
            <w:tcW w:w="1134" w:type="dxa"/>
            <w:gridSpan w:val="2"/>
          </w:tcPr>
          <w:p w14:paraId="5C68852A"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w:t>
            </w:r>
          </w:p>
        </w:tc>
        <w:tc>
          <w:tcPr>
            <w:tcW w:w="2160" w:type="dxa"/>
          </w:tcPr>
          <w:p w14:paraId="30C9841C" w14:textId="77777777" w:rsidR="0032507D" w:rsidRPr="0032507D" w:rsidRDefault="0032507D" w:rsidP="00C13584">
            <w:pP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Not estimated</w:t>
            </w:r>
          </w:p>
        </w:tc>
      </w:tr>
      <w:tr w:rsidR="0032507D" w:rsidRPr="0032507D" w14:paraId="12E83FE3" w14:textId="77777777" w:rsidTr="003250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6" w:type="dxa"/>
          </w:tcPr>
          <w:p w14:paraId="0749150F" w14:textId="77777777" w:rsidR="0032507D" w:rsidRPr="0032507D" w:rsidRDefault="0032507D" w:rsidP="00C13584">
            <w:pPr>
              <w:rPr>
                <w:sz w:val="20"/>
                <w:lang w:val="en-US"/>
              </w:rPr>
            </w:pPr>
            <w:r w:rsidRPr="0032507D">
              <w:rPr>
                <w:sz w:val="20"/>
                <w:lang w:val="en-US"/>
              </w:rPr>
              <w:t>BOVESPA</w:t>
            </w:r>
          </w:p>
        </w:tc>
        <w:tc>
          <w:tcPr>
            <w:tcW w:w="1134" w:type="dxa"/>
          </w:tcPr>
          <w:p w14:paraId="19B9A802" w14:textId="77777777" w:rsidR="0032507D" w:rsidRPr="0032507D" w:rsidRDefault="0032507D" w:rsidP="00C13584">
            <w:pP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GARCH</w:t>
            </w:r>
          </w:p>
        </w:tc>
        <w:tc>
          <w:tcPr>
            <w:tcW w:w="709" w:type="dxa"/>
          </w:tcPr>
          <w:p w14:paraId="026F1A1D"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−5.30</w:t>
            </w:r>
          </w:p>
        </w:tc>
        <w:tc>
          <w:tcPr>
            <w:tcW w:w="709" w:type="dxa"/>
          </w:tcPr>
          <w:p w14:paraId="7B4985A6"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−5.27</w:t>
            </w:r>
          </w:p>
        </w:tc>
        <w:tc>
          <w:tcPr>
            <w:tcW w:w="850" w:type="dxa"/>
          </w:tcPr>
          <w:p w14:paraId="4E993D92"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0.301</w:t>
            </w:r>
          </w:p>
        </w:tc>
        <w:tc>
          <w:tcPr>
            <w:tcW w:w="675" w:type="dxa"/>
          </w:tcPr>
          <w:p w14:paraId="67DBFC27"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5.6%</w:t>
            </w:r>
          </w:p>
        </w:tc>
        <w:tc>
          <w:tcPr>
            <w:tcW w:w="709" w:type="dxa"/>
          </w:tcPr>
          <w:p w14:paraId="7D655681"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0.18</w:t>
            </w:r>
          </w:p>
        </w:tc>
        <w:tc>
          <w:tcPr>
            <w:tcW w:w="709" w:type="dxa"/>
            <w:gridSpan w:val="2"/>
          </w:tcPr>
          <w:p w14:paraId="33B49A1C"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1.5%</w:t>
            </w:r>
          </w:p>
        </w:tc>
        <w:tc>
          <w:tcPr>
            <w:tcW w:w="1134" w:type="dxa"/>
            <w:gridSpan w:val="2"/>
          </w:tcPr>
          <w:p w14:paraId="3288F8C4" w14:textId="77777777" w:rsidR="0032507D" w:rsidRPr="0032507D" w:rsidRDefault="0032507D" w:rsidP="00C13584">
            <w:pPr>
              <w:jc w:val="cente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0.17</w:t>
            </w:r>
          </w:p>
        </w:tc>
        <w:tc>
          <w:tcPr>
            <w:tcW w:w="2160" w:type="dxa"/>
          </w:tcPr>
          <w:p w14:paraId="4BBC53D0" w14:textId="77777777" w:rsidR="0032507D" w:rsidRPr="0032507D" w:rsidRDefault="0032507D" w:rsidP="00C13584">
            <w:pPr>
              <w:cnfStyle w:val="000000100000" w:firstRow="0" w:lastRow="0" w:firstColumn="0" w:lastColumn="0" w:oddVBand="0" w:evenVBand="0" w:oddHBand="1" w:evenHBand="0" w:firstRowFirstColumn="0" w:firstRowLastColumn="0" w:lastRowFirstColumn="0" w:lastRowLastColumn="0"/>
              <w:rPr>
                <w:sz w:val="20"/>
                <w:lang w:val="en-US"/>
              </w:rPr>
            </w:pPr>
            <w:r w:rsidRPr="0032507D">
              <w:rPr>
                <w:sz w:val="20"/>
                <w:lang w:val="en-US"/>
              </w:rPr>
              <w:t>Pass</w:t>
            </w:r>
          </w:p>
        </w:tc>
      </w:tr>
      <w:tr w:rsidR="0032507D" w:rsidRPr="0032507D" w14:paraId="4A0367D2" w14:textId="77777777" w:rsidTr="0032507D">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72E79B76" w14:textId="77777777" w:rsidR="0032507D" w:rsidRPr="0032507D" w:rsidRDefault="0032507D" w:rsidP="00C13584">
            <w:pPr>
              <w:rPr>
                <w:sz w:val="20"/>
                <w:lang w:val="en-US"/>
              </w:rPr>
            </w:pPr>
          </w:p>
        </w:tc>
        <w:tc>
          <w:tcPr>
            <w:tcW w:w="1134" w:type="dxa"/>
          </w:tcPr>
          <w:p w14:paraId="3A440051" w14:textId="77777777" w:rsidR="0032507D" w:rsidRPr="0032507D" w:rsidRDefault="0032507D" w:rsidP="00C13584">
            <w:pP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FIGARCH</w:t>
            </w:r>
          </w:p>
        </w:tc>
        <w:tc>
          <w:tcPr>
            <w:tcW w:w="709" w:type="dxa"/>
          </w:tcPr>
          <w:p w14:paraId="5DCD0668"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−5.36</w:t>
            </w:r>
          </w:p>
        </w:tc>
        <w:tc>
          <w:tcPr>
            <w:tcW w:w="709" w:type="dxa"/>
          </w:tcPr>
          <w:p w14:paraId="1D7B9B9A"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−5.31</w:t>
            </w:r>
          </w:p>
        </w:tc>
        <w:tc>
          <w:tcPr>
            <w:tcW w:w="850" w:type="dxa"/>
          </w:tcPr>
          <w:p w14:paraId="2A0D11ED"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0.296</w:t>
            </w:r>
          </w:p>
        </w:tc>
        <w:tc>
          <w:tcPr>
            <w:tcW w:w="675" w:type="dxa"/>
          </w:tcPr>
          <w:p w14:paraId="527586AA"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5.1%</w:t>
            </w:r>
          </w:p>
        </w:tc>
        <w:tc>
          <w:tcPr>
            <w:tcW w:w="709" w:type="dxa"/>
          </w:tcPr>
          <w:p w14:paraId="01BC123C"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0.21</w:t>
            </w:r>
          </w:p>
        </w:tc>
        <w:tc>
          <w:tcPr>
            <w:tcW w:w="709" w:type="dxa"/>
            <w:gridSpan w:val="2"/>
          </w:tcPr>
          <w:p w14:paraId="27143F8C"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1.1%</w:t>
            </w:r>
          </w:p>
        </w:tc>
        <w:tc>
          <w:tcPr>
            <w:tcW w:w="1134" w:type="dxa"/>
            <w:gridSpan w:val="2"/>
          </w:tcPr>
          <w:p w14:paraId="4ED696BB" w14:textId="77777777" w:rsidR="0032507D" w:rsidRPr="0032507D" w:rsidRDefault="0032507D" w:rsidP="00C13584">
            <w:pPr>
              <w:jc w:val="cente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0.25</w:t>
            </w:r>
          </w:p>
        </w:tc>
        <w:tc>
          <w:tcPr>
            <w:tcW w:w="2160" w:type="dxa"/>
          </w:tcPr>
          <w:p w14:paraId="19616F9C" w14:textId="77777777" w:rsidR="0032507D" w:rsidRPr="0032507D" w:rsidRDefault="0032507D" w:rsidP="00C13584">
            <w:pPr>
              <w:cnfStyle w:val="000000000000" w:firstRow="0" w:lastRow="0" w:firstColumn="0" w:lastColumn="0" w:oddVBand="0" w:evenVBand="0" w:oddHBand="0" w:evenHBand="0" w:firstRowFirstColumn="0" w:firstRowLastColumn="0" w:lastRowFirstColumn="0" w:lastRowLastColumn="0"/>
              <w:rPr>
                <w:sz w:val="20"/>
                <w:lang w:val="en-US"/>
              </w:rPr>
            </w:pPr>
            <w:r w:rsidRPr="0032507D">
              <w:rPr>
                <w:sz w:val="20"/>
                <w:lang w:val="en-US"/>
              </w:rPr>
              <w:t>Marginal improvement</w:t>
            </w:r>
          </w:p>
        </w:tc>
      </w:tr>
    </w:tbl>
    <w:p w14:paraId="7FB2CD4F" w14:textId="77777777" w:rsidR="0032507D" w:rsidRPr="0032507D" w:rsidRDefault="0032507D" w:rsidP="0032507D">
      <w:pPr>
        <w:rPr>
          <w:lang w:val="en-US"/>
        </w:rPr>
      </w:pPr>
      <w:r w:rsidRPr="0032507D">
        <w:rPr>
          <w:b/>
          <w:bCs/>
          <w:sz w:val="20"/>
          <w:lang w:val="en-US"/>
        </w:rPr>
        <w:t>Notes:</w:t>
      </w:r>
      <w:r w:rsidRPr="0032507D">
        <w:rPr>
          <w:sz w:val="20"/>
          <w:lang w:val="en-US"/>
        </w:rPr>
        <w:t xml:space="preserve"> AIC and BIC computed on the estimation window (90%). RMSE computed from one-step-ahead out-of-sample forecasts (10%). VaR exceptions indicate the proportion of returns breaching nominal levels. Kupiec’s (1995) p-values test unconditional coverage. FIGARCH for Tesla did not converge.</w:t>
      </w:r>
    </w:p>
    <w:p w14:paraId="2F8E3366" w14:textId="77777777" w:rsidR="00B0201F" w:rsidRDefault="00B0201F" w:rsidP="0032507D">
      <w:pPr>
        <w:pStyle w:val="Ttulo2"/>
        <w:jc w:val="center"/>
        <w:rPr>
          <w:noProof/>
          <w:lang w:val="en-US"/>
        </w:rPr>
      </w:pPr>
    </w:p>
    <w:p w14:paraId="128879BD" w14:textId="0E0B83D4" w:rsidR="0032507D" w:rsidRPr="0032507D" w:rsidRDefault="0032507D" w:rsidP="0032507D">
      <w:pPr>
        <w:rPr>
          <w:lang w:val="en-US"/>
        </w:rPr>
      </w:pPr>
    </w:p>
    <w:sectPr w:rsidR="0032507D" w:rsidRPr="0032507D">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2B8A3" w14:textId="77777777" w:rsidR="00C40EF9" w:rsidRDefault="00C40EF9" w:rsidP="00FE0E85">
      <w:r>
        <w:separator/>
      </w:r>
    </w:p>
  </w:endnote>
  <w:endnote w:type="continuationSeparator" w:id="0">
    <w:p w14:paraId="14B1E548" w14:textId="77777777" w:rsidR="00C40EF9" w:rsidRDefault="00C40EF9" w:rsidP="00FE0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59A27" w14:textId="6D13FDBF" w:rsidR="00FE0E85" w:rsidRPr="009037E2" w:rsidRDefault="00FE0E85" w:rsidP="00FE0E85">
    <w:pPr>
      <w:pStyle w:val="Piedepgina"/>
      <w:jc w:val="both"/>
      <w:rPr>
        <w:sz w:val="20"/>
        <w:szCs w:val="20"/>
        <w:lang w:val="en-US"/>
      </w:rPr>
    </w:pPr>
    <w:r w:rsidRPr="009037E2">
      <w:rPr>
        <w:rStyle w:val="nfasis"/>
        <w:rFonts w:eastAsiaTheme="majorEastAsia"/>
        <w:sz w:val="20"/>
        <w:szCs w:val="20"/>
        <w:lang w:val="en-US"/>
      </w:rPr>
      <w:t>All data</w:t>
    </w:r>
    <w:r w:rsidR="004368BB">
      <w:rPr>
        <w:rStyle w:val="nfasis"/>
        <w:rFonts w:eastAsiaTheme="majorEastAsia"/>
        <w:sz w:val="20"/>
        <w:szCs w:val="20"/>
        <w:lang w:val="en-US"/>
      </w:rPr>
      <w:t xml:space="preserve"> </w:t>
    </w:r>
    <w:r w:rsidRPr="009037E2">
      <w:rPr>
        <w:rStyle w:val="nfasis"/>
        <w:rFonts w:eastAsiaTheme="majorEastAsia"/>
        <w:sz w:val="20"/>
        <w:szCs w:val="20"/>
        <w:lang w:val="en-US"/>
      </w:rPr>
      <w:t>processing scripts, diagnostics, model estimation routines, figures, and replication instructions used in this paper are openly available in the accompanying replication package at:</w:t>
    </w:r>
    <w:r w:rsidRPr="009037E2">
      <w:rPr>
        <w:sz w:val="20"/>
        <w:szCs w:val="20"/>
        <w:lang w:val="en-US"/>
      </w:rPr>
      <w:t xml:space="preserve"> </w:t>
    </w:r>
  </w:p>
  <w:p w14:paraId="32356B69" w14:textId="30C40B6B" w:rsidR="00FE0E85" w:rsidRPr="009037E2" w:rsidRDefault="00FE0E85" w:rsidP="00FE0E85">
    <w:pPr>
      <w:pStyle w:val="Piedepgina"/>
      <w:jc w:val="both"/>
      <w:rPr>
        <w:sz w:val="20"/>
        <w:szCs w:val="20"/>
        <w:lang w:val="en-US"/>
      </w:rPr>
    </w:pPr>
    <w:r w:rsidRPr="009037E2">
      <w:rPr>
        <w:rStyle w:val="Textoennegrita"/>
        <w:rFonts w:eastAsiaTheme="majorEastAsia"/>
        <w:sz w:val="20"/>
        <w:szCs w:val="20"/>
        <w:lang w:val="en-US"/>
      </w:rPr>
      <w:t>GitHub: https://github.com/</w:t>
    </w:r>
    <w:r w:rsidRPr="009037E2">
      <w:rPr>
        <w:rStyle w:val="Textoennegrita"/>
        <w:sz w:val="20"/>
        <w:szCs w:val="20"/>
        <w:lang w:val="en-US"/>
      </w:rPr>
      <w:t>Pplew</w:t>
    </w:r>
    <w:r w:rsidRPr="009037E2">
      <w:rPr>
        <w:rStyle w:val="Textoennegrita"/>
        <w:rFonts w:eastAsiaTheme="majorEastAsia"/>
        <w:sz w:val="20"/>
        <w:szCs w:val="20"/>
        <w:lang w:val="en-US"/>
      </w:rPr>
      <w:t>/irfa-long-memory-volatility</w:t>
    </w:r>
  </w:p>
  <w:p w14:paraId="70F9E9F5" w14:textId="77777777" w:rsidR="00FE0E85" w:rsidRPr="00FE0E85" w:rsidRDefault="00FE0E85">
    <w:pPr>
      <w:pStyle w:val="Piedepgina"/>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58167" w14:textId="77777777" w:rsidR="00FE0E85" w:rsidRPr="00FE0E85" w:rsidRDefault="00FE0E85">
    <w:pPr>
      <w:pStyle w:val="Piedepgina"/>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370E9" w14:textId="77777777" w:rsidR="00C40EF9" w:rsidRDefault="00C40EF9" w:rsidP="00FE0E85">
      <w:r>
        <w:separator/>
      </w:r>
    </w:p>
  </w:footnote>
  <w:footnote w:type="continuationSeparator" w:id="0">
    <w:p w14:paraId="65070F51" w14:textId="77777777" w:rsidR="00C40EF9" w:rsidRDefault="00C40EF9" w:rsidP="00FE0E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FFB"/>
    <w:multiLevelType w:val="multilevel"/>
    <w:tmpl w:val="5406E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E1392"/>
    <w:multiLevelType w:val="multilevel"/>
    <w:tmpl w:val="E96A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67E41"/>
    <w:multiLevelType w:val="multilevel"/>
    <w:tmpl w:val="A62A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7243B"/>
    <w:multiLevelType w:val="hybridMultilevel"/>
    <w:tmpl w:val="6016BFC4"/>
    <w:lvl w:ilvl="0" w:tplc="040A000F">
      <w:start w:val="1"/>
      <w:numFmt w:val="decimal"/>
      <w:lvlText w:val="%1."/>
      <w:lvlJc w:val="left"/>
      <w:pPr>
        <w:ind w:left="1440" w:hanging="360"/>
      </w:pPr>
    </w:lvl>
    <w:lvl w:ilvl="1" w:tplc="040A0019" w:tentative="1">
      <w:start w:val="1"/>
      <w:numFmt w:val="lowerLetter"/>
      <w:lvlText w:val="%2."/>
      <w:lvlJc w:val="left"/>
      <w:pPr>
        <w:ind w:left="2160" w:hanging="360"/>
      </w:pPr>
    </w:lvl>
    <w:lvl w:ilvl="2" w:tplc="040A001B" w:tentative="1">
      <w:start w:val="1"/>
      <w:numFmt w:val="lowerRoman"/>
      <w:lvlText w:val="%3."/>
      <w:lvlJc w:val="right"/>
      <w:pPr>
        <w:ind w:left="2880" w:hanging="180"/>
      </w:pPr>
    </w:lvl>
    <w:lvl w:ilvl="3" w:tplc="040A000F" w:tentative="1">
      <w:start w:val="1"/>
      <w:numFmt w:val="decimal"/>
      <w:lvlText w:val="%4."/>
      <w:lvlJc w:val="left"/>
      <w:pPr>
        <w:ind w:left="3600" w:hanging="360"/>
      </w:pPr>
    </w:lvl>
    <w:lvl w:ilvl="4" w:tplc="040A0019" w:tentative="1">
      <w:start w:val="1"/>
      <w:numFmt w:val="lowerLetter"/>
      <w:lvlText w:val="%5."/>
      <w:lvlJc w:val="left"/>
      <w:pPr>
        <w:ind w:left="4320" w:hanging="360"/>
      </w:pPr>
    </w:lvl>
    <w:lvl w:ilvl="5" w:tplc="040A001B" w:tentative="1">
      <w:start w:val="1"/>
      <w:numFmt w:val="lowerRoman"/>
      <w:lvlText w:val="%6."/>
      <w:lvlJc w:val="right"/>
      <w:pPr>
        <w:ind w:left="5040" w:hanging="180"/>
      </w:pPr>
    </w:lvl>
    <w:lvl w:ilvl="6" w:tplc="040A000F" w:tentative="1">
      <w:start w:val="1"/>
      <w:numFmt w:val="decimal"/>
      <w:lvlText w:val="%7."/>
      <w:lvlJc w:val="left"/>
      <w:pPr>
        <w:ind w:left="5760" w:hanging="360"/>
      </w:pPr>
    </w:lvl>
    <w:lvl w:ilvl="7" w:tplc="040A0019" w:tentative="1">
      <w:start w:val="1"/>
      <w:numFmt w:val="lowerLetter"/>
      <w:lvlText w:val="%8."/>
      <w:lvlJc w:val="left"/>
      <w:pPr>
        <w:ind w:left="6480" w:hanging="360"/>
      </w:pPr>
    </w:lvl>
    <w:lvl w:ilvl="8" w:tplc="040A001B" w:tentative="1">
      <w:start w:val="1"/>
      <w:numFmt w:val="lowerRoman"/>
      <w:lvlText w:val="%9."/>
      <w:lvlJc w:val="right"/>
      <w:pPr>
        <w:ind w:left="7200" w:hanging="180"/>
      </w:pPr>
    </w:lvl>
  </w:abstractNum>
  <w:abstractNum w:abstractNumId="4" w15:restartNumberingAfterBreak="0">
    <w:nsid w:val="105A008C"/>
    <w:multiLevelType w:val="hybridMultilevel"/>
    <w:tmpl w:val="77A0D98E"/>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13013719"/>
    <w:multiLevelType w:val="multilevel"/>
    <w:tmpl w:val="F93C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765AB"/>
    <w:multiLevelType w:val="multilevel"/>
    <w:tmpl w:val="4614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06759"/>
    <w:multiLevelType w:val="multilevel"/>
    <w:tmpl w:val="F8B0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5B686F"/>
    <w:multiLevelType w:val="multilevel"/>
    <w:tmpl w:val="583C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919EE"/>
    <w:multiLevelType w:val="multilevel"/>
    <w:tmpl w:val="08867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216A64"/>
    <w:multiLevelType w:val="multilevel"/>
    <w:tmpl w:val="738A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533B5"/>
    <w:multiLevelType w:val="multilevel"/>
    <w:tmpl w:val="EDF0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1316E"/>
    <w:multiLevelType w:val="multilevel"/>
    <w:tmpl w:val="F7AC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36821"/>
    <w:multiLevelType w:val="multilevel"/>
    <w:tmpl w:val="F4FCF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FD3511"/>
    <w:multiLevelType w:val="multilevel"/>
    <w:tmpl w:val="F482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96573"/>
    <w:multiLevelType w:val="hybridMultilevel"/>
    <w:tmpl w:val="905A65FE"/>
    <w:lvl w:ilvl="0" w:tplc="040A000F">
      <w:start w:val="8"/>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6" w15:restartNumberingAfterBreak="0">
    <w:nsid w:val="297A7A4F"/>
    <w:multiLevelType w:val="multilevel"/>
    <w:tmpl w:val="19E48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2D2C56"/>
    <w:multiLevelType w:val="multilevel"/>
    <w:tmpl w:val="29C6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05583"/>
    <w:multiLevelType w:val="multilevel"/>
    <w:tmpl w:val="918E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35B36"/>
    <w:multiLevelType w:val="multilevel"/>
    <w:tmpl w:val="F912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8E4876"/>
    <w:multiLevelType w:val="multilevel"/>
    <w:tmpl w:val="581A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5222E4"/>
    <w:multiLevelType w:val="multilevel"/>
    <w:tmpl w:val="953E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EC4C63"/>
    <w:multiLevelType w:val="hybridMultilevel"/>
    <w:tmpl w:val="50E2864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36BE651E"/>
    <w:multiLevelType w:val="multilevel"/>
    <w:tmpl w:val="16A4D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1C52DF"/>
    <w:multiLevelType w:val="hybridMultilevel"/>
    <w:tmpl w:val="E71E220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3EDF4307"/>
    <w:multiLevelType w:val="multilevel"/>
    <w:tmpl w:val="377C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962EB4"/>
    <w:multiLevelType w:val="multilevel"/>
    <w:tmpl w:val="E42E7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E84BB1"/>
    <w:multiLevelType w:val="multilevel"/>
    <w:tmpl w:val="F624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093FB4"/>
    <w:multiLevelType w:val="multilevel"/>
    <w:tmpl w:val="512A2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7D08E8"/>
    <w:multiLevelType w:val="multilevel"/>
    <w:tmpl w:val="CAEA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DB745D"/>
    <w:multiLevelType w:val="hybridMultilevel"/>
    <w:tmpl w:val="E4C01912"/>
    <w:lvl w:ilvl="0" w:tplc="04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1" w15:restartNumberingAfterBreak="0">
    <w:nsid w:val="4F5E12F6"/>
    <w:multiLevelType w:val="multilevel"/>
    <w:tmpl w:val="18AE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BD6011"/>
    <w:multiLevelType w:val="multilevel"/>
    <w:tmpl w:val="60C8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E00263"/>
    <w:multiLevelType w:val="multilevel"/>
    <w:tmpl w:val="5DCE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897AFF"/>
    <w:multiLevelType w:val="hybridMultilevel"/>
    <w:tmpl w:val="626AFC72"/>
    <w:lvl w:ilvl="0" w:tplc="A860DCE8">
      <w:start w:val="8"/>
      <w:numFmt w:val="decimal"/>
      <w:lvlText w:val="%1."/>
      <w:lvlJc w:val="left"/>
      <w:pPr>
        <w:ind w:left="1080" w:hanging="360"/>
      </w:pPr>
      <w:rPr>
        <w:rFonts w:hint="default"/>
        <w:b/>
        <w:sz w:val="36"/>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35" w15:restartNumberingAfterBreak="0">
    <w:nsid w:val="58A570B1"/>
    <w:multiLevelType w:val="multilevel"/>
    <w:tmpl w:val="2B605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76C30"/>
    <w:multiLevelType w:val="multilevel"/>
    <w:tmpl w:val="806E78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FC2F47"/>
    <w:multiLevelType w:val="hybridMultilevel"/>
    <w:tmpl w:val="ED9613D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8" w15:restartNumberingAfterBreak="0">
    <w:nsid w:val="6318699E"/>
    <w:multiLevelType w:val="multilevel"/>
    <w:tmpl w:val="806E7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3E50F9"/>
    <w:multiLevelType w:val="multilevel"/>
    <w:tmpl w:val="3072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DD2253"/>
    <w:multiLevelType w:val="multilevel"/>
    <w:tmpl w:val="E9D64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8846C5"/>
    <w:multiLevelType w:val="multilevel"/>
    <w:tmpl w:val="7A908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B975AC"/>
    <w:multiLevelType w:val="hybridMultilevel"/>
    <w:tmpl w:val="2BCED66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3" w15:restartNumberingAfterBreak="0">
    <w:nsid w:val="7E7D5A2A"/>
    <w:multiLevelType w:val="multilevel"/>
    <w:tmpl w:val="AE2E9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401528">
    <w:abstractNumId w:val="40"/>
  </w:num>
  <w:num w:numId="2" w16cid:durableId="1427771449">
    <w:abstractNumId w:val="23"/>
  </w:num>
  <w:num w:numId="3" w16cid:durableId="1742407570">
    <w:abstractNumId w:val="33"/>
  </w:num>
  <w:num w:numId="4" w16cid:durableId="130446243">
    <w:abstractNumId w:val="16"/>
  </w:num>
  <w:num w:numId="5" w16cid:durableId="1055813744">
    <w:abstractNumId w:val="5"/>
  </w:num>
  <w:num w:numId="6" w16cid:durableId="205533278">
    <w:abstractNumId w:val="43"/>
  </w:num>
  <w:num w:numId="7" w16cid:durableId="1466198138">
    <w:abstractNumId w:val="26"/>
  </w:num>
  <w:num w:numId="8" w16cid:durableId="1851600013">
    <w:abstractNumId w:val="7"/>
  </w:num>
  <w:num w:numId="9" w16cid:durableId="2112427749">
    <w:abstractNumId w:val="41"/>
  </w:num>
  <w:num w:numId="10" w16cid:durableId="1758289649">
    <w:abstractNumId w:val="14"/>
  </w:num>
  <w:num w:numId="11" w16cid:durableId="610283904">
    <w:abstractNumId w:val="25"/>
  </w:num>
  <w:num w:numId="12" w16cid:durableId="1739593358">
    <w:abstractNumId w:val="13"/>
  </w:num>
  <w:num w:numId="13" w16cid:durableId="1157694822">
    <w:abstractNumId w:val="9"/>
  </w:num>
  <w:num w:numId="14" w16cid:durableId="1828132932">
    <w:abstractNumId w:val="1"/>
  </w:num>
  <w:num w:numId="15" w16cid:durableId="1057555977">
    <w:abstractNumId w:val="35"/>
  </w:num>
  <w:num w:numId="16" w16cid:durableId="1626429425">
    <w:abstractNumId w:val="39"/>
  </w:num>
  <w:num w:numId="17" w16cid:durableId="938483980">
    <w:abstractNumId w:val="0"/>
  </w:num>
  <w:num w:numId="18" w16cid:durableId="1103572394">
    <w:abstractNumId w:val="36"/>
  </w:num>
  <w:num w:numId="19" w16cid:durableId="813521342">
    <w:abstractNumId w:val="10"/>
  </w:num>
  <w:num w:numId="20" w16cid:durableId="267736874">
    <w:abstractNumId w:val="12"/>
  </w:num>
  <w:num w:numId="21" w16cid:durableId="1673482478">
    <w:abstractNumId w:val="18"/>
  </w:num>
  <w:num w:numId="22" w16cid:durableId="607083354">
    <w:abstractNumId w:val="21"/>
  </w:num>
  <w:num w:numId="23" w16cid:durableId="2118598346">
    <w:abstractNumId w:val="31"/>
  </w:num>
  <w:num w:numId="24" w16cid:durableId="1557163244">
    <w:abstractNumId w:val="32"/>
  </w:num>
  <w:num w:numId="25" w16cid:durableId="986014557">
    <w:abstractNumId w:val="24"/>
  </w:num>
  <w:num w:numId="26" w16cid:durableId="225264441">
    <w:abstractNumId w:val="22"/>
  </w:num>
  <w:num w:numId="27" w16cid:durableId="1152217052">
    <w:abstractNumId w:val="20"/>
  </w:num>
  <w:num w:numId="28" w16cid:durableId="182480073">
    <w:abstractNumId w:val="28"/>
  </w:num>
  <w:num w:numId="29" w16cid:durableId="1830824743">
    <w:abstractNumId w:val="2"/>
  </w:num>
  <w:num w:numId="30" w16cid:durableId="1471510591">
    <w:abstractNumId w:val="37"/>
  </w:num>
  <w:num w:numId="31" w16cid:durableId="1514413796">
    <w:abstractNumId w:val="17"/>
  </w:num>
  <w:num w:numId="32" w16cid:durableId="1281913131">
    <w:abstractNumId w:val="8"/>
  </w:num>
  <w:num w:numId="33" w16cid:durableId="2013532221">
    <w:abstractNumId w:val="19"/>
  </w:num>
  <w:num w:numId="34" w16cid:durableId="547498229">
    <w:abstractNumId w:val="3"/>
  </w:num>
  <w:num w:numId="35" w16cid:durableId="837112819">
    <w:abstractNumId w:val="30"/>
  </w:num>
  <w:num w:numId="36" w16cid:durableId="135340631">
    <w:abstractNumId w:val="4"/>
  </w:num>
  <w:num w:numId="37" w16cid:durableId="310642337">
    <w:abstractNumId w:val="27"/>
  </w:num>
  <w:num w:numId="38" w16cid:durableId="626812019">
    <w:abstractNumId w:val="11"/>
  </w:num>
  <w:num w:numId="39" w16cid:durableId="1663195630">
    <w:abstractNumId w:val="15"/>
  </w:num>
  <w:num w:numId="40" w16cid:durableId="118499622">
    <w:abstractNumId w:val="34"/>
  </w:num>
  <w:num w:numId="41" w16cid:durableId="2025546845">
    <w:abstractNumId w:val="6"/>
  </w:num>
  <w:num w:numId="42" w16cid:durableId="238755705">
    <w:abstractNumId w:val="38"/>
  </w:num>
  <w:num w:numId="43" w16cid:durableId="9724193">
    <w:abstractNumId w:val="42"/>
  </w:num>
  <w:num w:numId="44" w16cid:durableId="88421497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E38"/>
    <w:rsid w:val="00034953"/>
    <w:rsid w:val="000372BE"/>
    <w:rsid w:val="000672F4"/>
    <w:rsid w:val="00070C93"/>
    <w:rsid w:val="00087470"/>
    <w:rsid w:val="000A0CF3"/>
    <w:rsid w:val="00104CB3"/>
    <w:rsid w:val="00187265"/>
    <w:rsid w:val="001B2FE0"/>
    <w:rsid w:val="001C4F0B"/>
    <w:rsid w:val="001E565E"/>
    <w:rsid w:val="00272BA6"/>
    <w:rsid w:val="002A1470"/>
    <w:rsid w:val="002B770A"/>
    <w:rsid w:val="002F7617"/>
    <w:rsid w:val="00324253"/>
    <w:rsid w:val="0032507D"/>
    <w:rsid w:val="0038068D"/>
    <w:rsid w:val="00380FD5"/>
    <w:rsid w:val="003B2226"/>
    <w:rsid w:val="003B3F14"/>
    <w:rsid w:val="003F575B"/>
    <w:rsid w:val="00406F3C"/>
    <w:rsid w:val="00424BBE"/>
    <w:rsid w:val="00433E6A"/>
    <w:rsid w:val="004368BB"/>
    <w:rsid w:val="00453225"/>
    <w:rsid w:val="0048175E"/>
    <w:rsid w:val="00481FE6"/>
    <w:rsid w:val="004A331F"/>
    <w:rsid w:val="004C272D"/>
    <w:rsid w:val="00502467"/>
    <w:rsid w:val="00544A9C"/>
    <w:rsid w:val="00594904"/>
    <w:rsid w:val="005B5B64"/>
    <w:rsid w:val="005C038B"/>
    <w:rsid w:val="005E477C"/>
    <w:rsid w:val="005F3523"/>
    <w:rsid w:val="00617469"/>
    <w:rsid w:val="00627767"/>
    <w:rsid w:val="00640272"/>
    <w:rsid w:val="00660B9D"/>
    <w:rsid w:val="00680BEB"/>
    <w:rsid w:val="006B24C1"/>
    <w:rsid w:val="006C1D7C"/>
    <w:rsid w:val="006D04AD"/>
    <w:rsid w:val="006E35FA"/>
    <w:rsid w:val="006F7C4A"/>
    <w:rsid w:val="00732487"/>
    <w:rsid w:val="00736FAA"/>
    <w:rsid w:val="00754A41"/>
    <w:rsid w:val="007875D7"/>
    <w:rsid w:val="007A0B37"/>
    <w:rsid w:val="007B3FE5"/>
    <w:rsid w:val="007B6880"/>
    <w:rsid w:val="007D65FC"/>
    <w:rsid w:val="007F64FE"/>
    <w:rsid w:val="00836A2E"/>
    <w:rsid w:val="008952AB"/>
    <w:rsid w:val="00897F69"/>
    <w:rsid w:val="008A0C2B"/>
    <w:rsid w:val="009037E2"/>
    <w:rsid w:val="009A4B64"/>
    <w:rsid w:val="009C0704"/>
    <w:rsid w:val="009C16E3"/>
    <w:rsid w:val="009E0D00"/>
    <w:rsid w:val="00A17F5C"/>
    <w:rsid w:val="00A25E6B"/>
    <w:rsid w:val="00A41583"/>
    <w:rsid w:val="00A45FCC"/>
    <w:rsid w:val="00A71CF6"/>
    <w:rsid w:val="00A86803"/>
    <w:rsid w:val="00A9174E"/>
    <w:rsid w:val="00AA2DDE"/>
    <w:rsid w:val="00AB2DF5"/>
    <w:rsid w:val="00AB6906"/>
    <w:rsid w:val="00AC2B45"/>
    <w:rsid w:val="00B00BAC"/>
    <w:rsid w:val="00B0201F"/>
    <w:rsid w:val="00B129A2"/>
    <w:rsid w:val="00B22F0F"/>
    <w:rsid w:val="00B2616B"/>
    <w:rsid w:val="00B331EF"/>
    <w:rsid w:val="00B366B7"/>
    <w:rsid w:val="00B64388"/>
    <w:rsid w:val="00B849AB"/>
    <w:rsid w:val="00B97561"/>
    <w:rsid w:val="00BB0E7D"/>
    <w:rsid w:val="00BB149F"/>
    <w:rsid w:val="00BD4858"/>
    <w:rsid w:val="00C003A2"/>
    <w:rsid w:val="00C24C28"/>
    <w:rsid w:val="00C26DBD"/>
    <w:rsid w:val="00C40EF9"/>
    <w:rsid w:val="00C50883"/>
    <w:rsid w:val="00C559BB"/>
    <w:rsid w:val="00C613A1"/>
    <w:rsid w:val="00C85BEE"/>
    <w:rsid w:val="00C9731F"/>
    <w:rsid w:val="00CA18F1"/>
    <w:rsid w:val="00CE4DEF"/>
    <w:rsid w:val="00D03EBD"/>
    <w:rsid w:val="00D26AA3"/>
    <w:rsid w:val="00D43F60"/>
    <w:rsid w:val="00DC258F"/>
    <w:rsid w:val="00DC3A2A"/>
    <w:rsid w:val="00DD1249"/>
    <w:rsid w:val="00DD1D57"/>
    <w:rsid w:val="00E1076E"/>
    <w:rsid w:val="00E17119"/>
    <w:rsid w:val="00E17355"/>
    <w:rsid w:val="00E90E38"/>
    <w:rsid w:val="00EB34E3"/>
    <w:rsid w:val="00EB7093"/>
    <w:rsid w:val="00F3249C"/>
    <w:rsid w:val="00FD097C"/>
    <w:rsid w:val="00FD1DDF"/>
    <w:rsid w:val="00FE0E85"/>
    <w:rsid w:val="00FE69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89897"/>
  <w15:chartTrackingRefBased/>
  <w15:docId w15:val="{C85A31F0-8828-384E-8797-C6E46754F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FE0"/>
    <w:rPr>
      <w:rFonts w:ascii="Times New Roman" w:eastAsia="Times New Roman" w:hAnsi="Times New Roman" w:cs="Times New Roman"/>
      <w:kern w:val="0"/>
      <w:lang w:eastAsia="es-ES_tradnl"/>
      <w14:ligatures w14:val="none"/>
    </w:rPr>
  </w:style>
  <w:style w:type="paragraph" w:styleId="Ttulo1">
    <w:name w:val="heading 1"/>
    <w:basedOn w:val="Normal"/>
    <w:next w:val="Normal"/>
    <w:link w:val="Ttulo1Car"/>
    <w:uiPriority w:val="9"/>
    <w:qFormat/>
    <w:rsid w:val="00E90E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90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90E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90E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0E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0E3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0E3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0E3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0E3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0E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90E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90E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90E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0E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0E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0E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0E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0E38"/>
    <w:rPr>
      <w:rFonts w:eastAsiaTheme="majorEastAsia" w:cstheme="majorBidi"/>
      <w:color w:val="272727" w:themeColor="text1" w:themeTint="D8"/>
    </w:rPr>
  </w:style>
  <w:style w:type="paragraph" w:styleId="Ttulo">
    <w:name w:val="Title"/>
    <w:basedOn w:val="Normal"/>
    <w:next w:val="Normal"/>
    <w:link w:val="TtuloCar"/>
    <w:uiPriority w:val="10"/>
    <w:qFormat/>
    <w:rsid w:val="00E90E3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0E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0E3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0E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0E3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90E38"/>
    <w:rPr>
      <w:i/>
      <w:iCs/>
      <w:color w:val="404040" w:themeColor="text1" w:themeTint="BF"/>
    </w:rPr>
  </w:style>
  <w:style w:type="paragraph" w:styleId="Prrafodelista">
    <w:name w:val="List Paragraph"/>
    <w:basedOn w:val="Normal"/>
    <w:uiPriority w:val="34"/>
    <w:qFormat/>
    <w:rsid w:val="00E90E38"/>
    <w:pPr>
      <w:ind w:left="720"/>
      <w:contextualSpacing/>
    </w:pPr>
  </w:style>
  <w:style w:type="character" w:styleId="nfasisintenso">
    <w:name w:val="Intense Emphasis"/>
    <w:basedOn w:val="Fuentedeprrafopredeter"/>
    <w:uiPriority w:val="21"/>
    <w:qFormat/>
    <w:rsid w:val="00E90E38"/>
    <w:rPr>
      <w:i/>
      <w:iCs/>
      <w:color w:val="0F4761" w:themeColor="accent1" w:themeShade="BF"/>
    </w:rPr>
  </w:style>
  <w:style w:type="paragraph" w:styleId="Citadestacada">
    <w:name w:val="Intense Quote"/>
    <w:basedOn w:val="Normal"/>
    <w:next w:val="Normal"/>
    <w:link w:val="CitadestacadaCar"/>
    <w:uiPriority w:val="30"/>
    <w:qFormat/>
    <w:rsid w:val="00E90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0E38"/>
    <w:rPr>
      <w:i/>
      <w:iCs/>
      <w:color w:val="0F4761" w:themeColor="accent1" w:themeShade="BF"/>
    </w:rPr>
  </w:style>
  <w:style w:type="character" w:styleId="Referenciaintensa">
    <w:name w:val="Intense Reference"/>
    <w:basedOn w:val="Fuentedeprrafopredeter"/>
    <w:uiPriority w:val="32"/>
    <w:qFormat/>
    <w:rsid w:val="00E90E38"/>
    <w:rPr>
      <w:b/>
      <w:bCs/>
      <w:smallCaps/>
      <w:color w:val="0F4761" w:themeColor="accent1" w:themeShade="BF"/>
      <w:spacing w:val="5"/>
    </w:rPr>
  </w:style>
  <w:style w:type="character" w:styleId="Textoennegrita">
    <w:name w:val="Strong"/>
    <w:basedOn w:val="Fuentedeprrafopredeter"/>
    <w:uiPriority w:val="22"/>
    <w:qFormat/>
    <w:rsid w:val="00E90E38"/>
    <w:rPr>
      <w:b/>
      <w:bCs/>
    </w:rPr>
  </w:style>
  <w:style w:type="paragraph" w:styleId="NormalWeb">
    <w:name w:val="Normal (Web)"/>
    <w:basedOn w:val="Normal"/>
    <w:uiPriority w:val="99"/>
    <w:unhideWhenUsed/>
    <w:rsid w:val="00E90E38"/>
    <w:pPr>
      <w:spacing w:before="100" w:beforeAutospacing="1" w:after="100" w:afterAutospacing="1"/>
    </w:pPr>
  </w:style>
  <w:style w:type="character" w:styleId="nfasis">
    <w:name w:val="Emphasis"/>
    <w:basedOn w:val="Fuentedeprrafopredeter"/>
    <w:uiPriority w:val="20"/>
    <w:qFormat/>
    <w:rsid w:val="00E90E38"/>
    <w:rPr>
      <w:i/>
      <w:iCs/>
    </w:rPr>
  </w:style>
  <w:style w:type="character" w:styleId="Hipervnculo">
    <w:name w:val="Hyperlink"/>
    <w:basedOn w:val="Fuentedeprrafopredeter"/>
    <w:uiPriority w:val="99"/>
    <w:unhideWhenUsed/>
    <w:rsid w:val="004C272D"/>
    <w:rPr>
      <w:color w:val="467886" w:themeColor="hyperlink"/>
      <w:u w:val="single"/>
    </w:rPr>
  </w:style>
  <w:style w:type="character" w:styleId="Mencinsinresolver">
    <w:name w:val="Unresolved Mention"/>
    <w:basedOn w:val="Fuentedeprrafopredeter"/>
    <w:uiPriority w:val="99"/>
    <w:semiHidden/>
    <w:unhideWhenUsed/>
    <w:rsid w:val="004C272D"/>
    <w:rPr>
      <w:color w:val="605E5C"/>
      <w:shd w:val="clear" w:color="auto" w:fill="E1DFDD"/>
    </w:rPr>
  </w:style>
  <w:style w:type="paragraph" w:styleId="Encabezado">
    <w:name w:val="header"/>
    <w:basedOn w:val="Normal"/>
    <w:link w:val="EncabezadoCar"/>
    <w:uiPriority w:val="99"/>
    <w:unhideWhenUsed/>
    <w:rsid w:val="00FE0E85"/>
    <w:pPr>
      <w:tabs>
        <w:tab w:val="center" w:pos="4252"/>
        <w:tab w:val="right" w:pos="8504"/>
      </w:tabs>
    </w:pPr>
  </w:style>
  <w:style w:type="character" w:customStyle="1" w:styleId="EncabezadoCar">
    <w:name w:val="Encabezado Car"/>
    <w:basedOn w:val="Fuentedeprrafopredeter"/>
    <w:link w:val="Encabezado"/>
    <w:uiPriority w:val="99"/>
    <w:rsid w:val="00FE0E85"/>
  </w:style>
  <w:style w:type="paragraph" w:styleId="Piedepgina">
    <w:name w:val="footer"/>
    <w:basedOn w:val="Normal"/>
    <w:link w:val="PiedepginaCar"/>
    <w:uiPriority w:val="99"/>
    <w:unhideWhenUsed/>
    <w:rsid w:val="00FE0E85"/>
    <w:pPr>
      <w:tabs>
        <w:tab w:val="center" w:pos="4252"/>
        <w:tab w:val="right" w:pos="8504"/>
      </w:tabs>
    </w:pPr>
  </w:style>
  <w:style w:type="character" w:customStyle="1" w:styleId="PiedepginaCar">
    <w:name w:val="Pie de página Car"/>
    <w:basedOn w:val="Fuentedeprrafopredeter"/>
    <w:link w:val="Piedepgina"/>
    <w:uiPriority w:val="99"/>
    <w:rsid w:val="00FE0E85"/>
  </w:style>
  <w:style w:type="character" w:styleId="CdigoHTML">
    <w:name w:val="HTML Code"/>
    <w:basedOn w:val="Fuentedeprrafopredeter"/>
    <w:uiPriority w:val="99"/>
    <w:semiHidden/>
    <w:unhideWhenUsed/>
    <w:rsid w:val="00FE0E85"/>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BB0E7D"/>
    <w:rPr>
      <w:color w:val="96607D" w:themeColor="followedHyperlink"/>
      <w:u w:val="single"/>
    </w:rPr>
  </w:style>
  <w:style w:type="table" w:styleId="Tabladelista6concolores">
    <w:name w:val="List Table 6 Colorful"/>
    <w:basedOn w:val="Tablanormal"/>
    <w:uiPriority w:val="51"/>
    <w:rsid w:val="0032507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5281/zenodo.17771383"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osegamo/irfa-long-memory-volatility"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doi.org/10.5281/zenodo.17771383" TargetMode="External"/><Relationship Id="rId4" Type="http://schemas.openxmlformats.org/officeDocument/2006/relationships/settings" Target="settings.xml"/><Relationship Id="rId9" Type="http://schemas.openxmlformats.org/officeDocument/2006/relationships/hyperlink" Target="https://github.com/Pplew/irfa-long-memory-volatility" TargetMode="External"/><Relationship Id="rId14"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E33018C-3B0E-7D49-B23E-DB2B1D5A71CB}">
  <we:reference id="wa200005826" version="1.9.0.0" store="es-ES" storeType="OMEX"/>
  <we:alternateReferences>
    <we:reference id="wa200005826" version="1.9.0.0" store="wa2000058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6A4A65-564F-604B-8B04-9A2E39780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8907</Words>
  <Characters>56830</Characters>
  <Application>Microsoft Office Word</Application>
  <DocSecurity>0</DocSecurity>
  <Lines>1114</Lines>
  <Paragraphs>509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Gamo</dc:creator>
  <cp:keywords/>
  <dc:description/>
  <cp:lastModifiedBy>Jose Luis Gamo</cp:lastModifiedBy>
  <cp:revision>3</cp:revision>
  <dcterms:created xsi:type="dcterms:W3CDTF">2025-12-08T17:48:00Z</dcterms:created>
  <dcterms:modified xsi:type="dcterms:W3CDTF">2025-12-08T18:36:00Z</dcterms:modified>
</cp:coreProperties>
</file>