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18B74" w14:textId="026F88EC" w:rsidR="00B22055" w:rsidRPr="00B22055" w:rsidRDefault="00B22055" w:rsidP="00B22055">
      <w:pPr>
        <w:pStyle w:val="Ttulo1"/>
        <w:rPr>
          <w:rStyle w:val="Textoennegrita"/>
          <w:rFonts w:ascii="Times New Roman" w:hAnsi="Times New Roman" w:cs="Times New Roman"/>
          <w:b w:val="0"/>
          <w:bCs w:val="0"/>
          <w:lang w:val="en-US"/>
        </w:rPr>
      </w:pPr>
      <w:r w:rsidRPr="00B22055">
        <w:rPr>
          <w:rStyle w:val="Textoennegrita"/>
          <w:rFonts w:ascii="Times New Roman" w:hAnsi="Times New Roman" w:cs="Times New Roman"/>
          <w:b w:val="0"/>
          <w:bCs w:val="0"/>
          <w:lang w:val="en-US"/>
        </w:rPr>
        <w:t>Highlights</w:t>
      </w:r>
    </w:p>
    <w:p w14:paraId="39759831" w14:textId="77777777" w:rsidR="00B22055" w:rsidRPr="00B22055" w:rsidRDefault="00B22055" w:rsidP="00B22055">
      <w:pPr>
        <w:pStyle w:val="NormalWeb"/>
        <w:spacing w:line="480" w:lineRule="auto"/>
        <w:jc w:val="both"/>
        <w:rPr>
          <w:rStyle w:val="Textoennegrita"/>
          <w:rFonts w:eastAsiaTheme="majorEastAsia"/>
          <w:b w:val="0"/>
          <w:bCs w:val="0"/>
          <w:lang w:val="en-US"/>
        </w:rPr>
      </w:pPr>
    </w:p>
    <w:p w14:paraId="65C95DF2" w14:textId="47FFC000" w:rsidR="00B22055" w:rsidRPr="00B22055" w:rsidRDefault="00B22055" w:rsidP="00B22055">
      <w:pPr>
        <w:pStyle w:val="NormalWeb"/>
        <w:spacing w:line="480" w:lineRule="auto"/>
        <w:jc w:val="both"/>
        <w:rPr>
          <w:lang w:val="en-US"/>
        </w:rPr>
      </w:pPr>
      <w:r w:rsidRPr="00B22055">
        <w:rPr>
          <w:rStyle w:val="Textoennegrita"/>
          <w:rFonts w:eastAsiaTheme="majorEastAsia"/>
          <w:b w:val="0"/>
          <w:bCs w:val="0"/>
          <w:lang w:val="en-US"/>
        </w:rPr>
        <w:t>• Volatility shows strong long-memory features, while returns remain short-memory.</w:t>
      </w:r>
      <w:r w:rsidRPr="00B22055">
        <w:rPr>
          <w:lang w:val="en-US"/>
        </w:rPr>
        <w:br/>
      </w:r>
      <w:r w:rsidRPr="00B22055">
        <w:rPr>
          <w:rStyle w:val="Textoennegrita"/>
          <w:rFonts w:eastAsiaTheme="majorEastAsia"/>
          <w:b w:val="0"/>
          <w:bCs w:val="0"/>
          <w:lang w:val="en-US"/>
        </w:rPr>
        <w:t>• FIGARCH matches the multifractal persistence found in variance diagnostics.</w:t>
      </w:r>
      <w:r w:rsidRPr="00B22055">
        <w:rPr>
          <w:lang w:val="en-US"/>
        </w:rPr>
        <w:br/>
      </w:r>
      <w:r w:rsidRPr="00B22055">
        <w:rPr>
          <w:rStyle w:val="Textoennegrita"/>
          <w:rFonts w:eastAsiaTheme="majorEastAsia"/>
          <w:b w:val="0"/>
          <w:bCs w:val="0"/>
          <w:lang w:val="en-US"/>
        </w:rPr>
        <w:t>• FIGARCH improves tail-risk coverage only in markets with stable persistence.</w:t>
      </w:r>
      <w:r w:rsidRPr="00B22055">
        <w:rPr>
          <w:lang w:val="en-US"/>
        </w:rPr>
        <w:br/>
      </w:r>
      <w:r w:rsidRPr="00B22055">
        <w:rPr>
          <w:rStyle w:val="Textoennegrita"/>
          <w:rFonts w:eastAsiaTheme="majorEastAsia"/>
          <w:b w:val="0"/>
          <w:bCs w:val="0"/>
          <w:lang w:val="en-US"/>
        </w:rPr>
        <w:t>• GARCH performs similarly when persistence is weak or volatility shifts regimes.</w:t>
      </w:r>
      <w:r w:rsidRPr="00B22055">
        <w:rPr>
          <w:lang w:val="en-US"/>
        </w:rPr>
        <w:br/>
      </w:r>
      <w:r w:rsidRPr="00B22055">
        <w:rPr>
          <w:rStyle w:val="Textoennegrita"/>
          <w:rFonts w:eastAsiaTheme="majorEastAsia"/>
          <w:b w:val="0"/>
          <w:bCs w:val="0"/>
          <w:lang w:val="en-US"/>
        </w:rPr>
        <w:t>• Fractional integration adds interpretive value but limited forecasting gains.</w:t>
      </w:r>
    </w:p>
    <w:p w14:paraId="07B5F008" w14:textId="77777777" w:rsidR="007F64FE" w:rsidRPr="00B22055" w:rsidRDefault="007F64FE" w:rsidP="00B22055">
      <w:pPr>
        <w:spacing w:line="480" w:lineRule="auto"/>
        <w:jc w:val="both"/>
        <w:rPr>
          <w:lang w:val="en-US"/>
        </w:rPr>
      </w:pPr>
    </w:p>
    <w:sectPr w:rsidR="007F64FE" w:rsidRPr="00B220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055"/>
    <w:rsid w:val="007F64FE"/>
    <w:rsid w:val="00A71CF6"/>
    <w:rsid w:val="00AB2DF5"/>
    <w:rsid w:val="00B22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F4491"/>
  <w15:chartTrackingRefBased/>
  <w15:docId w15:val="{DF09A84F-21C6-9D43-AC34-E4258E100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2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2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2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2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2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20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20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20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20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2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2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2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20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20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20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20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20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20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20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2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20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2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20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20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20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20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2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20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20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205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B220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</Words>
  <Characters>352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Gamo</dc:creator>
  <cp:keywords/>
  <dc:description/>
  <cp:lastModifiedBy>Jose Luis Gamo</cp:lastModifiedBy>
  <cp:revision>1</cp:revision>
  <dcterms:created xsi:type="dcterms:W3CDTF">2025-12-06T12:02:00Z</dcterms:created>
  <dcterms:modified xsi:type="dcterms:W3CDTF">2025-12-06T12:04:00Z</dcterms:modified>
</cp:coreProperties>
</file>