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F356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rStyle w:val="Textoennegrita"/>
          <w:rFonts w:eastAsiaTheme="majorEastAsia"/>
          <w:lang w:val="en-US"/>
        </w:rPr>
        <w:t>Dear Editors,</w:t>
      </w:r>
    </w:p>
    <w:p w14:paraId="243CE344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I am pleased to submit the manuscript </w:t>
      </w:r>
      <w:r w:rsidRPr="00BD016D">
        <w:rPr>
          <w:rStyle w:val="nfasis"/>
          <w:rFonts w:eastAsiaTheme="majorEastAsia"/>
          <w:lang w:val="en-US"/>
        </w:rPr>
        <w:t>“Long-Memory Volatility Modelling: A Comparative Analysis of GARCH and FIGARCH with Multifractal Diagnostics”</w:t>
      </w:r>
      <w:r w:rsidRPr="00BD016D">
        <w:rPr>
          <w:lang w:val="en-US"/>
        </w:rPr>
        <w:t xml:space="preserve"> for consideration in the </w:t>
      </w:r>
      <w:r w:rsidRPr="00BD016D">
        <w:rPr>
          <w:rStyle w:val="nfasis"/>
          <w:rFonts w:eastAsiaTheme="majorEastAsia"/>
          <w:lang w:val="en-US"/>
        </w:rPr>
        <w:t>International Review of Financial Analysis</w:t>
      </w:r>
      <w:r w:rsidRPr="00BD016D">
        <w:rPr>
          <w:lang w:val="en-US"/>
        </w:rPr>
        <w:t>.</w:t>
      </w:r>
    </w:p>
    <w:p w14:paraId="4EE763F2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The paper offers an integrated empirical assessment of long-memory volatility models by combining FIGARCH estimation with multifractal diagnostics. Using daily data for five major asset classes, the study shows that:</w:t>
      </w:r>
    </w:p>
    <w:p w14:paraId="1DF21641" w14:textId="507D0139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 xml:space="preserve">volatility persistence is heterogeneous across markets and strongly aligned with multifractal </w:t>
      </w:r>
      <w:r w:rsidRPr="00BD016D">
        <w:rPr>
          <w:lang w:val="en-US"/>
        </w:rPr>
        <w:t>scaling.</w:t>
      </w:r>
    </w:p>
    <w:p w14:paraId="6B4C7F32" w14:textId="77777777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>FIGARCH achieves materially better tail-risk calibration when long-memory dynamics are structurally stable; and</w:t>
      </w:r>
    </w:p>
    <w:p w14:paraId="70B89B38" w14:textId="77777777" w:rsidR="00BD016D" w:rsidRPr="00BD016D" w:rsidRDefault="00BD016D" w:rsidP="00BD016D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BD016D">
        <w:rPr>
          <w:lang w:val="en-US"/>
        </w:rPr>
        <w:t>the model’s performance deteriorates in the presence of volatility regime shifts, clarifying the boundary between genuine fractional persistence and structural breaks.</w:t>
      </w:r>
    </w:p>
    <w:p w14:paraId="7527AF7F" w14:textId="5B0099C1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These findings contribute to the literature by reconciling parametric FIGARCH estimation with non-parametric multifractal evidence, and by identifying the market conditions under which fractional volatility models provide economically relevant risk assessments. This aligns directly with IRFA’s emphasis on empirical market </w:t>
      </w:r>
      <w:r w:rsidRPr="00BD016D">
        <w:rPr>
          <w:lang w:val="en-US"/>
        </w:rPr>
        <w:t>behavior</w:t>
      </w:r>
      <w:r w:rsidRPr="00BD016D">
        <w:rPr>
          <w:lang w:val="en-US"/>
        </w:rPr>
        <w:t>, risk modelling, and econometric methods.</w:t>
      </w:r>
    </w:p>
    <w:p w14:paraId="0E849A98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All data used in the study are publicly available, and a complete replication package—including scripts, diagnostics, processed datasets, and the full pipeline—is available at:</w:t>
      </w:r>
    </w:p>
    <w:p w14:paraId="102B6BA6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 xml:space="preserve">Zenodo: </w:t>
      </w:r>
      <w:hyperlink r:id="rId5" w:tgtFrame="_new" w:history="1">
        <w:r w:rsidRPr="00BD016D">
          <w:rPr>
            <w:rStyle w:val="Hipervnculo"/>
            <w:rFonts w:eastAsiaTheme="majorEastAsia"/>
            <w:lang w:val="en-US"/>
          </w:rPr>
          <w:t>https://doi.org/10.5281/zenodo.17771383</w:t>
        </w:r>
      </w:hyperlink>
    </w:p>
    <w:p w14:paraId="6CCD7C25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lang w:val="en-US"/>
        </w:rPr>
        <w:t>This manuscript constitutes original work, has not been published previously, and is not under review elsewhere.</w:t>
      </w:r>
    </w:p>
    <w:p w14:paraId="2220842A" w14:textId="77777777" w:rsidR="00BD016D" w:rsidRPr="00BD016D" w:rsidRDefault="00BD016D" w:rsidP="00BD016D">
      <w:pPr>
        <w:pStyle w:val="NormalWeb"/>
        <w:jc w:val="both"/>
        <w:rPr>
          <w:lang w:val="en-US"/>
        </w:rPr>
      </w:pPr>
      <w:r w:rsidRPr="00BD016D">
        <w:rPr>
          <w:rStyle w:val="Textoennegrita"/>
          <w:rFonts w:eastAsiaTheme="majorEastAsia"/>
          <w:lang w:val="en-US"/>
        </w:rPr>
        <w:t>Sincerely,</w:t>
      </w:r>
      <w:r w:rsidRPr="00BD016D">
        <w:rPr>
          <w:lang w:val="en-US"/>
        </w:rPr>
        <w:br/>
        <w:t>José Luis Gamo</w:t>
      </w:r>
    </w:p>
    <w:p w14:paraId="4869360E" w14:textId="77777777" w:rsidR="007F64FE" w:rsidRPr="00BD016D" w:rsidRDefault="007F64FE" w:rsidP="00BD016D">
      <w:pPr>
        <w:jc w:val="both"/>
        <w:rPr>
          <w:lang w:val="en-US"/>
        </w:rPr>
      </w:pPr>
    </w:p>
    <w:sectPr w:rsidR="007F64FE" w:rsidRPr="00BD0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1B0"/>
    <w:multiLevelType w:val="hybridMultilevel"/>
    <w:tmpl w:val="035057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133"/>
    <w:multiLevelType w:val="hybridMultilevel"/>
    <w:tmpl w:val="7034FE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A00D1"/>
    <w:multiLevelType w:val="hybridMultilevel"/>
    <w:tmpl w:val="E2CC39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6142D"/>
    <w:multiLevelType w:val="hybridMultilevel"/>
    <w:tmpl w:val="75C6CB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C54E1"/>
    <w:multiLevelType w:val="hybridMultilevel"/>
    <w:tmpl w:val="F586D2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5129F"/>
    <w:multiLevelType w:val="hybridMultilevel"/>
    <w:tmpl w:val="063A25F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A6B2E"/>
    <w:multiLevelType w:val="hybridMultilevel"/>
    <w:tmpl w:val="25E0537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76C29"/>
    <w:multiLevelType w:val="hybridMultilevel"/>
    <w:tmpl w:val="64D4A3B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547638"/>
    <w:multiLevelType w:val="multilevel"/>
    <w:tmpl w:val="806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62155">
    <w:abstractNumId w:val="0"/>
  </w:num>
  <w:num w:numId="2" w16cid:durableId="1945654322">
    <w:abstractNumId w:val="4"/>
  </w:num>
  <w:num w:numId="3" w16cid:durableId="629743422">
    <w:abstractNumId w:val="5"/>
  </w:num>
  <w:num w:numId="4" w16cid:durableId="159857727">
    <w:abstractNumId w:val="1"/>
  </w:num>
  <w:num w:numId="5" w16cid:durableId="1026753223">
    <w:abstractNumId w:val="6"/>
  </w:num>
  <w:num w:numId="6" w16cid:durableId="7608601">
    <w:abstractNumId w:val="2"/>
  </w:num>
  <w:num w:numId="7" w16cid:durableId="1945723574">
    <w:abstractNumId w:val="3"/>
  </w:num>
  <w:num w:numId="8" w16cid:durableId="1094205639">
    <w:abstractNumId w:val="7"/>
  </w:num>
  <w:num w:numId="9" w16cid:durableId="1645639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24"/>
    <w:rsid w:val="00191474"/>
    <w:rsid w:val="00426D64"/>
    <w:rsid w:val="005E477C"/>
    <w:rsid w:val="006B7724"/>
    <w:rsid w:val="007F64FE"/>
    <w:rsid w:val="00860E19"/>
    <w:rsid w:val="008D16A0"/>
    <w:rsid w:val="00A71CF6"/>
    <w:rsid w:val="00AB2DF5"/>
    <w:rsid w:val="00BD016D"/>
    <w:rsid w:val="00F2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094D"/>
  <w15:chartTrackingRefBased/>
  <w15:docId w15:val="{8634613A-11D6-2746-B100-D53F153A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7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7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7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7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7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7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6B7724"/>
    <w:rPr>
      <w:b/>
      <w:bCs/>
    </w:rPr>
  </w:style>
  <w:style w:type="character" w:styleId="nfasis">
    <w:name w:val="Emphasis"/>
    <w:basedOn w:val="Fuentedeprrafopredeter"/>
    <w:uiPriority w:val="20"/>
    <w:qFormat/>
    <w:rsid w:val="006B772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6D6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F20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77713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3</cp:revision>
  <dcterms:created xsi:type="dcterms:W3CDTF">2025-12-06T12:05:00Z</dcterms:created>
  <dcterms:modified xsi:type="dcterms:W3CDTF">2025-12-06T12:10:00Z</dcterms:modified>
</cp:coreProperties>
</file>