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B1D33"/>
          <w:sz w:val="44"/>
          <w:szCs w:val="44"/>
        </w:rPr>
        <w:t xml:space="preserve">PROJECT SCOPE DOCUMENT</w:t>
      </w:r>
    </w:p>
    <w:p>
      <w:pPr>
        <w:spacing w:after="120"/>
        <w:jc w:val="center"/>
      </w:pPr>
      <w:r>
        <w:rPr>
          <w:rFonts w:ascii="Arial" w:cs="Arial" w:eastAsia="Arial" w:hAnsi="Arial"/>
          <w:color w:val="2E75B6"/>
          <w:sz w:val="36"/>
          <w:szCs w:val="36"/>
        </w:rPr>
        <w:t xml:space="preserve">Triforce</w:t>
      </w:r>
    </w:p>
    <w:p>
      <w:pPr>
        <w:spacing w:after="80"/>
        <w:jc w:val="center"/>
      </w:pPr>
      <w:r>
        <w:rPr>
          <w:rFonts w:ascii="Arial" w:cs="Arial" w:eastAsia="Arial" w:hAnsi="Arial"/>
          <w:color w:val="4A4A4A"/>
          <w:sz w:val="28"/>
          <w:szCs w:val="28"/>
        </w:rPr>
        <w:t xml:space="preserve">Multi-Agent Development Orchestrator</w:t>
      </w:r>
    </w:p>
    <w:p>
      <w:pPr>
        <w:spacing w:before="600"/>
      </w:pPr>
    </w:p>
    <w:p>
      <w:pPr>
        <w:jc w:val="center"/>
      </w:pPr>
      <w:r>
        <w:rPr>
          <w:rFonts w:ascii="Arial" w:cs="Arial" w:eastAsia="Arial" w:hAnsi="Arial"/>
          <w:color w:val="4A4A4A"/>
          <w:sz w:val="22"/>
          <w:szCs w:val="22"/>
        </w:rPr>
        <w:t xml:space="preserve">Version 1.0  •  May 2026</w:t>
      </w:r>
    </w:p>
    <w:p>
      <w:pPr>
        <w:spacing w:after="80"/>
        <w:jc w:val="center"/>
      </w:pPr>
      <w:r>
        <w:rPr>
          <w:rFonts w:ascii="Arial" w:cs="Arial" w:eastAsia="Arial" w:hAnsi="Arial"/>
          <w:color w:val="4A4A4A"/>
          <w:sz w:val="22"/>
          <w:szCs w:val="22"/>
        </w:rPr>
        <w:t xml:space="preserve">Classification: Internal  •  Owner: Peter Pullicino</w:t>
      </w:r>
    </w:p>
    <w:p>
      <w:pPr>
        <w:pBdr>
          <w:top w:val="single" w:color="2E75B6" w:sz="6" w:space="1"/>
        </w:pBdr>
        <w:spacing w:before="1200"/>
        <w:jc w:val="center"/>
      </w:pPr>
    </w:p>
    <w:p>
      <w:pPr>
        <w:spacing w:before="200"/>
        <w:jc w:val="center"/>
      </w:pPr>
      <w:r>
        <w:rPr>
          <w:rFonts w:ascii="Arial" w:cs="Arial" w:eastAsia="Arial" w:hAnsi="Arial"/>
          <w:i/>
          <w:iCs/>
          <w:color w:val="4A4A4A"/>
          <w:sz w:val="20"/>
          <w:szCs w:val="20"/>
        </w:rPr>
        <w:t xml:space="preserve">Target Platforms: macOS, Linux, Windows</w:t>
      </w:r>
    </w:p>
    <w:p>
      <w:pPr>
        <w:spacing w:after="80"/>
        <w:jc w:val="center"/>
      </w:pPr>
      <w:r>
        <w:rPr>
          <w:rFonts w:ascii="Arial" w:cs="Arial" w:eastAsia="Arial" w:hAnsi="Arial"/>
          <w:i/>
          <w:iCs/>
          <w:color w:val="4A4A4A"/>
          <w:sz w:val="20"/>
          <w:szCs w:val="20"/>
        </w:rPr>
        <w:t xml:space="preserve">Phase 0 Target: Weekend of 24–25 May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1D33"/>
          <w:sz w:val="32"/>
          <w:szCs w:val="32"/>
        </w:rPr>
        <w:t xml:space="preserve">1. Product Vision</w:t>
      </w:r>
    </w:p>
    <w:p>
      <w:pPr>
        <w:spacing w:after="160" w:line="276"/>
      </w:pPr>
      <w:r>
        <w:rPr>
          <w:rFonts w:ascii="Arial" w:cs="Arial" w:eastAsia="Arial" w:hAnsi="Arial"/>
          <w:color w:val="4A4A4A"/>
          <w:sz w:val="22"/>
          <w:szCs w:val="22"/>
        </w:rPr>
        <w:t xml:space="preserve">Triforce is a local development orchestrator that coordinates three AI coding agents, each running in its own terminal instance, to collaboratively plan, build, and review software. The user acts as Product Manager: assigning roles, issuing commands, and overseeing output. The agents do the coding.</w:t>
      </w:r>
    </w:p>
    <w:p>
      <w:pPr>
        <w:spacing w:after="80"/>
      </w:pPr>
    </w:p>
    <w:p>
      <w:pPr>
        <w:spacing w:after="160" w:line="276"/>
      </w:pPr>
      <w:r>
        <w:rPr>
          <w:rFonts w:ascii="Arial" w:cs="Arial" w:eastAsia="Arial" w:hAnsi="Arial"/>
          <w:color w:val="4A4A4A"/>
          <w:sz w:val="22"/>
          <w:szCs w:val="22"/>
        </w:rPr>
        <w:t xml:space="preserve">The goal is not to replace the developer but to multiply their effectiveness by establishing a structured pipeline where different models contribute their strengths: one reasons about architecture, another generates code rapidly, and a third reviews and tests the output.</w:t>
      </w:r>
    </w:p>
    <w:p>
      <w:pPr>
        <w:spacing w:after="80"/>
      </w:pPr>
    </w:p>
    <w:p>
      <w:pPr>
        <w:spacing w:after="160" w:line="276"/>
      </w:pPr>
      <w:r>
        <w:rPr>
          <w:rFonts w:ascii="Arial" w:cs="Arial" w:eastAsia="Arial" w:hAnsi="Arial"/>
          <w:color w:val="4A4A4A"/>
          <w:sz w:val="22"/>
          <w:szCs w:val="22"/>
        </w:rPr>
        <w:t xml:space="preserve">Critically, Triforce is also a cost optimisation system. Rather than feeding large, complex prompts to a single expensive model and hoping it handles everything correctly, the workload is divided across models matched to task complexity. Cheap, fast models handle bulk code generation. Mid-tier models review and test. Expensive flagship models are reserved for architectural decisions that genuinely require their reasoning capability. The Supervisor agent doubles as a cost guardian, ensuring the pipeline operates efficiently and that agents are not burning tokens on unnecessary retry loops or over-engineered solutions.</w:t>
      </w:r>
    </w:p>
    <w:p>
      <w:pPr>
        <w:pStyle w:val="Heading1"/>
        <w:spacing w:after="200" w:before="360"/>
      </w:pPr>
      <w:r>
        <w:rPr>
          <w:rFonts w:ascii="Arial" w:cs="Arial" w:eastAsia="Arial" w:hAnsi="Arial"/>
          <w:b/>
          <w:bCs/>
          <w:color w:val="0B1D33"/>
          <w:sz w:val="32"/>
          <w:szCs w:val="32"/>
        </w:rPr>
        <w:t xml:space="preserve">2. Problem Statement</w:t>
      </w:r>
    </w:p>
    <w:p>
      <w:pPr>
        <w:spacing w:after="160" w:line="276"/>
      </w:pPr>
      <w:r>
        <w:rPr>
          <w:rFonts w:ascii="Arial" w:cs="Arial" w:eastAsia="Arial" w:hAnsi="Arial"/>
          <w:color w:val="4A4A4A"/>
          <w:sz w:val="22"/>
          <w:szCs w:val="22"/>
        </w:rPr>
        <w:t xml:space="preserve">When working with a single AI coding assistant, the developer is the bottleneck: they copy-paste code, run commands, interpret errors, and feed corrections back manually. This serial loop is slow and cognitively exhausting. More critically, a single model reviewing its own output suffers from blind-spot bias: it tends to overlook the same types of errors it introduced.</w:t>
      </w:r>
    </w:p>
    <w:p>
      <w:pPr>
        <w:spacing w:after="80"/>
      </w:pPr>
    </w:p>
    <w:p>
      <w:pPr>
        <w:spacing w:after="160" w:line="276"/>
      </w:pPr>
      <w:r>
        <w:rPr>
          <w:rFonts w:ascii="Arial" w:cs="Arial" w:eastAsia="Arial" w:hAnsi="Arial"/>
          <w:color w:val="4A4A4A"/>
          <w:sz w:val="22"/>
          <w:szCs w:val="22"/>
        </w:rPr>
        <w:t xml:space="preserve">There is also a financial problem. Developers commonly default to the most capable (and most expensive) model for every task, regardless of whether the task requires that level of reasoning. A simple utility function does not need a flagship model. A CSS adjustment does not need deep architectural reasoning. Without intelligent task routing, API costs scale linearly with usage rather than with complexity.</w:t>
      </w:r>
    </w:p>
    <w:p>
      <w:pPr>
        <w:spacing w:after="80"/>
      </w:pPr>
    </w:p>
    <w:p>
      <w:pPr>
        <w:spacing w:after="160" w:line="276"/>
      </w:pPr>
      <w:r>
        <w:rPr>
          <w:rFonts w:ascii="Arial" w:cs="Arial" w:eastAsia="Arial" w:hAnsi="Arial"/>
          <w:color w:val="4A4A4A"/>
          <w:sz w:val="22"/>
          <w:szCs w:val="22"/>
        </w:rPr>
        <w:t xml:space="preserve">A multi-agent approach solves both problems. The planning model never sees its own plan as "good enough" because a different model implements it. The implementing model's code gets reviewed by a third party with fresh eyes. And each task is routed to the most cost-appropriate model for its complexity level. The human's role shifts from typist to director, and from credit-burner to resource allocator.</w:t>
      </w:r>
    </w:p>
    <w:p>
      <w:pPr>
        <w:pStyle w:val="Heading1"/>
        <w:spacing w:after="200" w:before="360"/>
      </w:pPr>
      <w:r>
        <w:rPr>
          <w:rFonts w:ascii="Arial" w:cs="Arial" w:eastAsia="Arial" w:hAnsi="Arial"/>
          <w:b/>
          <w:bCs/>
          <w:color w:val="0B1D33"/>
          <w:sz w:val="32"/>
          <w:szCs w:val="32"/>
        </w:rPr>
        <w:t xml:space="preserve">3. Core Features (Priority Order)</w:t>
      </w:r>
    </w:p>
    <w:p>
      <w:pPr>
        <w:spacing w:after="80"/>
      </w:pPr>
    </w:p>
    <w:p>
      <w:pPr>
        <w:pStyle w:val="Heading2"/>
        <w:spacing w:after="160" w:before="280"/>
      </w:pPr>
      <w:r>
        <w:rPr>
          <w:rFonts w:ascii="Arial" w:cs="Arial" w:eastAsia="Arial" w:hAnsi="Arial"/>
          <w:b/>
          <w:bCs/>
          <w:color w:val="2E75B6"/>
          <w:sz w:val="26"/>
          <w:szCs w:val="26"/>
        </w:rPr>
        <w:t xml:space="preserve">3.1 Three AI Agents Working Together</w:t>
      </w:r>
    </w:p>
    <w:p>
      <w:pPr>
        <w:spacing w:after="160" w:line="276"/>
      </w:pPr>
      <w:r>
        <w:rPr>
          <w:rFonts w:ascii="Arial" w:cs="Arial" w:eastAsia="Arial" w:hAnsi="Arial"/>
          <w:color w:val="4A4A4A"/>
          <w:sz w:val="22"/>
          <w:szCs w:val="22"/>
        </w:rPr>
        <w:t xml:space="preserve">The application runs three concurrent AI agent sessions. Each session connects to a real terminal process (shell) and communicates with a model provider's API. The agents can read each other's output, respond to shared context, and execute commands in their respective terminals. The orchestrator manages the data flow between them.</w:t>
      </w:r>
    </w:p>
    <w:p>
      <w:pPr>
        <w:spacing w:after="80"/>
      </w:pPr>
    </w:p>
    <w:p>
      <w:pPr>
        <w:pStyle w:val="Heading2"/>
        <w:spacing w:after="160" w:before="280"/>
      </w:pPr>
      <w:r>
        <w:rPr>
          <w:rFonts w:ascii="Arial" w:cs="Arial" w:eastAsia="Arial" w:hAnsi="Arial"/>
          <w:b/>
          <w:bCs/>
          <w:color w:val="2E75B6"/>
          <w:sz w:val="26"/>
          <w:szCs w:val="26"/>
        </w:rPr>
        <w:t xml:space="preserve">3.2 Role Assignment System</w:t>
      </w:r>
    </w:p>
    <w:p>
      <w:pPr>
        <w:spacing w:after="160" w:line="276"/>
      </w:pPr>
      <w:r>
        <w:rPr>
          <w:rFonts w:ascii="Arial" w:cs="Arial" w:eastAsia="Arial" w:hAnsi="Arial"/>
          <w:color w:val="4A4A4A"/>
          <w:sz w:val="22"/>
          <w:szCs w:val="22"/>
        </w:rPr>
        <w:t xml:space="preserve">Each agent is assigned a role that shapes its system prompt and behaviour. The initial role set is:</w:t>
      </w:r>
    </w:p>
    <w:p>
      <w:pPr>
        <w:pStyle w:val="ListParagraph"/>
        <w:numPr>
          <w:ilvl w:val="0"/>
          <w:numId w:val="2"/>
        </w:numPr>
        <w:spacing w:after="80" w:line="276"/>
      </w:pPr>
      <w:r>
        <w:rPr>
          <w:rFonts w:ascii="Arial" w:cs="Arial" w:eastAsia="Arial" w:hAnsi="Arial"/>
          <w:b/>
          <w:bCs/>
          <w:color w:val="4A4A4A"/>
          <w:sz w:val="22"/>
          <w:szCs w:val="22"/>
        </w:rPr>
        <w:t xml:space="preserve">Supervisor: </w:t>
      </w:r>
      <w:r>
        <w:rPr>
          <w:rFonts w:ascii="Arial" w:cs="Arial" w:eastAsia="Arial" w:hAnsi="Arial"/>
          <w:color w:val="4A4A4A"/>
          <w:sz w:val="22"/>
          <w:szCs w:val="22"/>
        </w:rPr>
        <w:t xml:space="preserve">Reviews plans and code output, enforces standards, makes go/no-go decisions on merging. Monitors token usage and flags inefficient patterns (retry loops, over-engineered solutions, tasks routed to models above their required complexity). Sees all output from other agents.</w:t>
      </w:r>
    </w:p>
    <w:p>
      <w:pPr>
        <w:pStyle w:val="ListParagraph"/>
        <w:numPr>
          <w:ilvl w:val="0"/>
          <w:numId w:val="2"/>
        </w:numPr>
        <w:spacing w:after="80" w:line="276"/>
      </w:pPr>
      <w:r>
        <w:rPr>
          <w:rFonts w:ascii="Arial" w:cs="Arial" w:eastAsia="Arial" w:hAnsi="Arial"/>
          <w:b/>
          <w:bCs/>
          <w:color w:val="4A4A4A"/>
          <w:sz w:val="22"/>
          <w:szCs w:val="22"/>
        </w:rPr>
        <w:t xml:space="preserve">Developer: </w:t>
      </w:r>
      <w:r>
        <w:rPr>
          <w:rFonts w:ascii="Arial" w:cs="Arial" w:eastAsia="Arial" w:hAnsi="Arial"/>
          <w:color w:val="4A4A4A"/>
          <w:sz w:val="22"/>
          <w:szCs w:val="22"/>
        </w:rPr>
        <w:t xml:space="preserve">Receives task specifications, writes code, runs builds, and fixes errors. Primary code producer.</w:t>
      </w:r>
    </w:p>
    <w:p>
      <w:pPr>
        <w:pStyle w:val="ListParagraph"/>
        <w:numPr>
          <w:ilvl w:val="0"/>
          <w:numId w:val="2"/>
        </w:numPr>
        <w:spacing w:after="80" w:line="276"/>
      </w:pPr>
      <w:r>
        <w:rPr>
          <w:rFonts w:ascii="Arial" w:cs="Arial" w:eastAsia="Arial" w:hAnsi="Arial"/>
          <w:b/>
          <w:bCs/>
          <w:color w:val="4A4A4A"/>
          <w:sz w:val="22"/>
          <w:szCs w:val="22"/>
        </w:rPr>
        <w:t xml:space="preserve">Designer: </w:t>
      </w:r>
      <w:r>
        <w:rPr>
          <w:rFonts w:ascii="Arial" w:cs="Arial" w:eastAsia="Arial" w:hAnsi="Arial"/>
          <w:color w:val="4A4A4A"/>
          <w:sz w:val="22"/>
          <w:szCs w:val="22"/>
        </w:rPr>
        <w:t xml:space="preserve">Handles frontend implementation, UI/UX considerations, CSS, component structure, and visual testing.</w:t>
      </w:r>
    </w:p>
    <w:p>
      <w:pPr>
        <w:spacing w:after="80"/>
      </w:pPr>
    </w:p>
    <w:p>
      <w:pPr>
        <w:spacing w:after="160" w:line="276"/>
      </w:pPr>
      <w:r>
        <w:rPr>
          <w:rFonts w:ascii="Arial" w:cs="Arial" w:eastAsia="Arial" w:hAnsi="Arial"/>
          <w:color w:val="4A4A4A"/>
          <w:sz w:val="22"/>
          <w:szCs w:val="22"/>
        </w:rPr>
        <w:t xml:space="preserve">Roles are reassignable at any time during a session. The user can swap which model fills which role without restarting the session. Role assignment changes the system prompt injected into the agent's context.</w:t>
      </w:r>
    </w:p>
    <w:p>
      <w:pPr>
        <w:spacing w:after="80"/>
      </w:pPr>
    </w:p>
    <w:p>
      <w:pPr>
        <w:pStyle w:val="Heading2"/>
        <w:spacing w:after="160" w:before="280"/>
      </w:pPr>
      <w:r>
        <w:rPr>
          <w:rFonts w:ascii="Arial" w:cs="Arial" w:eastAsia="Arial" w:hAnsi="Arial"/>
          <w:b/>
          <w:bCs/>
          <w:color w:val="2E75B6"/>
          <w:sz w:val="26"/>
          <w:szCs w:val="26"/>
        </w:rPr>
        <w:t xml:space="preserve">3.3 Mobile Remote Access</w:t>
      </w:r>
    </w:p>
    <w:p>
      <w:pPr>
        <w:spacing w:after="160" w:line="276"/>
      </w:pPr>
      <w:r>
        <w:rPr>
          <w:rFonts w:ascii="Arial" w:cs="Arial" w:eastAsia="Arial" w:hAnsi="Arial"/>
          <w:color w:val="4A4A4A"/>
          <w:sz w:val="22"/>
          <w:szCs w:val="22"/>
        </w:rPr>
        <w:t xml:space="preserve">The application exposes a local web interface accessible over a Tailscale VPN connection. A companion Android app (or responsive web page in earlier phases) allows the user to view agent output, issue commands, and manage the session from their phone with feature parity to the desktop experience.</w:t>
      </w:r>
    </w:p>
    <w:p>
      <w:pPr>
        <w:spacing w:after="80"/>
      </w:pPr>
    </w:p>
    <w:p>
      <w:pPr>
        <w:pStyle w:val="Heading2"/>
        <w:spacing w:after="160" w:before="280"/>
      </w:pPr>
      <w:r>
        <w:rPr>
          <w:rFonts w:ascii="Arial" w:cs="Arial" w:eastAsia="Arial" w:hAnsi="Arial"/>
          <w:b/>
          <w:bCs/>
          <w:color w:val="2E75B6"/>
          <w:sz w:val="26"/>
          <w:szCs w:val="26"/>
        </w:rPr>
        <w:t xml:space="preserve">3.4 Model Swapping</w:t>
      </w:r>
    </w:p>
    <w:p>
      <w:pPr>
        <w:spacing w:after="160" w:line="276"/>
      </w:pPr>
      <w:r>
        <w:rPr>
          <w:rFonts w:ascii="Arial" w:cs="Arial" w:eastAsia="Arial" w:hAnsi="Arial"/>
          <w:color w:val="4A4A4A"/>
          <w:sz w:val="22"/>
          <w:szCs w:val="22"/>
        </w:rPr>
        <w:t xml:space="preserve">Each agent panel allows the user to select which AI model powers it from a dropdown menu. Supported providers and their current recommended models:</w:t>
      </w:r>
    </w:p>
    <w:p>
      <w:pPr>
        <w:pStyle w:val="ListParagraph"/>
        <w:numPr>
          <w:ilvl w:val="0"/>
          <w:numId w:val="2"/>
        </w:numPr>
        <w:spacing w:after="80" w:line="276"/>
      </w:pPr>
      <w:r>
        <w:rPr>
          <w:rFonts w:ascii="Arial" w:cs="Arial" w:eastAsia="Arial" w:hAnsi="Arial"/>
          <w:b/>
          <w:bCs/>
          <w:color w:val="4A4A4A"/>
          <w:sz w:val="22"/>
          <w:szCs w:val="22"/>
        </w:rPr>
        <w:t xml:space="preserve">Anthropic: </w:t>
      </w:r>
      <w:r>
        <w:rPr>
          <w:rFonts w:ascii="Arial" w:cs="Arial" w:eastAsia="Arial" w:hAnsi="Arial"/>
          <w:color w:val="4A4A4A"/>
          <w:sz w:val="22"/>
          <w:szCs w:val="22"/>
        </w:rPr>
        <w:t xml:space="preserve">claude-sonnet-4-6 (default), claude-opus-4-7, claude-haiku-4-5-20251001</w:t>
      </w:r>
    </w:p>
    <w:p>
      <w:pPr>
        <w:pStyle w:val="ListParagraph"/>
        <w:numPr>
          <w:ilvl w:val="0"/>
          <w:numId w:val="2"/>
        </w:numPr>
        <w:spacing w:after="80" w:line="276"/>
      </w:pPr>
      <w:r>
        <w:rPr>
          <w:rFonts w:ascii="Arial" w:cs="Arial" w:eastAsia="Arial" w:hAnsi="Arial"/>
          <w:b/>
          <w:bCs/>
          <w:color w:val="4A4A4A"/>
          <w:sz w:val="22"/>
          <w:szCs w:val="22"/>
        </w:rPr>
        <w:t xml:space="preserve">Google: </w:t>
      </w:r>
      <w:r>
        <w:rPr>
          <w:rFonts w:ascii="Arial" w:cs="Arial" w:eastAsia="Arial" w:hAnsi="Arial"/>
          <w:color w:val="4A4A4A"/>
          <w:sz w:val="22"/>
          <w:szCs w:val="22"/>
        </w:rPr>
        <w:t xml:space="preserve">gemini-3.5-flash (default), gemini-3.1-pro-preview, gemini-3.1-flash-lite</w:t>
      </w:r>
    </w:p>
    <w:p>
      <w:pPr>
        <w:pStyle w:val="ListParagraph"/>
        <w:numPr>
          <w:ilvl w:val="0"/>
          <w:numId w:val="2"/>
        </w:numPr>
        <w:spacing w:after="80" w:line="276"/>
      </w:pPr>
      <w:r>
        <w:rPr>
          <w:rFonts w:ascii="Arial" w:cs="Arial" w:eastAsia="Arial" w:hAnsi="Arial"/>
          <w:b/>
          <w:bCs/>
          <w:color w:val="4A4A4A"/>
          <w:sz w:val="22"/>
          <w:szCs w:val="22"/>
        </w:rPr>
        <w:t xml:space="preserve">OpenAI: </w:t>
      </w:r>
      <w:r>
        <w:rPr>
          <w:rFonts w:ascii="Arial" w:cs="Arial" w:eastAsia="Arial" w:hAnsi="Arial"/>
          <w:color w:val="4A4A4A"/>
          <w:sz w:val="22"/>
          <w:szCs w:val="22"/>
        </w:rPr>
        <w:t xml:space="preserve">gpt-4o, gpt-4o-mini (model strings to be verified at build time)</w:t>
      </w:r>
    </w:p>
    <w:p>
      <w:pPr>
        <w:spacing w:after="80"/>
      </w:pPr>
    </w:p>
    <w:p>
      <w:pPr>
        <w:spacing w:after="160" w:line="276"/>
      </w:pPr>
      <w:r>
        <w:rPr>
          <w:rFonts w:ascii="Arial" w:cs="Arial" w:eastAsia="Arial" w:hAnsi="Arial"/>
          <w:color w:val="4A4A4A"/>
          <w:sz w:val="22"/>
          <w:szCs w:val="22"/>
        </w:rPr>
        <w:t xml:space="preserve">Model swapping is hot: changing the model mid-session does not destroy context. The existing conversation history is preserved and passed to the new model on its next turn.</w:t>
      </w:r>
    </w:p>
    <w:p>
      <w:pPr>
        <w:pStyle w:val="Heading1"/>
        <w:spacing w:after="200" w:before="360"/>
      </w:pPr>
      <w:r>
        <w:rPr>
          <w:rFonts w:ascii="Arial" w:cs="Arial" w:eastAsia="Arial" w:hAnsi="Arial"/>
          <w:b/>
          <w:bCs/>
          <w:color w:val="0B1D33"/>
          <w:sz w:val="32"/>
          <w:szCs w:val="32"/>
        </w:rPr>
        <w:t xml:space="preserve">4. Workflow Controls</w:t>
      </w:r>
    </w:p>
    <w:p>
      <w:pPr>
        <w:spacing w:after="160" w:line="276"/>
      </w:pPr>
      <w:r>
        <w:rPr>
          <w:rFonts w:ascii="Arial" w:cs="Arial" w:eastAsia="Arial" w:hAnsi="Arial"/>
          <w:color w:val="4A4A4A"/>
          <w:sz w:val="22"/>
          <w:szCs w:val="22"/>
        </w:rPr>
        <w:t xml:space="preserve">The user manages the agent pipeline through simple commands:</w:t>
      </w:r>
    </w:p>
    <w:p>
      <w:pPr>
        <w:pStyle w:val="ListParagraph"/>
        <w:numPr>
          <w:ilvl w:val="0"/>
          <w:numId w:val="2"/>
        </w:numPr>
        <w:spacing w:after="80" w:line="276"/>
      </w:pPr>
      <w:r>
        <w:rPr>
          <w:rFonts w:ascii="Arial" w:cs="Arial" w:eastAsia="Arial" w:hAnsi="Arial"/>
          <w:b/>
          <w:bCs/>
          <w:color w:val="4A4A4A"/>
          <w:sz w:val="22"/>
          <w:szCs w:val="22"/>
        </w:rPr>
        <w:t xml:space="preserve">Go: </w:t>
      </w:r>
      <w:r>
        <w:rPr>
          <w:rFonts w:ascii="Arial" w:cs="Arial" w:eastAsia="Arial" w:hAnsi="Arial"/>
          <w:color w:val="4A4A4A"/>
          <w:sz w:val="22"/>
          <w:szCs w:val="22"/>
        </w:rPr>
        <w:t xml:space="preserve">Starts or resumes the pipeline. The Supervisor receives the task, creates a plan, and hands it to the Developer.</w:t>
      </w:r>
    </w:p>
    <w:p>
      <w:pPr>
        <w:pStyle w:val="ListParagraph"/>
        <w:numPr>
          <w:ilvl w:val="0"/>
          <w:numId w:val="2"/>
        </w:numPr>
        <w:spacing w:after="80" w:line="276"/>
      </w:pPr>
      <w:r>
        <w:rPr>
          <w:rFonts w:ascii="Arial" w:cs="Arial" w:eastAsia="Arial" w:hAnsi="Arial"/>
          <w:b/>
          <w:bCs/>
          <w:color w:val="4A4A4A"/>
          <w:sz w:val="22"/>
          <w:szCs w:val="22"/>
        </w:rPr>
        <w:t xml:space="preserve">Wait/Pause: </w:t>
      </w:r>
      <w:r>
        <w:rPr>
          <w:rFonts w:ascii="Arial" w:cs="Arial" w:eastAsia="Arial" w:hAnsi="Arial"/>
          <w:color w:val="4A4A4A"/>
          <w:sz w:val="22"/>
          <w:szCs w:val="22"/>
        </w:rPr>
        <w:t xml:space="preserve">Halts the pipeline after the current agent finishes its turn. No new instructions are sent until the user resumes.</w:t>
      </w:r>
    </w:p>
    <w:p>
      <w:pPr>
        <w:pStyle w:val="ListParagraph"/>
        <w:numPr>
          <w:ilvl w:val="0"/>
          <w:numId w:val="2"/>
        </w:numPr>
        <w:spacing w:after="80" w:line="276"/>
      </w:pPr>
      <w:r>
        <w:rPr>
          <w:rFonts w:ascii="Arial" w:cs="Arial" w:eastAsia="Arial" w:hAnsi="Arial"/>
          <w:b/>
          <w:bCs/>
          <w:color w:val="4A4A4A"/>
          <w:sz w:val="22"/>
          <w:szCs w:val="22"/>
        </w:rPr>
        <w:t xml:space="preserve">Reassign: </w:t>
      </w:r>
      <w:r>
        <w:rPr>
          <w:rFonts w:ascii="Arial" w:cs="Arial" w:eastAsia="Arial" w:hAnsi="Arial"/>
          <w:color w:val="4A4A4A"/>
          <w:sz w:val="22"/>
          <w:szCs w:val="22"/>
        </w:rPr>
        <w:t xml:space="preserve">Changes which role an agent holds or which model powers it, mid-session.</w:t>
      </w:r>
    </w:p>
    <w:p>
      <w:pPr>
        <w:pStyle w:val="ListParagraph"/>
        <w:numPr>
          <w:ilvl w:val="0"/>
          <w:numId w:val="2"/>
        </w:numPr>
        <w:spacing w:after="80" w:line="276"/>
      </w:pPr>
      <w:r>
        <w:rPr>
          <w:rFonts w:ascii="Arial" w:cs="Arial" w:eastAsia="Arial" w:hAnsi="Arial"/>
          <w:b/>
          <w:bCs/>
          <w:color w:val="4A4A4A"/>
          <w:sz w:val="22"/>
          <w:szCs w:val="22"/>
        </w:rPr>
        <w:t xml:space="preserve">Inject: </w:t>
      </w:r>
      <w:r>
        <w:rPr>
          <w:rFonts w:ascii="Arial" w:cs="Arial" w:eastAsia="Arial" w:hAnsi="Arial"/>
          <w:color w:val="4A4A4A"/>
          <w:sz w:val="22"/>
          <w:szCs w:val="22"/>
        </w:rPr>
        <w:t xml:space="preserve">Allows the user to send a direct message to any specific agent, overriding the pipeline flow (e.g., "Developer, ignore the last instruction and try approach B instead").</w:t>
      </w:r>
    </w:p>
    <w:p>
      <w:pPr>
        <w:pStyle w:val="ListParagraph"/>
        <w:numPr>
          <w:ilvl w:val="0"/>
          <w:numId w:val="2"/>
        </w:numPr>
        <w:spacing w:after="80" w:line="276"/>
      </w:pPr>
      <w:r>
        <w:rPr>
          <w:rFonts w:ascii="Arial" w:cs="Arial" w:eastAsia="Arial" w:hAnsi="Arial"/>
          <w:b/>
          <w:bCs/>
          <w:color w:val="4A4A4A"/>
          <w:sz w:val="22"/>
          <w:szCs w:val="22"/>
        </w:rPr>
        <w:t xml:space="preserve">Kill: </w:t>
      </w:r>
      <w:r>
        <w:rPr>
          <w:rFonts w:ascii="Arial" w:cs="Arial" w:eastAsia="Arial" w:hAnsi="Arial"/>
          <w:color w:val="4A4A4A"/>
          <w:sz w:val="22"/>
          <w:szCs w:val="22"/>
        </w:rPr>
        <w:t xml:space="preserve">Terminates a specific agent's process immediately.</w:t>
      </w:r>
    </w:p>
    <w:p>
      <w:pPr>
        <w:spacing w:after="80"/>
      </w:pPr>
    </w:p>
    <w:p>
      <w:pPr>
        <w:spacing w:after="160" w:line="276"/>
      </w:pPr>
      <w:r>
        <w:rPr>
          <w:rFonts w:ascii="Arial" w:cs="Arial" w:eastAsia="Arial" w:hAnsi="Arial"/>
          <w:color w:val="4A4A4A"/>
          <w:sz w:val="22"/>
          <w:szCs w:val="22"/>
        </w:rPr>
        <w:t xml:space="preserve">These controls are available from both the desktop interface and the mobile companion.</w:t>
      </w:r>
    </w:p>
    <w:p>
      <w:pPr>
        <w:pStyle w:val="Heading1"/>
        <w:spacing w:after="200" w:before="360"/>
      </w:pPr>
      <w:r>
        <w:rPr>
          <w:rFonts w:ascii="Arial" w:cs="Arial" w:eastAsia="Arial" w:hAnsi="Arial"/>
          <w:b/>
          <w:bCs/>
          <w:color w:val="0B1D33"/>
          <w:sz w:val="32"/>
          <w:szCs w:val="32"/>
        </w:rPr>
        <w:t xml:space="preserve">5. Technical Architecture</w:t>
      </w:r>
    </w:p>
    <w:p>
      <w:pPr>
        <w:spacing w:after="80"/>
      </w:pPr>
    </w:p>
    <w:p>
      <w:pPr>
        <w:pStyle w:val="Heading2"/>
        <w:spacing w:after="160" w:before="280"/>
      </w:pPr>
      <w:r>
        <w:rPr>
          <w:rFonts w:ascii="Arial" w:cs="Arial" w:eastAsia="Arial" w:hAnsi="Arial"/>
          <w:b/>
          <w:bCs/>
          <w:color w:val="2E75B6"/>
          <w:sz w:val="26"/>
          <w:szCs w:val="26"/>
        </w:rPr>
        <w:t xml:space="preserve">5.1 Runtime Stack</w:t>
      </w:r>
    </w:p>
    <w:p>
      <w:pPr>
        <w:pStyle w:val="ListParagraph"/>
        <w:numPr>
          <w:ilvl w:val="0"/>
          <w:numId w:val="2"/>
        </w:numPr>
        <w:spacing w:after="80" w:line="276"/>
      </w:pPr>
      <w:r>
        <w:rPr>
          <w:rFonts w:ascii="Arial" w:cs="Arial" w:eastAsia="Arial" w:hAnsi="Arial"/>
          <w:b/>
          <w:bCs/>
          <w:color w:val="4A4A4A"/>
          <w:sz w:val="22"/>
          <w:szCs w:val="22"/>
        </w:rPr>
        <w:t xml:space="preserve">Phase 0–1: </w:t>
      </w:r>
      <w:r>
        <w:rPr>
          <w:rFonts w:ascii="Arial" w:cs="Arial" w:eastAsia="Arial" w:hAnsi="Arial"/>
          <w:color w:val="4A4A4A"/>
          <w:sz w:val="22"/>
          <w:szCs w:val="22"/>
        </w:rPr>
        <w:t xml:space="preserve">Node.js CLI script. No framework. Direct SDK calls to Anthropic, Google GenAI, and OpenAI APIs.</w:t>
      </w:r>
    </w:p>
    <w:p>
      <w:pPr>
        <w:pStyle w:val="ListParagraph"/>
        <w:numPr>
          <w:ilvl w:val="0"/>
          <w:numId w:val="2"/>
        </w:numPr>
        <w:spacing w:after="80" w:line="276"/>
      </w:pPr>
      <w:r>
        <w:rPr>
          <w:rFonts w:ascii="Arial" w:cs="Arial" w:eastAsia="Arial" w:hAnsi="Arial"/>
          <w:b/>
          <w:bCs/>
          <w:color w:val="4A4A4A"/>
          <w:sz w:val="22"/>
          <w:szCs w:val="22"/>
        </w:rPr>
        <w:t xml:space="preserve">Phase 2–3: </w:t>
      </w:r>
      <w:r>
        <w:rPr>
          <w:rFonts w:ascii="Arial" w:cs="Arial" w:eastAsia="Arial" w:hAnsi="Arial"/>
          <w:color w:val="4A4A4A"/>
          <w:sz w:val="22"/>
          <w:szCs w:val="22"/>
        </w:rPr>
        <w:t xml:space="preserve">Express.js local web server with browser-based UI. xterm.js for terminal rendering.</w:t>
      </w:r>
    </w:p>
    <w:p>
      <w:pPr>
        <w:pStyle w:val="ListParagraph"/>
        <w:numPr>
          <w:ilvl w:val="0"/>
          <w:numId w:val="2"/>
        </w:numPr>
        <w:spacing w:after="80" w:line="276"/>
      </w:pPr>
      <w:r>
        <w:rPr>
          <w:rFonts w:ascii="Arial" w:cs="Arial" w:eastAsia="Arial" w:hAnsi="Arial"/>
          <w:b/>
          <w:bCs/>
          <w:color w:val="4A4A4A"/>
          <w:sz w:val="22"/>
          <w:szCs w:val="22"/>
        </w:rPr>
        <w:t xml:space="preserve">Phase 4+: </w:t>
      </w:r>
      <w:r>
        <w:rPr>
          <w:rFonts w:ascii="Arial" w:cs="Arial" w:eastAsia="Arial" w:hAnsi="Arial"/>
          <w:color w:val="4A4A4A"/>
          <w:sz w:val="22"/>
          <w:szCs w:val="22"/>
        </w:rPr>
        <w:t xml:space="preserve">Electron desktop application wrapping the web UI with native terminal emulation via node-pty.</w:t>
      </w:r>
    </w:p>
    <w:p>
      <w:pPr>
        <w:spacing w:after="80"/>
      </w:pPr>
    </w:p>
    <w:p>
      <w:pPr>
        <w:pStyle w:val="Heading2"/>
        <w:spacing w:after="160" w:before="280"/>
      </w:pPr>
      <w:r>
        <w:rPr>
          <w:rFonts w:ascii="Arial" w:cs="Arial" w:eastAsia="Arial" w:hAnsi="Arial"/>
          <w:b/>
          <w:bCs/>
          <w:color w:val="2E75B6"/>
          <w:sz w:val="26"/>
          <w:szCs w:val="26"/>
        </w:rPr>
        <w:t xml:space="preserve">5.2 Agent Abstraction Layer</w:t>
      </w:r>
    </w:p>
    <w:p>
      <w:pPr>
        <w:spacing w:after="160" w:line="276"/>
      </w:pPr>
      <w:r>
        <w:rPr>
          <w:rFonts w:ascii="Arial" w:cs="Arial" w:eastAsia="Arial" w:hAnsi="Arial"/>
          <w:color w:val="4A4A4A"/>
          <w:sz w:val="22"/>
          <w:szCs w:val="22"/>
        </w:rPr>
        <w:t xml:space="preserve">A unified Agent interface normalises the three different provider SDKs into a common contract. Each agent instance exposes the same methods regardless of whether it is backed by Claude, Gemini, or GPT. This abstraction is the single most important engineering decision in the project: it makes model swapping trivial and prevents provider lock-in.</w:t>
      </w:r>
    </w:p>
    <w:p>
      <w:pPr>
        <w:spacing w:after="80"/>
      </w:pPr>
    </w:p>
    <w:p>
      <w:pPr>
        <w:pStyle w:val="Heading2"/>
        <w:spacing w:after="160" w:before="280"/>
      </w:pPr>
      <w:r>
        <w:rPr>
          <w:rFonts w:ascii="Arial" w:cs="Arial" w:eastAsia="Arial" w:hAnsi="Arial"/>
          <w:b/>
          <w:bCs/>
          <w:color w:val="2E75B6"/>
          <w:sz w:val="26"/>
          <w:szCs w:val="26"/>
        </w:rPr>
        <w:t xml:space="preserve">5.3 State Management</w:t>
      </w:r>
    </w:p>
    <w:p>
      <w:pPr>
        <w:spacing w:after="160" w:line="276"/>
      </w:pPr>
      <w:r>
        <w:rPr>
          <w:rFonts w:ascii="Arial" w:cs="Arial" w:eastAsia="Arial" w:hAnsi="Arial"/>
          <w:color w:val="4A4A4A"/>
          <w:sz w:val="22"/>
          <w:szCs w:val="22"/>
        </w:rPr>
        <w:t xml:space="preserve">Session state is persisted to local JSON files. Each session records:</w:t>
      </w:r>
    </w:p>
    <w:p>
      <w:pPr>
        <w:pStyle w:val="ListParagraph"/>
        <w:numPr>
          <w:ilvl w:val="0"/>
          <w:numId w:val="2"/>
        </w:numPr>
        <w:spacing w:after="80" w:line="276"/>
      </w:pPr>
      <w:r>
        <w:rPr>
          <w:rFonts w:ascii="Arial" w:cs="Arial" w:eastAsia="Arial" w:hAnsi="Arial"/>
          <w:color w:val="4A4A4A"/>
          <w:sz w:val="22"/>
          <w:szCs w:val="22"/>
        </w:rPr>
        <w:t xml:space="preserve">Agent configurations (model, role, system prompt)</w:t>
      </w:r>
    </w:p>
    <w:p>
      <w:pPr>
        <w:pStyle w:val="ListParagraph"/>
        <w:numPr>
          <w:ilvl w:val="0"/>
          <w:numId w:val="2"/>
        </w:numPr>
        <w:spacing w:after="80" w:line="276"/>
      </w:pPr>
      <w:r>
        <w:rPr>
          <w:rFonts w:ascii="Arial" w:cs="Arial" w:eastAsia="Arial" w:hAnsi="Arial"/>
          <w:color w:val="4A4A4A"/>
          <w:sz w:val="22"/>
          <w:szCs w:val="22"/>
        </w:rPr>
        <w:t xml:space="preserve">Full conversation history per agent</w:t>
      </w:r>
    </w:p>
    <w:p>
      <w:pPr>
        <w:pStyle w:val="ListParagraph"/>
        <w:numPr>
          <w:ilvl w:val="0"/>
          <w:numId w:val="2"/>
        </w:numPr>
        <w:spacing w:after="80" w:line="276"/>
      </w:pPr>
      <w:r>
        <w:rPr>
          <w:rFonts w:ascii="Arial" w:cs="Arial" w:eastAsia="Arial" w:hAnsi="Arial"/>
          <w:color w:val="4A4A4A"/>
          <w:sz w:val="22"/>
          <w:szCs w:val="22"/>
        </w:rPr>
        <w:t xml:space="preserve">Terminal transcripts (raw output)</w:t>
      </w:r>
    </w:p>
    <w:p>
      <w:pPr>
        <w:pStyle w:val="ListParagraph"/>
        <w:numPr>
          <w:ilvl w:val="0"/>
          <w:numId w:val="2"/>
        </w:numPr>
        <w:spacing w:after="80" w:line="276"/>
      </w:pPr>
      <w:r>
        <w:rPr>
          <w:rFonts w:ascii="Arial" w:cs="Arial" w:eastAsia="Arial" w:hAnsi="Arial"/>
          <w:color w:val="4A4A4A"/>
          <w:sz w:val="22"/>
          <w:szCs w:val="22"/>
        </w:rPr>
        <w:t xml:space="preserve">Pipeline execution state (which stage is active, what is queued)</w:t>
      </w:r>
    </w:p>
    <w:p>
      <w:pPr>
        <w:spacing w:after="80"/>
      </w:pPr>
    </w:p>
    <w:p>
      <w:pPr>
        <w:spacing w:after="160" w:line="276"/>
      </w:pPr>
      <w:r>
        <w:rPr>
          <w:rFonts w:ascii="Arial" w:cs="Arial" w:eastAsia="Arial" w:hAnsi="Arial"/>
          <w:color w:val="4A4A4A"/>
          <w:sz w:val="22"/>
          <w:szCs w:val="22"/>
        </w:rPr>
        <w:t xml:space="preserve">This ensures sessions survive application restarts and can be resumed.</w:t>
      </w:r>
    </w:p>
    <w:p>
      <w:pPr>
        <w:spacing w:after="80"/>
      </w:pPr>
    </w:p>
    <w:p>
      <w:pPr>
        <w:pStyle w:val="Heading2"/>
        <w:spacing w:after="160" w:before="280"/>
      </w:pPr>
      <w:r>
        <w:rPr>
          <w:rFonts w:ascii="Arial" w:cs="Arial" w:eastAsia="Arial" w:hAnsi="Arial"/>
          <w:b/>
          <w:bCs/>
          <w:color w:val="2E75B6"/>
          <w:sz w:val="26"/>
          <w:szCs w:val="26"/>
        </w:rPr>
        <w:t xml:space="preserve">5.4 Platform Strategy</w:t>
      </w:r>
    </w:p>
    <w:p>
      <w:pPr>
        <w:spacing w:after="160" w:line="276"/>
      </w:pPr>
      <w:r>
        <w:rPr>
          <w:rFonts w:ascii="Arial" w:cs="Arial" w:eastAsia="Arial" w:hAnsi="Arial"/>
          <w:color w:val="4A4A4A"/>
          <w:sz w:val="22"/>
          <w:szCs w:val="22"/>
        </w:rPr>
        <w:t xml:space="preserve">The application must run on macOS, Linux, and Windows. Platform-specific code (terminal spawning, path handling) is isolated behind adapters. No PowerShell-only dependencies. No platform-specific build steps in Phase 0–2.</w:t>
      </w:r>
    </w:p>
    <w:p>
      <w:pPr>
        <w:spacing w:after="80"/>
      </w:pPr>
    </w:p>
    <w:p>
      <w:pPr>
        <w:pStyle w:val="Heading2"/>
        <w:spacing w:after="160" w:before="280"/>
      </w:pPr>
      <w:r>
        <w:rPr>
          <w:rFonts w:ascii="Arial" w:cs="Arial" w:eastAsia="Arial" w:hAnsi="Arial"/>
          <w:b/>
          <w:bCs/>
          <w:color w:val="2E75B6"/>
          <w:sz w:val="26"/>
          <w:szCs w:val="26"/>
        </w:rPr>
        <w:t xml:space="preserve">5.5 Cost-Aware Task Routing</w:t>
      </w:r>
    </w:p>
    <w:p>
      <w:pPr>
        <w:spacing w:after="160" w:line="276"/>
      </w:pPr>
      <w:r>
        <w:rPr>
          <w:rFonts w:ascii="Arial" w:cs="Arial" w:eastAsia="Arial" w:hAnsi="Arial"/>
          <w:color w:val="4A4A4A"/>
          <w:sz w:val="22"/>
          <w:szCs w:val="22"/>
        </w:rPr>
        <w:t xml:space="preserve">A core design principle of Triforce is that not every task deserves a flagship model. The system encourages a divide-and-conquer approach to API spend:</w:t>
      </w:r>
    </w:p>
    <w:p>
      <w:pPr>
        <w:pStyle w:val="ListParagraph"/>
        <w:numPr>
          <w:ilvl w:val="0"/>
          <w:numId w:val="2"/>
        </w:numPr>
        <w:spacing w:after="80" w:line="276"/>
      </w:pPr>
      <w:r>
        <w:rPr>
          <w:rFonts w:ascii="Arial" w:cs="Arial" w:eastAsia="Arial" w:hAnsi="Arial"/>
          <w:b/>
          <w:bCs/>
          <w:color w:val="4A4A4A"/>
          <w:sz w:val="22"/>
          <w:szCs w:val="22"/>
        </w:rPr>
        <w:t xml:space="preserve">Architectural planning: </w:t>
      </w:r>
      <w:r>
        <w:rPr>
          <w:rFonts w:ascii="Arial" w:cs="Arial" w:eastAsia="Arial" w:hAnsi="Arial"/>
          <w:color w:val="4A4A4A"/>
          <w:sz w:val="22"/>
          <w:szCs w:val="22"/>
        </w:rPr>
        <w:t xml:space="preserve">Routed to the strongest reasoning model available (e.g., Claude Opus, Gemini Pro). These calls are infrequent but high-value.</w:t>
      </w:r>
    </w:p>
    <w:p>
      <w:pPr>
        <w:pStyle w:val="ListParagraph"/>
        <w:numPr>
          <w:ilvl w:val="0"/>
          <w:numId w:val="2"/>
        </w:numPr>
        <w:spacing w:after="80" w:line="276"/>
      </w:pPr>
      <w:r>
        <w:rPr>
          <w:rFonts w:ascii="Arial" w:cs="Arial" w:eastAsia="Arial" w:hAnsi="Arial"/>
          <w:b/>
          <w:bCs/>
          <w:color w:val="4A4A4A"/>
          <w:sz w:val="22"/>
          <w:szCs w:val="22"/>
        </w:rPr>
        <w:t xml:space="preserve">Bulk code generation: </w:t>
      </w:r>
      <w:r>
        <w:rPr>
          <w:rFonts w:ascii="Arial" w:cs="Arial" w:eastAsia="Arial" w:hAnsi="Arial"/>
          <w:color w:val="4A4A4A"/>
          <w:sz w:val="22"/>
          <w:szCs w:val="22"/>
        </w:rPr>
        <w:t xml:space="preserve">Routed to fast, cost-efficient models (e.g., Gemini Flash, GPT-4o-mini). These calls are frequent and token-heavy, so cost per token matters most.</w:t>
      </w:r>
    </w:p>
    <w:p>
      <w:pPr>
        <w:pStyle w:val="ListParagraph"/>
        <w:numPr>
          <w:ilvl w:val="0"/>
          <w:numId w:val="2"/>
        </w:numPr>
        <w:spacing w:after="80" w:line="276"/>
      </w:pPr>
      <w:r>
        <w:rPr>
          <w:rFonts w:ascii="Arial" w:cs="Arial" w:eastAsia="Arial" w:hAnsi="Arial"/>
          <w:b/>
          <w:bCs/>
          <w:color w:val="4A4A4A"/>
          <w:sz w:val="22"/>
          <w:szCs w:val="22"/>
        </w:rPr>
        <w:t xml:space="preserve">Code review and testing: </w:t>
      </w:r>
      <w:r>
        <w:rPr>
          <w:rFonts w:ascii="Arial" w:cs="Arial" w:eastAsia="Arial" w:hAnsi="Arial"/>
          <w:color w:val="4A4A4A"/>
          <w:sz w:val="22"/>
          <w:szCs w:val="22"/>
        </w:rPr>
        <w:t xml:space="preserve">Routed to a mid-tier model or a different provider than the one that wrote the code, ensuring fresh-eyes review without flagship pricing.</w:t>
      </w:r>
    </w:p>
    <w:p>
      <w:pPr>
        <w:spacing w:after="80"/>
      </w:pPr>
    </w:p>
    <w:p>
      <w:pPr>
        <w:spacing w:after="160" w:line="276"/>
      </w:pPr>
      <w:r>
        <w:rPr>
          <w:rFonts w:ascii="Arial" w:cs="Arial" w:eastAsia="Arial" w:hAnsi="Arial"/>
          <w:color w:val="4A4A4A"/>
          <w:sz w:val="22"/>
          <w:szCs w:val="22"/>
        </w:rPr>
        <w:t xml:space="preserve">The Supervisor agent is responsible for enforcing cost discipline. In later phases, the system will track cumulative token spend per session and per agent, surfacing a running cost estimate in the UI. The goal is to make the user actively aware of their burn rate and to demonstrate that three coordinated cheaper models can outperform one expensive model working alone.</w:t>
      </w:r>
    </w:p>
    <w:p>
      <w:pPr>
        <w:pStyle w:val="Heading1"/>
        <w:spacing w:after="200" w:before="360"/>
      </w:pPr>
      <w:r>
        <w:rPr>
          <w:rFonts w:ascii="Arial" w:cs="Arial" w:eastAsia="Arial" w:hAnsi="Arial"/>
          <w:b/>
          <w:bCs/>
          <w:color w:val="0B1D33"/>
          <w:sz w:val="32"/>
          <w:szCs w:val="32"/>
        </w:rPr>
        <w:t xml:space="preserve">6. Phased Delivery Plan</w:t>
      </w:r>
    </w:p>
    <w:p>
      <w:pPr>
        <w:spacing w:after="80"/>
      </w:pPr>
    </w:p>
    <w:p>
      <w:pPr>
        <w:pStyle w:val="Heading2"/>
        <w:spacing w:after="160" w:before="280"/>
      </w:pPr>
      <w:r>
        <w:rPr>
          <w:rFonts w:ascii="Arial" w:cs="Arial" w:eastAsia="Arial" w:hAnsi="Arial"/>
          <w:b/>
          <w:bCs/>
          <w:color w:val="2E75B6"/>
          <w:sz w:val="26"/>
          <w:szCs w:val="26"/>
        </w:rPr>
        <w:t xml:space="preserve">Phase 0 — Prove the Loop</w:t>
      </w:r>
    </w:p>
    <w:p>
      <w:pPr>
        <w:spacing w:after="160" w:line="276"/>
      </w:pPr>
      <w:r>
        <w:rPr>
          <w:rFonts w:ascii="Arial" w:cs="Arial" w:eastAsia="Arial" w:hAnsi="Arial"/>
          <w:color w:val="4A4A4A"/>
          <w:sz w:val="22"/>
          <w:szCs w:val="22"/>
        </w:rPr>
        <w:t xml:space="preserve">A single Node.js script that executes the core pipeline end-to-end with hardcoded models. No UI. Terminal output only. Validates that all three provider APIs work, that the plan→code→execute→review cycle completes, and that the output is coherent.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P0.1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Project scaffolding: package.json, .env template, dependency installation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npm install succeeds cleanly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P0.2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Architect stage: send task to Claude, receive structured plan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Plan prints to console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P0.3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Developer stage: send plan to Gemini, receive executable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Clean JS code returned (no markdown fences)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P0.4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Sandbox execution: write code to file, execute via child_process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stdout/stderr captured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P0.5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Reviewer stage: send code + output to reviewer model, receive verdict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Pass/Fail report prints to console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P0.6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Model config via .env: all model strings read from environment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Changing .env values changes which models run</w:t>
            </w:r>
          </w:p>
        </w:tc>
      </w:tr>
    </w:tbl>
    <w:p>
      <w:pPr>
        <w:spacing w:after="80"/>
      </w:pPr>
    </w:p>
    <w:p>
      <w:pPr>
        <w:pStyle w:val="Heading2"/>
        <w:spacing w:after="160" w:before="280"/>
      </w:pPr>
      <w:r>
        <w:rPr>
          <w:rFonts w:ascii="Arial" w:cs="Arial" w:eastAsia="Arial" w:hAnsi="Arial"/>
          <w:b/>
          <w:bCs/>
          <w:color w:val="2E75B6"/>
          <w:sz w:val="26"/>
          <w:szCs w:val="26"/>
        </w:rPr>
        <w:t xml:space="preserve">Phase 1 — Agent Abstraction &amp; Model Flexibility</w:t>
      </w:r>
    </w:p>
    <w:p>
      <w:pPr>
        <w:spacing w:after="160" w:line="276"/>
      </w:pPr>
      <w:r>
        <w:rPr>
          <w:rFonts w:ascii="Arial" w:cs="Arial" w:eastAsia="Arial" w:hAnsi="Arial"/>
          <w:color w:val="4A4A4A"/>
          <w:sz w:val="22"/>
          <w:szCs w:val="22"/>
        </w:rPr>
        <w:t xml:space="preserve">Introduce the unified Agent interface. Add OpenAI as a third provider. Allow all three provider models to fill any role. Add basic error handling and retry logic.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Create Agent abstraction layer with common interface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Any model can fill any 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P1.2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Add OpenAI SDK integration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GPT models work in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P1.3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Config file for role→model mapping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JSON config drives assignments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P1.4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Error handling: API failures, rate limits, malformed responses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Graceful failure with clear error 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Cost tracking: log token usage per call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Running cost total displayed after each run</w:t>
            </w:r>
          </w:p>
        </w:tc>
      </w:tr>
    </w:tbl>
    <w:p>
      <w:pPr>
        <w:spacing w:after="80"/>
      </w:pPr>
    </w:p>
    <w:p>
      <w:pPr>
        <w:pStyle w:val="Heading2"/>
        <w:spacing w:after="160" w:before="280"/>
      </w:pPr>
      <w:r>
        <w:rPr>
          <w:rFonts w:ascii="Arial" w:cs="Arial" w:eastAsia="Arial" w:hAnsi="Arial"/>
          <w:b/>
          <w:bCs/>
          <w:color w:val="2E75B6"/>
          <w:sz w:val="26"/>
          <w:szCs w:val="26"/>
        </w:rPr>
        <w:t xml:space="preserve">Phase 2 — Local Web Dashboard</w:t>
      </w:r>
    </w:p>
    <w:p>
      <w:pPr>
        <w:spacing w:after="160" w:line="276"/>
      </w:pPr>
      <w:r>
        <w:rPr>
          <w:rFonts w:ascii="Arial" w:cs="Arial" w:eastAsia="Arial" w:hAnsi="Arial"/>
          <w:color w:val="4A4A4A"/>
          <w:sz w:val="22"/>
          <w:szCs w:val="22"/>
        </w:rPr>
        <w:t xml:space="preserve">Convert the CLI script to an Express server with a browser-based UI. Three output panels, model dropdowns, role assignment controls, and the Go/Wait/Reassign command bar.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P2.1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Express server serving static HTML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localhost:3000 loads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P2.2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Three output panels rendering agent responses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All three agents visible simultaneously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P2.3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Model selection dropdowns per panel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Changing dropdown changes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P2.4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Role assignment UI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Roles assignable and swappable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Pipeline controls: Go, Wait, Inject, Kill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Commands execute from browser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P2.6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Responsive layout for mobile browsers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UI usable on phone-sized screens</w:t>
            </w:r>
          </w:p>
        </w:tc>
      </w:tr>
    </w:tbl>
    <w:p>
      <w:pPr>
        <w:spacing w:after="80"/>
      </w:pPr>
    </w:p>
    <w:p>
      <w:pPr>
        <w:pStyle w:val="Heading2"/>
        <w:spacing w:after="160" w:before="280"/>
      </w:pPr>
      <w:r>
        <w:rPr>
          <w:rFonts w:ascii="Arial" w:cs="Arial" w:eastAsia="Arial" w:hAnsi="Arial"/>
          <w:b/>
          <w:bCs/>
          <w:color w:val="2E75B6"/>
          <w:sz w:val="26"/>
          <w:szCs w:val="26"/>
        </w:rPr>
        <w:t xml:space="preserve">Phase 3 — Live Terminal Integration</w:t>
      </w:r>
    </w:p>
    <w:p>
      <w:pPr>
        <w:spacing w:after="160" w:line="276"/>
      </w:pPr>
      <w:r>
        <w:rPr>
          <w:rFonts w:ascii="Arial" w:cs="Arial" w:eastAsia="Arial" w:hAnsi="Arial"/>
          <w:color w:val="4A4A4A"/>
          <w:sz w:val="22"/>
          <w:szCs w:val="22"/>
        </w:rPr>
        <w:t xml:space="preserve">Replace static output panels with real terminal emulators using xterm.js. Agents execute commands visible in real time. Transcript persistence begins.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P3.1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xterm.js integration for three terminal panels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Live terminal output streams to browser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P3.2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node-pty backend for real shell processes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Agents run real commands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P3.3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Transcript persistence to local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Session history survives restarts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P3.4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Cross-agent context sharing: agents can read each other's output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Supervisor sees Developer's terminal</w:t>
            </w:r>
          </w:p>
        </w:tc>
      </w:tr>
    </w:tbl>
    <w:p>
      <w:pPr>
        <w:spacing w:after="80"/>
      </w:pPr>
    </w:p>
    <w:p>
      <w:pPr>
        <w:pStyle w:val="Heading2"/>
        <w:spacing w:after="160" w:before="280"/>
      </w:pPr>
      <w:r>
        <w:rPr>
          <w:rFonts w:ascii="Arial" w:cs="Arial" w:eastAsia="Arial" w:hAnsi="Arial"/>
          <w:b/>
          <w:bCs/>
          <w:color w:val="2E75B6"/>
          <w:sz w:val="26"/>
          <w:szCs w:val="26"/>
        </w:rPr>
        <w:t xml:space="preserve">Phase 4 — Desktop Application</w:t>
      </w:r>
    </w:p>
    <w:p>
      <w:pPr>
        <w:spacing w:after="160" w:line="276"/>
      </w:pPr>
      <w:r>
        <w:rPr>
          <w:rFonts w:ascii="Arial" w:cs="Arial" w:eastAsia="Arial" w:hAnsi="Arial"/>
          <w:color w:val="4A4A4A"/>
          <w:sz w:val="22"/>
          <w:szCs w:val="22"/>
        </w:rPr>
        <w:t xml:space="preserve">Wrap the web UI in Electron for a native desktop experience. System tray integration, native window management, offline session access.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P4.1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Electron shell with embedded web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Launches as native app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P4.2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System tray with minimize-to-tray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App persists in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P4.3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Native file dialogs for project folder selection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Folder picker works on all platforms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P4.4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Git worktree integration for safe experimentation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Agent work isolated in branches</w:t>
            </w:r>
          </w:p>
        </w:tc>
      </w:tr>
    </w:tbl>
    <w:p>
      <w:pPr>
        <w:spacing w:after="80"/>
      </w:pPr>
    </w:p>
    <w:p>
      <w:pPr>
        <w:pStyle w:val="Heading2"/>
        <w:spacing w:after="160" w:before="280"/>
      </w:pPr>
      <w:r>
        <w:rPr>
          <w:rFonts w:ascii="Arial" w:cs="Arial" w:eastAsia="Arial" w:hAnsi="Arial"/>
          <w:b/>
          <w:bCs/>
          <w:color w:val="2E75B6"/>
          <w:sz w:val="26"/>
          <w:szCs w:val="26"/>
        </w:rPr>
        <w:t xml:space="preserve">Phase 5 — Mobile Remote Access</w:t>
      </w:r>
    </w:p>
    <w:p>
      <w:pPr>
        <w:spacing w:after="160" w:line="276"/>
      </w:pPr>
      <w:r>
        <w:rPr>
          <w:rFonts w:ascii="Arial" w:cs="Arial" w:eastAsia="Arial" w:hAnsi="Arial"/>
          <w:color w:val="4A4A4A"/>
          <w:sz w:val="22"/>
          <w:szCs w:val="22"/>
        </w:rPr>
        <w:t xml:space="preserve">Tailscale-based remote access from phone to the running desktop instance. Responsive web UI as the initial mobile interface.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P5.1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Tailscale connectivity guide and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Phone connects to desktop over VPN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P5.2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Responsive UI verified on mobile browsers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Full functionality on small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P5.3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Session sync: mobile sees live desktop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No stale data on phone</w:t>
            </w:r>
          </w:p>
        </w:tc>
      </w:tr>
    </w:tbl>
    <w:p>
      <w:pPr>
        <w:spacing w:after="80"/>
      </w:pPr>
    </w:p>
    <w:p>
      <w:pPr>
        <w:pStyle w:val="Heading2"/>
        <w:spacing w:after="160" w:before="280"/>
      </w:pPr>
      <w:r>
        <w:rPr>
          <w:rFonts w:ascii="Arial" w:cs="Arial" w:eastAsia="Arial" w:hAnsi="Arial"/>
          <w:b/>
          <w:bCs/>
          <w:color w:val="2E75B6"/>
          <w:sz w:val="26"/>
          <w:szCs w:val="26"/>
        </w:rPr>
        <w:t xml:space="preserve">Phase 6 — Native Android Companion (If Warranted)</w:t>
      </w:r>
    </w:p>
    <w:p>
      <w:pPr>
        <w:spacing w:after="160" w:line="276"/>
      </w:pPr>
      <w:r>
        <w:rPr>
          <w:rFonts w:ascii="Arial" w:cs="Arial" w:eastAsia="Arial" w:hAnsi="Arial"/>
          <w:color w:val="4A4A4A"/>
          <w:sz w:val="22"/>
          <w:szCs w:val="22"/>
        </w:rPr>
        <w:t xml:space="preserve">Build a dedicated Android app only if the web-based mobile experience proves insufficient. This phase is conditional and may be skipped entirely.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P6.1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Android app shell (Flutter or React Native)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App installs and launches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P6.2</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Feature parity with web mobile UI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All controls functional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P6.3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Push notifications for pipeline completion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Phone alerts when agents finish</w:t>
            </w:r>
          </w:p>
        </w:tc>
      </w:tr>
    </w:tbl>
    <w:p>
      <w:pPr>
        <w:pStyle w:val="Heading1"/>
        <w:spacing w:after="200" w:before="360"/>
      </w:pPr>
      <w:r>
        <w:rPr>
          <w:rFonts w:ascii="Arial" w:cs="Arial" w:eastAsia="Arial" w:hAnsi="Arial"/>
          <w:b/>
          <w:bCs/>
          <w:color w:val="0B1D33"/>
          <w:sz w:val="32"/>
          <w:szCs w:val="32"/>
        </w:rPr>
        <w:t xml:space="preserve">7. Scope Boundaries</w:t>
      </w:r>
    </w:p>
    <w:p>
      <w:pPr>
        <w:spacing w:after="80"/>
      </w:pPr>
    </w:p>
    <w:p>
      <w:pPr>
        <w:pStyle w:val="Heading2"/>
        <w:spacing w:after="160" w:before="280"/>
      </w:pPr>
      <w:r>
        <w:rPr>
          <w:rFonts w:ascii="Arial" w:cs="Arial" w:eastAsia="Arial" w:hAnsi="Arial"/>
          <w:b/>
          <w:bCs/>
          <w:color w:val="2E75B6"/>
          <w:sz w:val="26"/>
          <w:szCs w:val="26"/>
        </w:rPr>
        <w:t xml:space="preserve">In Scope</w:t>
      </w:r>
    </w:p>
    <w:p>
      <w:pPr>
        <w:pStyle w:val="ListParagraph"/>
        <w:numPr>
          <w:ilvl w:val="0"/>
          <w:numId w:val="2"/>
        </w:numPr>
        <w:spacing w:after="80" w:line="276"/>
      </w:pPr>
      <w:r>
        <w:rPr>
          <w:rFonts w:ascii="Arial" w:cs="Arial" w:eastAsia="Arial" w:hAnsi="Arial"/>
          <w:color w:val="4A4A4A"/>
          <w:sz w:val="22"/>
          <w:szCs w:val="22"/>
        </w:rPr>
        <w:t xml:space="preserve">Local-only application; all data stays on the user's machine</w:t>
      </w:r>
    </w:p>
    <w:p>
      <w:pPr>
        <w:pStyle w:val="ListParagraph"/>
        <w:numPr>
          <w:ilvl w:val="0"/>
          <w:numId w:val="2"/>
        </w:numPr>
        <w:spacing w:after="80" w:line="276"/>
      </w:pPr>
      <w:r>
        <w:rPr>
          <w:rFonts w:ascii="Arial" w:cs="Arial" w:eastAsia="Arial" w:hAnsi="Arial"/>
          <w:color w:val="4A4A4A"/>
          <w:sz w:val="22"/>
          <w:szCs w:val="22"/>
        </w:rPr>
        <w:t xml:space="preserve">Three concurrent AI agent sessions with configurable models and roles</w:t>
      </w:r>
    </w:p>
    <w:p>
      <w:pPr>
        <w:pStyle w:val="ListParagraph"/>
        <w:numPr>
          <w:ilvl w:val="0"/>
          <w:numId w:val="2"/>
        </w:numPr>
        <w:spacing w:after="80" w:line="276"/>
      </w:pPr>
      <w:r>
        <w:rPr>
          <w:rFonts w:ascii="Arial" w:cs="Arial" w:eastAsia="Arial" w:hAnsi="Arial"/>
          <w:color w:val="4A4A4A"/>
          <w:sz w:val="22"/>
          <w:szCs w:val="22"/>
        </w:rPr>
        <w:t xml:space="preserve">Support for Anthropic, Google, and OpenAI model providers</w:t>
      </w:r>
    </w:p>
    <w:p>
      <w:pPr>
        <w:pStyle w:val="ListParagraph"/>
        <w:numPr>
          <w:ilvl w:val="0"/>
          <w:numId w:val="2"/>
        </w:numPr>
        <w:spacing w:after="80" w:line="276"/>
      </w:pPr>
      <w:r>
        <w:rPr>
          <w:rFonts w:ascii="Arial" w:cs="Arial" w:eastAsia="Arial" w:hAnsi="Arial"/>
          <w:color w:val="4A4A4A"/>
          <w:sz w:val="22"/>
          <w:szCs w:val="22"/>
        </w:rPr>
        <w:t xml:space="preserve">macOS, Linux, and Windows compatibility</w:t>
      </w:r>
    </w:p>
    <w:p>
      <w:pPr>
        <w:pStyle w:val="ListParagraph"/>
        <w:numPr>
          <w:ilvl w:val="0"/>
          <w:numId w:val="2"/>
        </w:numPr>
        <w:spacing w:after="80" w:line="276"/>
      </w:pPr>
      <w:r>
        <w:rPr>
          <w:rFonts w:ascii="Arial" w:cs="Arial" w:eastAsia="Arial" w:hAnsi="Arial"/>
          <w:color w:val="4A4A4A"/>
          <w:sz w:val="22"/>
          <w:szCs w:val="22"/>
        </w:rPr>
        <w:t xml:space="preserve">Mobile access via Tailscale VPN</w:t>
      </w:r>
    </w:p>
    <w:p>
      <w:pPr>
        <w:pStyle w:val="ListParagraph"/>
        <w:numPr>
          <w:ilvl w:val="0"/>
          <w:numId w:val="2"/>
        </w:numPr>
        <w:spacing w:after="80" w:line="276"/>
      </w:pPr>
      <w:r>
        <w:rPr>
          <w:rFonts w:ascii="Arial" w:cs="Arial" w:eastAsia="Arial" w:hAnsi="Arial"/>
          <w:color w:val="4A4A4A"/>
          <w:sz w:val="22"/>
          <w:szCs w:val="22"/>
        </w:rPr>
        <w:t xml:space="preserve">Session persistence and transcript logging</w:t>
      </w:r>
    </w:p>
    <w:p>
      <w:pPr>
        <w:pStyle w:val="ListParagraph"/>
        <w:numPr>
          <w:ilvl w:val="0"/>
          <w:numId w:val="2"/>
        </w:numPr>
        <w:spacing w:after="80" w:line="276"/>
      </w:pPr>
      <w:r>
        <w:rPr>
          <w:rFonts w:ascii="Arial" w:cs="Arial" w:eastAsia="Arial" w:hAnsi="Arial"/>
          <w:color w:val="4A4A4A"/>
          <w:sz w:val="22"/>
          <w:szCs w:val="22"/>
        </w:rPr>
        <w:t xml:space="preserve">Git worktree integration for safe code experimentation</w:t>
      </w:r>
    </w:p>
    <w:p>
      <w:pPr>
        <w:spacing w:after="80"/>
      </w:pPr>
    </w:p>
    <w:p>
      <w:pPr>
        <w:pStyle w:val="Heading2"/>
        <w:spacing w:after="160" w:before="280"/>
      </w:pPr>
      <w:r>
        <w:rPr>
          <w:rFonts w:ascii="Arial" w:cs="Arial" w:eastAsia="Arial" w:hAnsi="Arial"/>
          <w:b/>
          <w:bCs/>
          <w:color w:val="2E75B6"/>
          <w:sz w:val="26"/>
          <w:szCs w:val="26"/>
        </w:rPr>
        <w:t xml:space="preserve">Out of Scope</w:t>
      </w:r>
    </w:p>
    <w:p>
      <w:pPr>
        <w:pStyle w:val="ListParagraph"/>
        <w:numPr>
          <w:ilvl w:val="0"/>
          <w:numId w:val="2"/>
        </w:numPr>
        <w:spacing w:after="80" w:line="276"/>
      </w:pPr>
      <w:r>
        <w:rPr>
          <w:rFonts w:ascii="Arial" w:cs="Arial" w:eastAsia="Arial" w:hAnsi="Arial"/>
          <w:color w:val="4A4A4A"/>
          <w:sz w:val="22"/>
          <w:szCs w:val="22"/>
        </w:rPr>
        <w:t xml:space="preserve">Cloud hosting or multi-user access</w:t>
      </w:r>
    </w:p>
    <w:p>
      <w:pPr>
        <w:pStyle w:val="ListParagraph"/>
        <w:numPr>
          <w:ilvl w:val="0"/>
          <w:numId w:val="2"/>
        </w:numPr>
        <w:spacing w:after="80" w:line="276"/>
      </w:pPr>
      <w:r>
        <w:rPr>
          <w:rFonts w:ascii="Arial" w:cs="Arial" w:eastAsia="Arial" w:hAnsi="Arial"/>
          <w:color w:val="4A4A4A"/>
          <w:sz w:val="22"/>
          <w:szCs w:val="22"/>
        </w:rPr>
        <w:t xml:space="preserve">Commercial distribution or monetisation</w:t>
      </w:r>
    </w:p>
    <w:p>
      <w:pPr>
        <w:pStyle w:val="ListParagraph"/>
        <w:numPr>
          <w:ilvl w:val="0"/>
          <w:numId w:val="2"/>
        </w:numPr>
        <w:spacing w:after="80" w:line="276"/>
      </w:pPr>
      <w:r>
        <w:rPr>
          <w:rFonts w:ascii="Arial" w:cs="Arial" w:eastAsia="Arial" w:hAnsi="Arial"/>
          <w:color w:val="4A4A4A"/>
          <w:sz w:val="22"/>
          <w:szCs w:val="22"/>
        </w:rPr>
        <w:t xml:space="preserve">Models running locally (all models accessed via cloud APIs)</w:t>
      </w:r>
    </w:p>
    <w:p>
      <w:pPr>
        <w:pStyle w:val="ListParagraph"/>
        <w:numPr>
          <w:ilvl w:val="0"/>
          <w:numId w:val="2"/>
        </w:numPr>
        <w:spacing w:after="80" w:line="276"/>
      </w:pPr>
      <w:r>
        <w:rPr>
          <w:rFonts w:ascii="Arial" w:cs="Arial" w:eastAsia="Arial" w:hAnsi="Arial"/>
          <w:color w:val="4A4A4A"/>
          <w:sz w:val="22"/>
          <w:szCs w:val="22"/>
        </w:rPr>
        <w:t xml:space="preserve">More than three concurrent agent panels</w:t>
      </w:r>
    </w:p>
    <w:p>
      <w:pPr>
        <w:pStyle w:val="ListParagraph"/>
        <w:numPr>
          <w:ilvl w:val="0"/>
          <w:numId w:val="2"/>
        </w:numPr>
        <w:spacing w:after="80" w:line="276"/>
      </w:pPr>
      <w:r>
        <w:rPr>
          <w:rFonts w:ascii="Arial" w:cs="Arial" w:eastAsia="Arial" w:hAnsi="Arial"/>
          <w:color w:val="4A4A4A"/>
          <w:sz w:val="22"/>
          <w:szCs w:val="22"/>
        </w:rPr>
        <w:t xml:space="preserve">iOS companion app (Android only if native app is built)</w:t>
      </w:r>
    </w:p>
    <w:p>
      <w:pPr>
        <w:pStyle w:val="ListParagraph"/>
        <w:numPr>
          <w:ilvl w:val="0"/>
          <w:numId w:val="2"/>
        </w:numPr>
        <w:spacing w:after="80" w:line="276"/>
      </w:pPr>
      <w:r>
        <w:rPr>
          <w:rFonts w:ascii="Arial" w:cs="Arial" w:eastAsia="Arial" w:hAnsi="Arial"/>
          <w:color w:val="4A4A4A"/>
          <w:sz w:val="22"/>
          <w:szCs w:val="22"/>
        </w:rPr>
        <w:t xml:space="preserve">Auto-payment or billing management for API providers</w:t>
      </w:r>
    </w:p>
    <w:p>
      <w:pPr>
        <w:pStyle w:val="Heading1"/>
        <w:spacing w:after="200" w:before="360"/>
      </w:pPr>
      <w:r>
        <w:rPr>
          <w:rFonts w:ascii="Arial" w:cs="Arial" w:eastAsia="Arial" w:hAnsi="Arial"/>
          <w:b/>
          <w:bCs/>
          <w:color w:val="0B1D33"/>
          <w:sz w:val="32"/>
          <w:szCs w:val="32"/>
        </w:rPr>
        <w:t xml:space="preserve">8.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API Cost Overruns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Retry loops or verbose models can consume tokens rapidly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Hard spending caps on all provider dashboards; token logging per call; kill switch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Sandbox Execution Safety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AI-generated code is executed on the user's machine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Phase 0–2: toy tasks only; Phase 3+: Git worktree isolation; never run with elevated 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Rate Limiting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Provider rate limits can stall the 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Exponential backoff with max retries; rate-limit status visible in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Cross-Platform PTY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Terminal emulation differs across 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Abstract behind adapter layer; defer node-pty to Phase 3; use child_process.exec() in earlier phases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Scope Creep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Feature additions before core loop is proven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Strict phase gating; no phase begins until prior phase deliverables are verified</w:t>
            </w:r>
          </w:p>
        </w:tc>
      </w:tr>
    </w:tbl>
    <w:p>
      <w:pPr>
        <w:pStyle w:val="Heading1"/>
        <w:spacing w:after="200" w:before="360"/>
      </w:pPr>
      <w:r>
        <w:rPr>
          <w:rFonts w:ascii="Arial" w:cs="Arial" w:eastAsia="Arial" w:hAnsi="Arial"/>
          <w:b/>
          <w:bCs/>
          <w:color w:val="0B1D33"/>
          <w:sz w:val="32"/>
          <w:szCs w:val="32"/>
        </w:rPr>
        <w:t xml:space="preserve">9. Reference: Existing Codebase Analysis</w:t>
      </w:r>
    </w:p>
    <w:p>
      <w:pPr>
        <w:spacing w:after="160" w:line="276"/>
      </w:pPr>
      <w:r>
        <w:rPr>
          <w:rFonts w:ascii="Arial" w:cs="Arial" w:eastAsia="Arial" w:hAnsi="Arial"/>
          <w:color w:val="4A4A4A"/>
          <w:sz w:val="22"/>
          <w:szCs w:val="22"/>
        </w:rPr>
        <w:t xml:space="preserve">A two-agent Electron application ("jamie-mcp") was reviewed as prior art. The codebase is well-structured TypeScript with proper separation of concerns: pty-manager.ts, session-store.ts, diff-engine.ts, worktree-manager.ts, and usage-manager.ts. Key architectural decisions worth adopting conceptually:</w:t>
      </w:r>
    </w:p>
    <w:p>
      <w:pPr>
        <w:pStyle w:val="ListParagraph"/>
        <w:numPr>
          <w:ilvl w:val="0"/>
          <w:numId w:val="2"/>
        </w:numPr>
        <w:spacing w:after="80" w:line="276"/>
      </w:pPr>
      <w:r>
        <w:rPr>
          <w:rFonts w:ascii="Arial" w:cs="Arial" w:eastAsia="Arial" w:hAnsi="Arial"/>
          <w:b/>
          <w:bCs/>
          <w:color w:val="4A4A4A"/>
          <w:sz w:val="22"/>
          <w:szCs w:val="22"/>
        </w:rPr>
        <w:t xml:space="preserve">Dual-destination data routing: </w:t>
      </w:r>
      <w:r>
        <w:rPr>
          <w:rFonts w:ascii="Arial" w:cs="Arial" w:eastAsia="Arial" w:hAnsi="Arial"/>
          <w:color w:val="4A4A4A"/>
          <w:sz w:val="22"/>
          <w:szCs w:val="22"/>
        </w:rPr>
        <w:t xml:space="preserve">Terminal output streams simultaneously to the UI and to persistent storage.</w:t>
      </w:r>
    </w:p>
    <w:p>
      <w:pPr>
        <w:pStyle w:val="ListParagraph"/>
        <w:numPr>
          <w:ilvl w:val="0"/>
          <w:numId w:val="2"/>
        </w:numPr>
        <w:spacing w:after="80" w:line="276"/>
      </w:pPr>
      <w:r>
        <w:rPr>
          <w:rFonts w:ascii="Arial" w:cs="Arial" w:eastAsia="Arial" w:hAnsi="Arial"/>
          <w:b/>
          <w:bCs/>
          <w:color w:val="4A4A4A"/>
          <w:sz w:val="22"/>
          <w:szCs w:val="22"/>
        </w:rPr>
        <w:t xml:space="preserve">Rate-limit monitoring: </w:t>
      </w:r>
      <w:r>
        <w:rPr>
          <w:rFonts w:ascii="Arial" w:cs="Arial" w:eastAsia="Arial" w:hAnsi="Arial"/>
          <w:color w:val="4A4A4A"/>
          <w:sz w:val="22"/>
          <w:szCs w:val="22"/>
        </w:rPr>
        <w:t xml:space="preserve">A bridge reads Claude Code's status line data and surfaces usage percentages.</w:t>
      </w:r>
    </w:p>
    <w:p>
      <w:pPr>
        <w:pStyle w:val="ListParagraph"/>
        <w:numPr>
          <w:ilvl w:val="0"/>
          <w:numId w:val="2"/>
        </w:numPr>
        <w:spacing w:after="80" w:line="276"/>
      </w:pPr>
      <w:r>
        <w:rPr>
          <w:rFonts w:ascii="Arial" w:cs="Arial" w:eastAsia="Arial" w:hAnsi="Arial"/>
          <w:b/>
          <w:bCs/>
          <w:color w:val="4A4A4A"/>
          <w:sz w:val="22"/>
          <w:szCs w:val="22"/>
        </w:rPr>
        <w:t xml:space="preserve">Git worktree isolation: </w:t>
      </w:r>
      <w:r>
        <w:rPr>
          <w:rFonts w:ascii="Arial" w:cs="Arial" w:eastAsia="Arial" w:hAnsi="Arial"/>
          <w:color w:val="4A4A4A"/>
          <w:sz w:val="22"/>
          <w:szCs w:val="22"/>
        </w:rPr>
        <w:t xml:space="preserve">Agent work happens in disposable worktrees that can be discarded cleanly.</w:t>
      </w:r>
    </w:p>
    <w:p>
      <w:pPr>
        <w:spacing w:after="80"/>
      </w:pPr>
    </w:p>
    <w:p>
      <w:pPr>
        <w:spacing w:after="160" w:line="276"/>
      </w:pPr>
      <w:r>
        <w:rPr>
          <w:rFonts w:ascii="Arial" w:cs="Arial" w:eastAsia="Arial" w:hAnsi="Arial"/>
          <w:color w:val="4A4A4A"/>
          <w:sz w:val="22"/>
          <w:szCs w:val="22"/>
        </w:rPr>
        <w:t xml:space="preserve">Decision: Rebuild from scratch rather than fork. The existing codebase is Windows-first (PowerShell dependencies), tightly coupled to Electron's IPC system, and designed for two agents. Extending it to three agents with cross-platform support and model swapping would require reworking most core modules. A clean build allows us to design the Agent abstraction layer correctly from the start.</w:t>
      </w:r>
    </w:p>
    <w:p>
      <w:pPr>
        <w:pStyle w:val="Heading1"/>
        <w:spacing w:after="200" w:before="360"/>
      </w:pPr>
      <w:r>
        <w:rPr>
          <w:rFonts w:ascii="Arial" w:cs="Arial" w:eastAsia="Arial" w:hAnsi="Arial"/>
          <w:b/>
          <w:bCs/>
          <w:color w:val="0B1D33"/>
          <w:sz w:val="32"/>
          <w:szCs w:val="32"/>
        </w:rPr>
        <w:t xml:space="preserve">10. Approval &amp; Next Steps</w:t>
      </w:r>
    </w:p>
    <w:p>
      <w:pPr>
        <w:spacing w:after="160" w:line="276"/>
      </w:pPr>
      <w:r>
        <w:rPr>
          <w:rFonts w:ascii="Arial" w:cs="Arial" w:eastAsia="Arial" w:hAnsi="Arial"/>
          <w:color w:val="4A4A4A"/>
          <w:sz w:val="22"/>
          <w:szCs w:val="22"/>
        </w:rPr>
        <w:t xml:space="preserve">This document defines the complete scope for the Triforce project. Phase 0 is approved for immediate execution (target: weekend of 24–25 May 2026). Subsequent phases require supervisor review of the prior phase's deliverables before proceeding.</w:t>
      </w:r>
    </w:p>
    <w:p>
      <w:pPr>
        <w:spacing w:after="80"/>
      </w:pPr>
    </w:p>
    <w:p>
      <w:pPr>
        <w:spacing w:after="160" w:line="276"/>
      </w:pPr>
      <w:r>
        <w:rPr>
          <w:rFonts w:ascii="Arial" w:cs="Arial" w:eastAsia="Arial" w:hAnsi="Arial"/>
          <w:color w:val="4A4A4A"/>
          <w:sz w:val="22"/>
          <w:szCs w:val="22"/>
        </w:rPr>
        <w:t xml:space="preserve">Immediate actions:</w:t>
      </w:r>
    </w:p>
    <w:p>
      <w:pPr>
        <w:pStyle w:val="ListParagraph"/>
        <w:numPr>
          <w:ilvl w:val="0"/>
          <w:numId w:val="2"/>
        </w:numPr>
        <w:spacing w:after="80" w:line="276"/>
      </w:pPr>
      <w:r>
        <w:rPr>
          <w:rFonts w:ascii="Arial" w:cs="Arial" w:eastAsia="Arial" w:hAnsi="Arial"/>
          <w:color w:val="4A4A4A"/>
          <w:sz w:val="22"/>
          <w:szCs w:val="22"/>
        </w:rPr>
        <w:t xml:space="preserve">Set spending caps on Anthropic, Google, and OpenAI API dashboards ($5 each for Phase 0)</w:t>
      </w:r>
    </w:p>
    <w:p>
      <w:pPr>
        <w:pStyle w:val="ListParagraph"/>
        <w:numPr>
          <w:ilvl w:val="0"/>
          <w:numId w:val="2"/>
        </w:numPr>
        <w:spacing w:after="80" w:line="276"/>
      </w:pPr>
      <w:r>
        <w:rPr>
          <w:rFonts w:ascii="Arial" w:cs="Arial" w:eastAsia="Arial" w:hAnsi="Arial"/>
          <w:color w:val="4A4A4A"/>
          <w:sz w:val="22"/>
          <w:szCs w:val="22"/>
        </w:rPr>
        <w:t xml:space="preserve">Create the triforce-phase-zero project directory</w:t>
      </w:r>
    </w:p>
    <w:p>
      <w:pPr>
        <w:pStyle w:val="ListParagraph"/>
        <w:numPr>
          <w:ilvl w:val="0"/>
          <w:numId w:val="2"/>
        </w:numPr>
        <w:spacing w:after="80" w:line="276"/>
      </w:pPr>
      <w:r>
        <w:rPr>
          <w:rFonts w:ascii="Arial" w:cs="Arial" w:eastAsia="Arial" w:hAnsi="Arial"/>
          <w:color w:val="4A4A4A"/>
          <w:sz w:val="22"/>
          <w:szCs w:val="22"/>
        </w:rPr>
        <w:t xml:space="preserve">Execute the Phase 0 hand-off prompt with corrected model strings</w:t>
      </w:r>
    </w:p>
    <w:p>
      <w:pPr>
        <w:pStyle w:val="ListParagraph"/>
        <w:numPr>
          <w:ilvl w:val="0"/>
          <w:numId w:val="2"/>
        </w:numPr>
        <w:spacing w:after="80" w:line="276"/>
      </w:pPr>
      <w:r>
        <w:rPr>
          <w:rFonts w:ascii="Arial" w:cs="Arial" w:eastAsia="Arial" w:hAnsi="Arial"/>
          <w:color w:val="4A4A4A"/>
          <w:sz w:val="22"/>
          <w:szCs w:val="22"/>
        </w:rPr>
        <w:t xml:space="preserve">Deliver terminal output showing all four pipeline stages completing successfully</w:t>
      </w:r>
    </w:p>
    <w:p>
      <w:pPr>
        <w:spacing w:after="80"/>
      </w:pPr>
    </w:p>
    <w:p>
      <w:pPr>
        <w:spacing w:after="80"/>
      </w:pPr>
    </w:p>
    <w:p>
      <w:pPr>
        <w:pBdr>
          <w:top w:val="single" w:color="2E75B6" w:sz="6" w:space="1"/>
        </w:pBdr>
        <w:spacing w:before="600"/>
      </w:pPr>
    </w:p>
    <w:p>
      <w:pPr>
        <w:spacing w:before="200"/>
      </w:pPr>
      <w:r>
        <w:rPr>
          <w:rFonts w:ascii="Arial" w:cs="Arial" w:eastAsia="Arial" w:hAnsi="Arial"/>
          <w:color w:val="4A4A4A"/>
          <w:sz w:val="22"/>
          <w:szCs w:val="22"/>
        </w:rPr>
        <w:t xml:space="preserve">Prepared by: </w:t>
      </w:r>
      <w:r>
        <w:rPr>
          <w:rFonts w:ascii="Arial" w:cs="Arial" w:eastAsia="Arial" w:hAnsi="Arial"/>
          <w:b/>
          <w:bCs/>
          <w:color w:val="4A4A4A"/>
          <w:sz w:val="22"/>
          <w:szCs w:val="22"/>
        </w:rPr>
        <w:t xml:space="preserve">Claude (Supervisor)</w:t>
      </w:r>
    </w:p>
    <w:p>
      <w:r>
        <w:rPr>
          <w:rFonts w:ascii="Arial" w:cs="Arial" w:eastAsia="Arial" w:hAnsi="Arial"/>
          <w:color w:val="4A4A4A"/>
          <w:sz w:val="22"/>
          <w:szCs w:val="22"/>
        </w:rPr>
        <w:t xml:space="preserve">For: </w:t>
      </w:r>
      <w:r>
        <w:rPr>
          <w:rFonts w:ascii="Arial" w:cs="Arial" w:eastAsia="Arial" w:hAnsi="Arial"/>
          <w:b/>
          <w:bCs/>
          <w:color w:val="4A4A4A"/>
          <w:sz w:val="22"/>
          <w:szCs w:val="22"/>
        </w:rPr>
        <w:t xml:space="preserve">Peter Pullicino (Product Manager)</w:t>
      </w:r>
    </w:p>
    <w:p>
      <w:r>
        <w:rPr>
          <w:rFonts w:ascii="Arial" w:cs="Arial" w:eastAsia="Arial" w:hAnsi="Arial"/>
          <w:color w:val="4A4A4A"/>
          <w:sz w:val="22"/>
          <w:szCs w:val="22"/>
        </w:rPr>
        <w:t xml:space="preserve">Date: </w:t>
      </w:r>
      <w:r>
        <w:rPr>
          <w:rFonts w:ascii="Arial" w:cs="Arial" w:eastAsia="Arial" w:hAnsi="Arial"/>
          <w:b/>
          <w:bCs/>
          <w:color w:val="4A4A4A"/>
          <w:sz w:val="22"/>
          <w:szCs w:val="22"/>
        </w:rPr>
        <w:t xml:space="preserve">22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Triforce • Project Scope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D3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2026-05-22T09:51:09.530Z</dcterms:created>
  <dcterms:modified xsi:type="dcterms:W3CDTF">2026-05-22T09:51:09.530Z</dcterms:modified>
</cp:coreProperties>
</file>

<file path=docProps/custom.xml><?xml version="1.0" encoding="utf-8"?>
<Properties xmlns="http://schemas.openxmlformats.org/officeDocument/2006/custom-properties" xmlns:vt="http://schemas.openxmlformats.org/officeDocument/2006/docPropsVTypes"/>
</file>