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4f37b3" w14:textId="44f37b3">
      <w:pPr>
        <w:pStyle w:val="Normal"/>
        <w:bidi w:val="false"/>
        <w:spacing w:before="120" w:after="120" w:line="240"/>
        <w:jc w:val="left"/>
        <w15:collapsed w:val="false"/>
        <w:rPr/>
      </w:pPr>
      <w:r>
        <w:rPr/>
      </w:r>
    </w:p>
    <w:p>
      <w:pPr>
        <w:spacing w:before="120" w:after="120" w:line="240"/>
        <w:ind w:left="0"/>
        <w:jc w:val="right"/>
      </w:pPr>
      <w:r>
        <w:rPr>
          <w:rFonts w:hint="default" w:ascii="Times New Roman" w:hAnsi="Times New Roman"/>
          <w:b/>
          <w:i w:val="false"/>
          <w:color w:val="808080"/>
          <w:sz w:val="24"/>
        </w:rPr>
        <w:t>ИС BestProfi © 07.08.2023</w:t>
      </w:r>
    </w:p>
    <w:bookmarkStart w:name="2382552582" w:id="0"/>
    <w:p>
      <w:pPr>
        <w:spacing w:before="120" w:after="120" w:line="240"/>
        <w:ind w:left="0"/>
        <w:jc w:val="center"/>
      </w:pPr>
      <w:r>
        <w:rPr>
          <w:rFonts w:hint="default" w:ascii="Times New Roman" w:hAnsi="Times New Roman"/>
          <w:b/>
          <w:i w:val="false"/>
          <w:color w:val="000000"/>
          <w:sz w:val="24"/>
        </w:rPr>
        <w:t>ГОСУДАРСТВЕННАЯ СИСТЕМА</w:t>
      </w:r>
      <w:r>
        <w:br/>
      </w:r>
      <w:r>
        <w:rPr>
          <w:rFonts w:hint="default" w:ascii="Times New Roman" w:hAnsi="Times New Roman"/>
          <w:b/>
          <w:i w:val="false"/>
          <w:color w:val="000000"/>
          <w:sz w:val="24"/>
        </w:rPr>
        <w:t>
САНИТАРНО-ГИГИЕНИЧЕСКОГО НОРМИРОВАНИЯ РЕСПУБЛИКИ КАЗАХСТАН</w:t>
      </w:r>
      <w:r>
        <w:br/>
      </w:r>
      <w:r>
        <w:rPr>
          <w:rFonts w:hint="default" w:ascii="Times New Roman" w:hAnsi="Times New Roman"/>
          <w:b/>
          <w:i w:val="false"/>
          <w:color w:val="000000"/>
          <w:sz w:val="24"/>
        </w:rPr>
        <w:t>
Санитарные нормы и правила обеспечения инсоляцией жилых и общественных зданий и территорий жилой застройки от 12 декабря 2000 года № 3.01.077.00</w:t>
      </w:r>
    </w:p>
    <w:bookmarkEnd w:id="0"/>
    <w:bookmarkStart w:name="2382552584" w:id="1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 xml:space="preserve">Санитарные нормы и правила являются документами санитарно-гигиенического нормирования общегосударственной системы </w:t>
      </w:r>
      <w:hyperlink r:id="rId5">
        <w:r>
          <w:rPr>
            <w:rFonts w:hint="default" w:ascii="Times New Roman" w:hAnsi="Times New Roman"/>
            <w:b w:val="false"/>
            <w:i w:val="false"/>
            <w:color w:val="007fcc"/>
            <w:sz w:val="24"/>
            <w:u w:val="single"/>
          </w:rPr>
          <w:t>законодательства</w:t>
        </w:r>
      </w:hyperlink>
      <w:r>
        <w:rPr>
          <w:rFonts w:hint="default" w:ascii="Times New Roman" w:hAnsi="Times New Roman"/>
          <w:b w:val="false"/>
          <w:i w:val="false"/>
          <w:color w:val="000000"/>
          <w:sz w:val="24"/>
        </w:rPr>
        <w:t xml:space="preserve"> Республики Казахстан в области санитарно-эпидемиологического благополучия населения. При разработке нормативных документов соблюдалась преемственность санитарного законодательства, большинство из них носит межгосударственный характер. Утвержденные Главным государственным санитарным врачом республики, они в соответствии с </w:t>
      </w:r>
      <w:hyperlink r:id="rId6">
        <w:r>
          <w:rPr>
            <w:rFonts w:hint="default" w:ascii="Times New Roman" w:hAnsi="Times New Roman"/>
            <w:b w:val="false"/>
            <w:i w:val="false"/>
            <w:color w:val="007fcc"/>
            <w:sz w:val="24"/>
            <w:u w:val="single"/>
          </w:rPr>
          <w:t>Законом</w:t>
        </w:r>
      </w:hyperlink>
      <w:r>
        <w:rPr>
          <w:rFonts w:hint="default" w:ascii="Times New Roman" w:hAnsi="Times New Roman"/>
          <w:b w:val="false"/>
          <w:i w:val="false"/>
          <w:color w:val="000000"/>
          <w:sz w:val="24"/>
        </w:rPr>
        <w:t xml:space="preserve"> Республики Казахстан «О санитарно-эпидемиологическом благополучии населения», являются обязательными для исполнения на территории республики.</w:t>
      </w:r>
    </w:p>
    <w:bookmarkEnd w:id="1"/>
    <w:bookmarkStart w:name="2382552585" w:id="2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Постановления, заключения, предписания должностных лиц, осуществляющих государственный санитарно- эпидемиологический надзор, обязательны для выполнения министерствами и ведомствами, предприятиями и организациями, учреждениями, должностными лицами и гражданами (</w:t>
      </w:r>
      <w:hyperlink r:id="rId7">
        <w:r>
          <w:rPr>
            <w:rFonts w:hint="default" w:ascii="Times New Roman" w:hAnsi="Times New Roman"/>
            <w:b w:val="false"/>
            <w:i w:val="false"/>
            <w:color w:val="007fcc"/>
            <w:sz w:val="24"/>
            <w:u w:val="single"/>
          </w:rPr>
          <w:t>ст. 18</w:t>
        </w:r>
      </w:hyperlink>
      <w:r>
        <w:rPr>
          <w:rFonts w:hint="default" w:ascii="Times New Roman" w:hAnsi="Times New Roman"/>
          <w:b w:val="false"/>
          <w:i w:val="false"/>
          <w:color w:val="000000"/>
          <w:sz w:val="24"/>
        </w:rPr>
        <w:t xml:space="preserve"> Закона Республики Казахстан «О санитарно-эпидемиологическом благополучии населения»).</w:t>
      </w:r>
    </w:p>
    <w:bookmarkEnd w:id="2"/>
    <w:bookmarkStart w:name="2382552586" w:id="3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В случае нарушения гигиенических нормативов должностные лица и граждане несут дисциплинарную, административную, имущественную и уголовную ответственность, в соответствии с действующим законодательством Республики Казахстан (</w:t>
      </w:r>
      <w:hyperlink r:id="rId8">
        <w:r>
          <w:rPr>
            <w:rFonts w:hint="default" w:ascii="Times New Roman" w:hAnsi="Times New Roman"/>
            <w:b w:val="false"/>
            <w:i w:val="false"/>
            <w:color w:val="007fcc"/>
            <w:sz w:val="24"/>
            <w:u w:val="single"/>
          </w:rPr>
          <w:t>ст. 52</w:t>
        </w:r>
      </w:hyperlink>
      <w:r>
        <w:rPr>
          <w:rFonts w:hint="default" w:ascii="Times New Roman" w:hAnsi="Times New Roman"/>
          <w:b w:val="false"/>
          <w:i w:val="false"/>
          <w:color w:val="000000"/>
          <w:sz w:val="24"/>
        </w:rPr>
        <w:t xml:space="preserve"> Закона Республики Казахстан «О санитарно-эпидемиологическом благополучии населения»).</w:t>
      </w:r>
    </w:p>
    <w:bookmarkEnd w:id="3"/>
    <w:bookmarkStart w:name="2382552587" w:id="4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Редакционный совет:</w:t>
      </w:r>
    </w:p>
    <w:bookmarkEnd w:id="4"/>
    <w:bookmarkStart w:name="2382552588" w:id="5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Председатель - Неменко Б.А.</w:t>
      </w:r>
    </w:p>
    <w:bookmarkEnd w:id="5"/>
    <w:bookmarkStart w:name="2382552589" w:id="6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Члены - Снигирева М.С., Спатаев М.Б., Харитонова Н.А., Ренкевич В.Э., Бекказинова Д.Б., Тьесова-Бердалина Р.А.</w:t>
      </w:r>
    </w:p>
    <w:bookmarkEnd w:id="6"/>
    <w:bookmarkStart w:name="2382552590" w:id="7"/>
    <w:p>
      <w:pPr>
        <w:spacing w:before="120" w:after="120" w:line="240"/>
        <w:ind w:left="0"/>
        <w:jc w:val="right"/>
      </w:pPr>
      <w:r>
        <w:rPr>
          <w:rFonts w:hint="default" w:ascii="Times New Roman" w:hAnsi="Times New Roman"/>
          <w:b/>
          <w:i w:val="false"/>
          <w:color w:val="000000"/>
          <w:sz w:val="24"/>
        </w:rPr>
        <w:t>«УТВЕРЖДАЮ»</w:t>
      </w:r>
      <w:r>
        <w:br/>
      </w:r>
      <w:r>
        <w:rPr>
          <w:rFonts w:hint="default" w:ascii="Times New Roman" w:hAnsi="Times New Roman"/>
          <w:b/>
          <w:i w:val="false"/>
          <w:color w:val="000000"/>
          <w:sz w:val="24"/>
        </w:rPr>
        <w:t>
Главный Государственный</w:t>
      </w:r>
      <w:r>
        <w:br/>
      </w:r>
      <w:r>
        <w:rPr>
          <w:rFonts w:hint="default" w:ascii="Times New Roman" w:hAnsi="Times New Roman"/>
          <w:b/>
          <w:i w:val="false"/>
          <w:color w:val="000000"/>
          <w:sz w:val="24"/>
        </w:rPr>
        <w:t>
санитарный врач</w:t>
      </w:r>
      <w:r>
        <w:br/>
      </w:r>
      <w:r>
        <w:rPr>
          <w:rFonts w:hint="default" w:ascii="Times New Roman" w:hAnsi="Times New Roman"/>
          <w:b/>
          <w:i w:val="false"/>
          <w:color w:val="000000"/>
          <w:sz w:val="24"/>
        </w:rPr>
        <w:t>
Республики Казахстан</w:t>
      </w:r>
      <w:r>
        <w:br/>
      </w:r>
      <w:r>
        <w:rPr>
          <w:rFonts w:hint="default" w:ascii="Times New Roman" w:hAnsi="Times New Roman"/>
          <w:b/>
          <w:i w:val="false"/>
          <w:color w:val="000000"/>
          <w:sz w:val="24"/>
        </w:rPr>
        <w:t>
А. Белоног</w:t>
      </w:r>
      <w:r>
        <w:br/>
      </w:r>
      <w:r>
        <w:rPr>
          <w:rFonts w:hint="default" w:ascii="Times New Roman" w:hAnsi="Times New Roman"/>
          <w:b/>
          <w:i w:val="false"/>
          <w:color w:val="000000"/>
          <w:sz w:val="24"/>
        </w:rPr>
        <w:t>
12 декабря 2000 г. № 3.01.077.00.</w:t>
      </w:r>
    </w:p>
    <w:bookmarkEnd w:id="7"/>
    <w:bookmarkStart w:name="2382552596" w:id="8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1. Настоящие нормы и правила являются обязательными при проектировании жилых, общественных зданий и районов, вновь строящихся и реконструируемых городов, поселков и сельских населенных пунктов, а также при осуществлении предупредительного и текущего санитарного надзора за ними.</w:t>
      </w:r>
    </w:p>
    <w:bookmarkEnd w:id="8"/>
    <w:bookmarkStart w:name="2382552597" w:id="9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2. Инсоляция является важным оздоровительным фактором и должна быть использована во всех жилых и общественных зданиях и на территориях жилой застройки. Оптимальная эффективность инсоляции - ее общеоздоровительное, психофизиологическое, бактерицидное и тепловое действие при обеспечении ежедневного непрерывного 2,5-3,0 часового облучения прямыми солнечными лучами помещений и территорий.</w:t>
      </w:r>
    </w:p>
    <w:bookmarkEnd w:id="9"/>
    <w:bookmarkStart w:name="2382552598" w:id="10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Требование норм достигается соответствующим размещением, ориентацией и планировкой зданий.</w:t>
      </w:r>
    </w:p>
    <w:bookmarkEnd w:id="10"/>
    <w:bookmarkStart w:name="2382552599" w:id="11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3. Размещение и ориентация основных функциональных помещений детских дошкольных учреждений, общеобразовательных школ, школ-интернатов, палат стационаров санаторно-курортных и других оздоровительных учреждений должны обеспечивать продолжительность непрерывной инсоляции помещений в нормируемые периоды не менее 3-х часов в день.</w:t>
      </w:r>
    </w:p>
    <w:bookmarkEnd w:id="11"/>
    <w:bookmarkStart w:name="2382552600" w:id="12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4. 2,5 часовая продолжительность инсоляции должна быть обеспечена:</w:t>
      </w:r>
    </w:p>
    <w:bookmarkEnd w:id="12"/>
    <w:bookmarkStart w:name="2382552601" w:id="13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а) не менее чем в одной жилой комнате одно-, двух-, трехкомнатных квартир и не менее чем в двух жилых комнатах - в четырех-, пяти-, шестикомнатных квартир, в общежитиях не менее, чем в 60% жилых комнат.</w:t>
      </w:r>
    </w:p>
    <w:bookmarkEnd w:id="13"/>
    <w:bookmarkStart w:name="2382552602" w:id="14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5. 3-х часовая продолжительность инсоляции должна быть обеспечена:</w:t>
      </w:r>
    </w:p>
    <w:bookmarkEnd w:id="14"/>
    <w:bookmarkStart w:name="2382552603" w:id="15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б) в следующих помещениях общественных зданий:</w:t>
      </w:r>
    </w:p>
    <w:bookmarkEnd w:id="15"/>
    <w:bookmarkStart w:name="2382552604" w:id="16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- игральных и групповых дошкольных учреждений,</w:t>
      </w:r>
    </w:p>
    <w:bookmarkEnd w:id="16"/>
    <w:bookmarkStart w:name="2382552605" w:id="17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- в классах общеобразовательных, начальных школ, школ-интернатов и спальных помещениях школ-интернатов,</w:t>
      </w:r>
    </w:p>
    <w:bookmarkEnd w:id="17"/>
    <w:bookmarkStart w:name="2382552606" w:id="18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в) на территориях детских игровых площадок и игровых устройств спортивных площадок жилых домов, групповых площадок дошкольных учреждений, спортивной зоны, зоны отдыха общеобразовательных школ и школ-интернатов.</w:t>
      </w:r>
    </w:p>
    <w:bookmarkEnd w:id="18"/>
    <w:bookmarkStart w:name="2382552607" w:id="19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6. Требования по ограничению избыточного теплового действия инсоляции на человека и окружающую среду распространяются:</w:t>
      </w:r>
    </w:p>
    <w:bookmarkEnd w:id="19"/>
    <w:bookmarkStart w:name="2382552608" w:id="20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а) на жилые комнаты и кухни квартир, спальные комнаты, помещения общественных зданий, детских дошкольных учреждений, учебные помещения общеобразовательных школ, школ-интернатов, ПТУ и других средних специальных учреждений, лечебно-профилактических и оздоровительных учреждений и т.п., в которых требуется его ограничения согласно соответствующих норм;</w:t>
      </w:r>
    </w:p>
    <w:bookmarkEnd w:id="20"/>
    <w:bookmarkStart w:name="2382552609" w:id="21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б) на территории жилой застройки, расположенной в 3 и 4 климатических районах, защита от перегрева должна быть предусмотрена не менее, чем для половины игровых площадок, мест размещения игровых устройств спортивных снарядов и скамей для отдыха и не менее двух третей пешеходных дорожек.</w:t>
      </w:r>
    </w:p>
    <w:bookmarkEnd w:id="21"/>
    <w:bookmarkStart w:name="2382552610" w:id="22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В жилых домах, расположенных в 3 и 4 климатических районах не допускается ориентация квартир, в которых все окна жилых комнат на одну сторону дома в пределах сектора от 200 до 230 градусов. Указанная ориентация допускается в 3 и 4 климатических районах в одно- и двухэтажных домах, все окна и балконные двери которых оборудованы регулируемыми солнцезащитными устройствами.</w:t>
      </w:r>
    </w:p>
    <w:bookmarkEnd w:id="22"/>
    <w:bookmarkStart w:name="2382552611" w:id="23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В общественных зданиях, размещаемых в 4 климатическом районе, должны быть предусмотрены солнцезащитные устройства в проемах окон, веранд, лоджий, обращенных на сектор горизонта в пределах 200-290 градусов. В общественных зданиях с повышенным процентом остекления наружные солнцезащитные устройства должны предусматриваться для помещений с ориентацией 200-290 градусов во всех климатических районах, расположенных южнее 58 градусов северной широты.</w:t>
      </w:r>
    </w:p>
    <w:bookmarkEnd w:id="23"/>
    <w:bookmarkStart w:name="2382552612" w:id="24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7. Размещение и ориентация жилых и общественных зданий должно обеспечивать продолжительность инсоляции помещений и территорий на период с 22 марта по 22 сентября.</w:t>
      </w:r>
    </w:p>
    <w:bookmarkEnd w:id="24"/>
    <w:bookmarkStart w:name="2382552613" w:id="25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Примечание:</w:t>
      </w:r>
    </w:p>
    <w:bookmarkEnd w:id="25"/>
    <w:bookmarkStart w:name="2382552614" w:id="26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1. В условиях многоэтажной застройки (9 и более этажей) допускается одноразовая прерывность инсоляции жилых и общественных зданий, при условии увеличения суммарной продолжительности инсоляции в течение дня на 0,5 часа.</w:t>
      </w:r>
    </w:p>
    <w:bookmarkEnd w:id="26"/>
    <w:bookmarkStart w:name="2382552615" w:id="27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2. В жилых домах меридиального типа, где инсолируются все комнаты квартиры, а также при реконструкции жилой застройки или при размещении нового строительства в особо сложных градостроительных условиях (историческая ценная городская среда, дорогостоящая подготовка территории, зона общегородского и районного центров) допускается сокращение продолжительности инсоляции на 0,5 часа.</w:t>
      </w:r>
    </w:p>
    <w:bookmarkEnd w:id="27"/>
    <w:bookmarkStart w:name="2382552616" w:id="28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8. Ограничение избыточного теплового действия инсоляции помещений и территорий в жаркое время года должно обеспечиваться соответствующей планировкой и ориентацией зданий, благоустройством территории, применением солнцезащитных устройств, при необходимости кондиционирования и внутренних систем охлаждения. Ограничение теплового действия инсоляции территорий должно обеспечиваться затенением от зданий специальными затеняющими устройствами и рациональным озеленением.</w:t>
      </w:r>
    </w:p>
    <w:bookmarkEnd w:id="28"/>
    <w:bookmarkStart w:name="2382552617" w:id="29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Меры по ограничению избыточного теплового действия инсоляции не должны приводить к нарушению норм естественного освещения помещений.</w:t>
      </w:r>
    </w:p>
    <w:bookmarkEnd w:id="29"/>
    <w:bookmarkStart w:name="2382552618" w:id="30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9. Обеспечение в проектах панировки и застройки городов (ПДП жилого района, проектах микрорайонов, проектах застройки сельских населенных мест и других поселков), требуемых настоящими нормами условий инсоляции должно быть изложено в специальном подразделении пояснительной записки, раздела «Охрана окружающей среды».</w:t>
      </w:r>
    </w:p>
    <w:bookmarkEnd w:id="30"/>
    <w:bookmarkStart w:name="2382552619" w:id="31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10. Определение условий инсоляции или затенения помещений и территорий должно выполняться методами (графиками и приборами), утвержденных Агентством Республики Казахстан по делам здравоохранения.</w:t>
      </w:r>
    </w:p>
    <w:bookmarkEnd w:id="31"/>
    <w:bookmarkStart w:name="2382552620" w:id="32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Условия круглогодичного затенения рассчитываются на день летнего солнцестояния (22 июня), а круглосуточного - по дням весеннего и осеннего равноденствия (22 марта и 22 сентября).</w:t>
      </w:r>
    </w:p>
    <w:bookmarkEnd w:id="32"/>
    <w:bookmarkStart w:name="2382552621" w:id="33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Продолжительность инсоляции помещения рассчитывается по нижнему этажу здания через центральную точку светопроемов, размеры которых соответствуют требованиям норм естественного освещения помещений. При этом необходимо учитывать расположение и размеры элементов здания, затеняющих светопроемы (навесов, балконов, лоджий, бортиков, жалюзи и т. д.). В расчетах продолжительности инсоляции не учитывается первый и последний час солнечного сияния.</w:t>
      </w:r>
    </w:p>
    <w:bookmarkEnd w:id="33"/>
    <w:bookmarkStart w:name="2382552622" w:id="34"/>
    <w:p>
      <w:pPr>
        <w:spacing w:before="120" w:after="120" w:line="240"/>
        <w:ind w:left="0" w:firstLine="500"/>
        <w:jc w:val="both"/>
      </w:pPr>
      <w:r>
        <w:rPr>
          <w:rFonts w:hint="default" w:ascii="Times New Roman" w:hAnsi="Times New Roman"/>
          <w:b w:val="false"/>
          <w:i w:val="false"/>
          <w:color w:val="000000"/>
          <w:sz w:val="24"/>
        </w:rPr>
        <w:t/>
      </w:r>
      <w:r>
        <w:rPr>
          <w:rFonts w:hint="default" w:ascii="Times New Roman" w:hAnsi="Times New Roman"/>
          <w:b w:val="false"/>
          <w:i w:val="false"/>
          <w:color w:val="000000"/>
          <w:sz w:val="24"/>
        </w:rPr>
        <w:t>В ходе предупредительного санитарного надзора расчет продолжительности инсоляции на территории Республики Казахстан производится путем применения инсоляционной линейки (</w:t>
      </w:r>
      <w:hyperlink r:id="rId9">
        <w:r>
          <w:rPr>
            <w:rFonts w:hint="default" w:ascii="Times New Roman" w:hAnsi="Times New Roman"/>
            <w:b w:val="false"/>
            <w:i w:val="false"/>
            <w:color w:val="007fcc"/>
            <w:sz w:val="24"/>
            <w:u w:val="single"/>
          </w:rPr>
          <w:t>Приложения 1</w:t>
        </w:r>
      </w:hyperlink>
      <w:r>
        <w:rPr>
          <w:rFonts w:hint="default" w:ascii="Times New Roman" w:hAnsi="Times New Roman"/>
          <w:b w:val="false"/>
          <w:i w:val="false"/>
          <w:color w:val="000000"/>
          <w:sz w:val="24"/>
        </w:rPr>
        <w:t xml:space="preserve">, </w:t>
      </w:r>
      <w:hyperlink r:id="rId10">
        <w:r>
          <w:rPr>
            <w:rFonts w:hint="default" w:ascii="Times New Roman" w:hAnsi="Times New Roman"/>
            <w:b w:val="false"/>
            <w:i w:val="false"/>
            <w:color w:val="007fcc"/>
            <w:sz w:val="24"/>
            <w:u w:val="single"/>
          </w:rPr>
          <w:t>2</w:t>
        </w:r>
      </w:hyperlink>
      <w:r>
        <w:rPr>
          <w:rFonts w:hint="default" w:ascii="Times New Roman" w:hAnsi="Times New Roman"/>
          <w:b w:val="false"/>
          <w:i w:val="false"/>
          <w:color w:val="000000"/>
          <w:sz w:val="24"/>
        </w:rPr>
        <w:t xml:space="preserve">, </w:t>
      </w:r>
      <w:hyperlink r:id="rId11">
        <w:r>
          <w:rPr>
            <w:rFonts w:hint="default" w:ascii="Times New Roman" w:hAnsi="Times New Roman"/>
            <w:b w:val="false"/>
            <w:i w:val="false"/>
            <w:color w:val="007fcc"/>
            <w:sz w:val="24"/>
            <w:u w:val="single"/>
          </w:rPr>
          <w:t>3</w:t>
        </w:r>
      </w:hyperlink>
      <w:r>
        <w:rPr>
          <w:rFonts w:hint="default" w:ascii="Times New Roman" w:hAnsi="Times New Roman"/>
          <w:b w:val="false"/>
          <w:i w:val="false"/>
          <w:color w:val="000000"/>
          <w:sz w:val="24"/>
        </w:rPr>
        <w:t>).</w:t>
      </w:r>
    </w:p>
    <w:bookmarkEnd w:id="34"/>
    <w:bookmarkStart w:name="2382552623" w:id="35"/>
    <w:p>
      <w:pPr>
        <w:spacing w:before="120" w:after="120" w:line="240"/>
        <w:ind w:left="0"/>
        <w:jc w:val="right"/>
      </w:pPr>
      <w:r>
        <w:rPr>
          <w:rFonts w:hint="default" w:ascii="Times New Roman" w:hAnsi="Times New Roman"/>
          <w:b/>
          <w:i w:val="false"/>
          <w:color w:val="000000"/>
          <w:sz w:val="24"/>
        </w:rPr>
        <w:t>Приложение 1</w:t>
      </w:r>
    </w:p>
    <w:bookmarkEnd w:id="35"/>
    <w:bookmarkStart w:name="2382552624" w:id="36"/>
    <w:p>
      <w:pPr>
        <w:spacing w:before="120" w:after="120" w:line="240"/>
        <w:ind w:left="0"/>
        <w:jc w:val="center"/>
      </w:pPr>
      <w:r>
        <w:drawing>
          <wp:inline distT="0" distB="0" distL="0" distR="0">
            <wp:extent cx="5715000" cy="8255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6"/>
    <w:bookmarkStart w:name="2382552625" w:id="37"/>
    <w:p>
      <w:pPr>
        <w:spacing w:before="120" w:after="120" w:line="240"/>
        <w:ind w:left="0"/>
        <w:jc w:val="right"/>
      </w:pPr>
      <w:r>
        <w:rPr>
          <w:rFonts w:hint="default" w:ascii="Times New Roman" w:hAnsi="Times New Roman"/>
          <w:b/>
          <w:i w:val="false"/>
          <w:color w:val="000000"/>
          <w:sz w:val="24"/>
        </w:rPr>
        <w:t>Приложение 2</w:t>
      </w:r>
    </w:p>
    <w:bookmarkEnd w:id="37"/>
    <w:bookmarkStart w:name="2382552626" w:id="38"/>
    <w:p>
      <w:pPr>
        <w:spacing w:before="120" w:after="120" w:line="240"/>
        <w:ind w:left="0"/>
        <w:jc w:val="both"/>
      </w:pPr>
      <w:r>
        <w:drawing>
          <wp:inline distT="0" distB="0" distL="0" distR="0">
            <wp:extent cx="5715000" cy="8255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8"/>
    <w:bookmarkStart w:name="2382552627" w:id="39"/>
    <w:p>
      <w:pPr>
        <w:spacing w:before="120" w:after="120" w:line="240"/>
        <w:ind w:left="0"/>
        <w:jc w:val="right"/>
      </w:pPr>
      <w:r>
        <w:rPr>
          <w:rFonts w:hint="default" w:ascii="Times New Roman" w:hAnsi="Times New Roman"/>
          <w:b/>
          <w:i w:val="false"/>
          <w:color w:val="000000"/>
          <w:sz w:val="24"/>
        </w:rPr>
        <w:t>Приложение 3</w:t>
      </w:r>
    </w:p>
    <w:bookmarkEnd w:id="39"/>
    <w:bookmarkStart w:name="2382552628" w:id="40"/>
    <w:p>
      <w:pPr>
        <w:spacing w:before="120" w:after="120" w:line="240"/>
        <w:ind w:left="0"/>
        <w:jc w:val="center"/>
      </w:pPr>
      <w:r>
        <w:drawing>
          <wp:inline distT="0" distB="0" distL="0" distR="0">
            <wp:extent cx="5715000" cy="8255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0"/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60"/>
  <w:defaultTabStop w:val="709"/>
  <w:autoHyphenation w:val="true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  <w:spacing w:before="0" w:after="0" w:line="240"/>
      </w:pPr>
    </w:pPrDefault>
  </w:docDefaults>
  <w:style w:type="paragraph" w:styleId="Normal">
    <w:name w:val="Normal"/>
    <w:qFormat/>
    <w:pPr>
      <w:widowControl/>
      <w:bidi w:val="fals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Defaults">
    <w:name w:val="DocDefaults"/>
    <w:pPr>
      <w:widowControl/>
      <w:suppressAutoHyphens w:val="true"/>
      <w:spacing w:before="0" w:after="0" w:line="240"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Normal" w:default="true">
    <w:name w:val="Normal"/>
    <w:basedOn w:val="DocDefaults"/>
  </w:style>
  <w:style w:type="character" w:styleId="DefaultParagraphFont" w:default="true">
    <w:name w:val="Default Paragraph Font"/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numbering.xml" Type="http://schemas.openxmlformats.org/officeDocument/2006/relationships/numbering" Id="rId4"/><Relationship TargetMode="External" Target="https://bestprofi.com/home/section/481144220" Type="http://schemas.openxmlformats.org/officeDocument/2006/relationships/hyperlink" Id="rId5"/><Relationship TargetMode="External" Target="https://bestprofi.com/home/section/481144220" Type="http://schemas.openxmlformats.org/officeDocument/2006/relationships/hyperlink" Id="rId6"/><Relationship TargetMode="External" Target="https://bestprofi.com/home/section/481144563" Type="http://schemas.openxmlformats.org/officeDocument/2006/relationships/hyperlink" Id="rId7"/><Relationship TargetMode="External" Target="https://bestprofi.com/home/section/481144220" Type="http://schemas.openxmlformats.org/officeDocument/2006/relationships/hyperlink" Id="rId8"/><Relationship TargetMode="External" Target="https://bestprofi.com/home/section/2382552623" Type="http://schemas.openxmlformats.org/officeDocument/2006/relationships/hyperlink" Id="rId9"/><Relationship TargetMode="External" Target="https://bestprofi.com/home/section/2382552625" Type="http://schemas.openxmlformats.org/officeDocument/2006/relationships/hyperlink" Id="rId10"/><Relationship TargetMode="External" Target="https://bestprofi.com/home/section/2382552627" Type="http://schemas.openxmlformats.org/officeDocument/2006/relationships/hyperlink" Id="rId11"/><Relationship Target="media/document_image_rId12.jpe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jpeg" Type="http://schemas.openxmlformats.org/officeDocument/2006/relationships/image" Id="rId14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2021-09-16T11:34:59Z</dcterms:created>
  <dc:creator/>
  <dc:description/>
  <dc:language>en-US</dc:language>
  <cp:lastModifiedBy/>
  <cp:revision>0</cp:revision>
  <dc:subject/>
  <dc:title/>
</cp:coreProperties>
</file>