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0" w:name="_GoBack"/>
      <w:bookmarkEnd w:id="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"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Казахстанская</w:t>
      </w:r>
      <w:proofErr w:type="gram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 xml:space="preserve"> правда" от 7 января 2009 года № 3 (25747); "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Егемен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 xml:space="preserve">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Қазақстан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 xml:space="preserve">" 2009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жыл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 xml:space="preserve">, 9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қаңтар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,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US" w:eastAsia="ru-RU"/>
        </w:rPr>
        <w:t>N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 5-6 (25403); "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Ресми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 xml:space="preserve"> газет" 2009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жыл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 xml:space="preserve"> 7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ақпан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US" w:eastAsia="ru-RU"/>
        </w:rPr>
        <w:t>N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 6 (423)</w:t>
      </w:r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 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" w:name="z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"/>
    </w:p>
    <w:tbl>
      <w:tblPr>
        <w:tblW w:w="0" w:type="auto"/>
        <w:tblInd w:w="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3"/>
        <w:gridCol w:w="5037"/>
      </w:tblGrid>
      <w:tr w:rsidR="009947EA" w:rsidRPr="009947EA" w:rsidTr="009947EA">
        <w:trPr>
          <w:trHeight w:val="30"/>
        </w:trPr>
        <w:tc>
          <w:tcPr>
            <w:tcW w:w="5516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Премьер-Министр</w:t>
            </w:r>
            <w:proofErr w:type="spellEnd"/>
          </w:p>
        </w:tc>
        <w:tc>
          <w:tcPr>
            <w:tcW w:w="6784" w:type="dxa"/>
            <w:tcBorders>
              <w:top w:val="single" w:sz="8" w:space="0" w:color="CFCFCF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sz w:val="4"/>
                <w:lang w:eastAsia="ru-RU"/>
              </w:rPr>
            </w:pPr>
          </w:p>
        </w:tc>
      </w:tr>
      <w:tr w:rsidR="009947EA" w:rsidRPr="009947EA" w:rsidTr="009947EA">
        <w:trPr>
          <w:trHeight w:val="30"/>
        </w:trPr>
        <w:tc>
          <w:tcPr>
            <w:tcW w:w="5516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Республики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Казахстан</w:t>
            </w:r>
            <w:proofErr w:type="spellEnd"/>
          </w:p>
        </w:tc>
        <w:tc>
          <w:tcPr>
            <w:tcW w:w="6784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К.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Масимов</w:t>
            </w:r>
            <w:proofErr w:type="spellEnd"/>
          </w:p>
        </w:tc>
      </w:tr>
    </w:tbl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tbl>
      <w:tblPr>
        <w:tblW w:w="9870" w:type="dxa"/>
        <w:shd w:val="clear" w:color="auto" w:fill="E8E9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0"/>
        <w:gridCol w:w="900"/>
      </w:tblGrid>
      <w:tr w:rsidR="009947EA" w:rsidRPr="009947EA" w:rsidTr="009947EA">
        <w:trPr>
          <w:trHeight w:val="428"/>
        </w:trPr>
        <w:tc>
          <w:tcPr>
            <w:tcW w:w="0" w:type="auto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947EA" w:rsidRPr="009947EA" w:rsidRDefault="009947EA" w:rsidP="009947EA">
            <w:pPr>
              <w:spacing w:after="0" w:line="240" w:lineRule="auto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Регистрационный номер акта в Государственном реестре нормативных правовых актов Республики Казахстан</w:t>
            </w:r>
          </w:p>
        </w:tc>
        <w:tc>
          <w:tcPr>
            <w:tcW w:w="0" w:type="auto"/>
            <w:tcBorders>
              <w:top w:val="single" w:sz="8" w:space="0" w:color="CFCFCF"/>
              <w:left w:val="nil"/>
              <w:bottom w:val="single" w:sz="8" w:space="0" w:color="CFCFCF"/>
              <w:right w:val="single" w:sz="8" w:space="0" w:color="CFCFCF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947EA" w:rsidRPr="009947EA" w:rsidRDefault="009947EA" w:rsidP="009947EA">
            <w:pPr>
              <w:spacing w:after="0" w:line="240" w:lineRule="auto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43081</w:t>
            </w:r>
          </w:p>
        </w:tc>
      </w:tr>
    </w:tbl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tbl>
      <w:tblPr>
        <w:tblW w:w="0" w:type="auto"/>
        <w:tblInd w:w="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8"/>
        <w:gridCol w:w="3752"/>
      </w:tblGrid>
      <w:tr w:rsidR="009947EA" w:rsidRPr="009947EA" w:rsidTr="009947EA">
        <w:trPr>
          <w:trHeight w:val="30"/>
        </w:trPr>
        <w:tc>
          <w:tcPr>
            <w:tcW w:w="7793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jc w:val="center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4613" w:type="dxa"/>
            <w:tcBorders>
              <w:top w:val="single" w:sz="8" w:space="0" w:color="CFCFCF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jc w:val="center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</w:t>
            </w:r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постановлением Правительства</w:t>
            </w:r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Республики Казахстан</w:t>
            </w:r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 26 декабря 2008 года № 1265</w:t>
            </w:r>
          </w:p>
        </w:tc>
      </w:tr>
    </w:tbl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2" w:name="z3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bookmarkEnd w:id="2"/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Технический регламент "Требования к безопасности деревянных конструкций"</w:t>
      </w:r>
      <w:proofErr w:type="gramStart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:</w:t>
      </w:r>
      <w:proofErr w:type="gramEnd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 изм. 2013-07-23</w:t>
      </w:r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Область применения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3" w:name="z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Настоящий Технический регламент "Требования к безопасности деревянных конструкций" (далее - Технический регламент) устанавливает требования к безопасности деревянных конструкций, к процессам их производства, транспортировки, хранения, использования и утилизации.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4" w:name="z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Объектами технического регулирования в настоящем Техническом регламенте являются: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деревянные конструкции, приведенные в приложении 1 к настоящему Техническому регламенту;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процессы производства, транспортировки, хранения, использования и утилизации деревянных конструкций (жизненные циклы).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5" w:name="z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Идентификация деревянных конструкций производится путем использования кодов единой Товарной номенклатуры внешнеэкономической деятельности Таможенного союза (ТН ВЭД ТС) и соответствующих им кодов по Классификатору продукции по видам экономической деятельности (КП ВЭД) ГК РК 04-2008, по маркировке и сопроводительным документам, по наличию слоев (ламелей) на боковых поверхностях конструкции и/или по наличию клеевых прослоек (соединений) на этих поверхностях, а также по другим</w:t>
      </w:r>
      <w:proofErr w:type="gram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признакам, параметрам, показателям и требованиям, которые в совокупности достаточны для распознавания.</w:t>
      </w:r>
    </w:p>
    <w:p w:rsidR="009947EA" w:rsidRPr="009947EA" w:rsidRDefault="009947EA" w:rsidP="009947EA">
      <w:pPr>
        <w:spacing w:after="24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Сноска. Пункт 2 с изменениями, внесенными постановлением Правительства РК от 08.02.2011 № 91 (вводится в действие со дня первого официального опубликования).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6" w:name="z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Общие требования, предъявляемые к безопасности деревянных конструкций, устанавливаются Экологическим кодексом Республики Казахстан от 9 января 2007 года и Трудовым кодексом Республики Казахстан от 19 декабря 2007 года, законами Республики Казахстан от 4 мая 2010 года "О защите прав потребителей", от 22 ноября 1996 года "О пожарной безопасности", от 23 апреля 1998 года "О радиационной безопасности населения", от 16 июля 2001</w:t>
      </w:r>
      <w:proofErr w:type="gram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года "Об архитектурной, градостроительной и строительной деятельности в Республике Казахстан", от 3 апреля 2002 года "О промышленной безопасности на опасных производственных объектах", от 4 декабря 2002 года "О санитарно-эпидемиологическом благополучии населения".</w:t>
      </w:r>
    </w:p>
    <w:p w:rsidR="009947EA" w:rsidRPr="009947EA" w:rsidRDefault="009947EA" w:rsidP="009947EA">
      <w:pPr>
        <w:spacing w:after="24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Сноска. Пункт 3 с изменением, внесенным постановлением Правительства РК от 18.08.2010 № 822 (вводится в действие с 18.08.2010).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7" w:name="z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  <w:bookmarkEnd w:id="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Основными опасными факторами (рисками), которые следует избегать в процессах жизненного цикла деревянных конструкциях, являются: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8" w:name="z1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при изготовлении и сборке деревянных конструкций могут иметь место повышенный уровень шума и вибраций;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9" w:name="z1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подвижные части оборудования, инструмента, передвигающиеся изделия, заготовки, материалы;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0" w:name="z1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повышенная или пониженная температура окружающей среды, поверхностей оборудования;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1" w:name="z1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развитие микрофлоры на поверхности деревянных конструкций;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2" w:name="z1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воспламенение деревянных конструкций при производственных процессах;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3" w:name="z1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 наличие в деревянных конструкциях радиоактивных излучений, превышающих предельно допустимые значения, которые могут оказать негативное воздействие на организм человека;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4" w:name="z1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7) при транспортировании неравномерное распределение груза может привести к потере управления при торможении или движении на повороте, а незакрепленный груз во время движения может сместиться или свалиться;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5" w:name="z1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8) в процессе производства и эксплуатации выделение смол, клеев, жидкости, сре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дств дл</w:t>
      </w:r>
      <w:proofErr w:type="gram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декоративной/защитной обработки дерева, противогрибковых препаратов, лаков, красок и других материалов специфического запаха и химических веществ в количествах, превышающих предельно-допустимые концентрации, способных нанести ущерб здоровью человека;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6" w:name="z1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9) опасные эксплуатационные процессы, при которых выделяется избыточное количество тепла, что может явиться причиной возникновения пожара;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7" w:name="z1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10) разрушение деревянных конструкций, предназначенных для восприятия значительных эксплуатационных нагрузок;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8" w:name="z2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11) опасность от движущихся транспортных средств, грузоподъемных машин, механизмов и их частей в пределах производственных участков и строительно-монтажных площадок.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9" w:name="z2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Если международным договором, ратифицированным Республикой Казахстан в области деревянных конструкций, установлены иные правила, чем те, которые предусмотрены настоящим Техническим регламентом, применяются правила международного договора.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20" w:name="z2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2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Настоящий Технический регламент не распространяется на деревянные конструкции, бывшие в употреблении и повторно используемые в строительстве.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21" w:name="z23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Термины и определения</w:t>
      </w:r>
      <w:bookmarkEnd w:id="21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22" w:name="z2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2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В настоящем Техническом регламенте применяются основные понятия, используемые в законодательных актах в области технического регулирования и в сфере архитектурной, градостроительной и строительной деятельности, дополнительно используются следующие термины: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23" w:name="z2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2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прочность деревянной конструкции - механическое свойство деревянной конструкции, 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характеризующее</w:t>
      </w:r>
      <w:proofErr w:type="gram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ее способность сопротивляться разрушению под воздействием эксплуатационных и иных нагрузок;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24" w:name="z2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2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биологическая безопасность деревянных конструкций - состояние древесины примененной при изготовлении деревянных конструкций, при котором отсутствует недопустимый риск причинения вреда здоровью человека и окружающей среде от микроорганизмов, различных насекомых, оказывающих негативное воздействие;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25" w:name="z2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2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механическая безопасность деревянных конструкций - состояние деревянных конструкций, при котором обеспечивается их требуемая прочность в течение заданного срока службы и отсутствует недопустимый риск причинения вреда жизни или здоровью человека и окружающей среде, в том числе растительному и животному миру;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26" w:name="z2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  <w:bookmarkEnd w:id="2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деревянная конструкция - совокупность соединенных деревянных деталей (слоев, ламелей) определенных параметров и взаиморасположения, предназначенная для выполнения несущих и/или ограждающих и/или декоративных функций или их совокупности в строительных конструкциях зданий, сооружений и в изделиях;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27" w:name="z2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2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стойкость клеевых соединений деревянной конструкции - свойство клеевых соединений деревянной конструкции сохранять требуемые параметры прочности под воздействием различных видов нагрузок в течение времени, определенного сроком эксплуатации;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28" w:name="z3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2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 минимально необходимые требования - требования безопасности, основанные на оценке риска причинения вреда, допустимого для защиты жизни или здоровья граждан, охраны окружающей среды, животных или растений, предупреждения действий, вводящих в заблуждение потребителей относительно безопасности и качества продукции;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29" w:name="z3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2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7) общие (существенные) требования - минимально необходимые требования, представленные в виде описания сущности необходимой безопасности, без детализации конкретных способов и характеристик ее обеспечения;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30" w:name="z3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3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8) недопустимый риск - вероятность причинения недопустимого вреда здоровью людей или нанесения недопустимого ущерба имуществу физических или юридических лиц, государственному имуществу, окружающей среде;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31" w:name="z3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3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9) представительная проба - совокупность всех точечных проб, отобранных из данной партии продукции;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32" w:name="z3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3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10) слой (ламель) - элемент многослойной деревянной клееной конструкции в виде цельной деревянной детали;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33" w:name="z3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3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11) нагель - стержни и пластинки (стальные и деревянные), предназначенные для соединения элементов деревянных конструкций в стыках ферм, в составных стрежнях и балках, препятствующие взаимному сдвигу соединяемых элементов;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34" w:name="z3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3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12) точечная проба - количество материала продукции, отобранной из партии продукции в одной контрольной точке;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35" w:name="z3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3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13) огнезащита - состав, вещество (смесь веществ) или материал, обладающие требуемой огнезащитной эффективностью и специально предназначенные для защиты деревянной конструкции от огня;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36" w:name="z3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3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14) удельная активность радионуклидов - отношение активности данного радионуклида в представительной пробе к массе пробы при абсолютно сухом состоянии;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37" w:name="z3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bookmarkEnd w:id="3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15) презумпция соответствия – законодательно или концептуально закрепленное положение, согласно которому выполнение детальных (конкретных) требований гармонизированных национальных стандартов считается соблюдением соответствующих общих (существенных) требований Технического регламента.</w:t>
      </w:r>
    </w:p>
    <w:p w:rsidR="009947EA" w:rsidRPr="009947EA" w:rsidRDefault="009947EA" w:rsidP="009947EA">
      <w:pPr>
        <w:spacing w:after="24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Сноска. Пункт 7 с изменением, внесенным постановлением Правительства РК от 23.07.2013 № 735.</w:t>
      </w:r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38" w:name="z40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Условия обращения продукции на рынке Республики Казахстан</w:t>
      </w:r>
      <w:bookmarkEnd w:id="38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39" w:name="z4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3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Деревянные конструкции, используемые при возведении зданий, сооружений должны соответствовать требованиям настоящего Технического регламента, а также требованиям безопасности, установленным в других технических регламентах, имеющих отношение к деревянным конструкциям.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40" w:name="z4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4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 Деревянные конструкции (в том числе импортируемые) при реализации (продаже) должны обеспечиваться сопроводительной документацией для потребителя, необходимой для оценки возможных рисков причинения вреда и принятия ими соответствующих мер безопасности. В ней должны указываться: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41" w:name="z4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4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назначение деревянных конструкций и условия их эксплуатации;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42" w:name="z4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4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соответствие фактических показателей прочности деревянных конструкций и их соединений нормативным требованиям;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43" w:name="z4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4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параметры пожарной и экологической безопасности деревянных конструкций;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44" w:name="z4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  <w:bookmarkEnd w:id="4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подтверждение соответствия материалов, веществ и древесины слоев (ламелей) деревянных конструкций требованиям радиационной безопасности;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45" w:name="z4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4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подтверждение соответствия клеевых веществ, использованных при изготовлении деревянных клееных конструкций, санитарно-эпидемиологическим требованиям;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46" w:name="z4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4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 указания по условиям безопасности хранения, транспортировки, использования и утилизации деревянных конструкций;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47" w:name="z4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4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7) сведения о сертификатах соответствия деревянных конструкций требованиям настоящего Технического регламента.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48" w:name="z5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4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10. Информация, включаемая в предупредительную маркировку, должна соответствовать требованиям технического регламента "Требования к упаковке, маркировке,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этикетированию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правильному их нанесению" и нормативных документов.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49" w:name="z5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4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 Предупредительная и идентифицирующая маркировка деревянных конструкций наносится в виде текста, символов.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50" w:name="z5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5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 На каждую конструкцию, прошедшую приемку и поставляемую потребителю, должны быть нанесены несмываемой краской при помощи трафарета или штампа маркировочные знаки.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конструкцию маркировку наносят на поверхность, видимую после монтажа.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51" w:name="z5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5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13. Средства нанесения информации должны обеспечивать стойкость маркировки при хранении, транспортировке, реализации и применении деревянных конструкций.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52" w:name="z54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Общие технические требования</w:t>
      </w:r>
      <w:bookmarkEnd w:id="52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53" w:name="z5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5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14. В настоящем Техническом регламенте приведены требования к механической (ударное воздействие при падении или обрушении), пожарной, биологической и радиационной и экологической и санитарно-эпидемиологической безопасности, предъявляемые в процессах жизненного цикла.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54" w:name="z5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5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15. При создании, изготовлении и применении деревянных конструкций должны быть учтены все выполняемые ими функции и условия эксплуатации.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55" w:name="z5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5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16. Прочность клеевых соединений деревянных клееных конструкций должна быть не менее прочности древесины склеиваемых слоев (ламелей) и облицовочных материалов и соответствовать характеру и значениям нагрузок и воздействий в деревянных конструкциях конкретного назначения.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56" w:name="z5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5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17. Стойкость клеевых соединений деревянных клееных конструкций должна с достоверностью не ниже 0,95 обеспечивать нормативные значения прочности клеевых соединений в течение расчетного времени нормальной эксплуатации деревянных конструкций конкретного назначения.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57" w:name="z5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5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Используемые методы расчета несущей способности и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деформативности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деревянных конструкций должны отвечать требованиям действующих нормативных документов на конструкции из соответствующих материалов, требованиям настоящего Технического регламента применительно к несущим деревянным конструкциям и выполняться с учетом неблагоприятных сочетаний нагрузок и воздействий.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58" w:name="z6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5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 Применяемые при изготовлении деревянных клееных конструкций полимерные и синтетические материалы и вещества должны иметь соответствующее разрешение органов государственного санитарно-эпидемиологического надзора.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59" w:name="z6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5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Классификация деревянных конструкций приведена в приложении 2 к настоящему Техническому регламенту.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60" w:name="z62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4.1. Требования механической безопасности</w:t>
      </w:r>
      <w:bookmarkEnd w:id="60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61" w:name="z6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6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 Для защиты от механического ударного воздействия (при падении или обрушении), которое может исходить от деревянных конструкций при их производстве, транспортировке и хранении, использовании в строительстве, утилизации, должны выполняться следующие требования, обеспечивающие необходимый уровень безопасности: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62" w:name="z6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  <w:bookmarkEnd w:id="6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отдельная деревянная конструкция, а также их штабеля при складировании должны быть устойчивыми в предусматриваемых рабочих условиях, обеспечивая использование без риска опрокидывания, падения или обрушения;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63" w:name="z6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6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при хранении деревянных конструкций на объектах строительства должны применяться защитные ограждения и навесы (козырьки) для защиты персонала от ударного воздействия при возможном их падении или обрушении;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64" w:name="z6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6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для обеспечения устойчивости деревянных конструкций при установке в проектное положение, а также их штабелей при складировании необходимо предусматривать применение соответствующих креплений.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65" w:name="z6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6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20. Механическая безопасность деревянных конструкций обеспечивается путем выполнения требований по прочности и отсутствием изменений геометрических размеров вследствие усадки, вызываемой естественным процессом сушки древесины.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66" w:name="z6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6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21. При проектировании и монтаже деревянных конструкций необходимо учитывать их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деформативность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они должны выдерживать максимальные снеговые и ветровые нагрузки, характерные для региона.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67" w:name="z6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6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22. Деревянные конструкций должны быть прочными, обеспечивать устойчивость зданий и сооружений с учетом конкретных инженерно-геологических условий строительной площадки, ее сейсмичности, если последняя расположена в сейсмически опасном районе.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68" w:name="z70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4.2. Требования пожарной безопасности</w:t>
      </w:r>
      <w:bookmarkEnd w:id="68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69" w:name="z7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6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23. Для обеспечения пожарной безопасности деревянных конструкций на всех стадиях их жизненного цикла должны выполняться требования в соответствии с действующим законодательством, техническими регламентами и другими нормативными документами в области пожарной безопасности.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70" w:name="z7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7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24. При производстве деревянных конструкций необходимо организовать работу всех служб предприятия и занятого в производстве персонала таким образом, чтобы обеспечить пожарную безопасность производства согласно требованиям соответствующих технических регламентов.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71" w:name="z7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7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25. При обращении с деревянными конструкциями должны предусматриваться меры, предотвращающие условия возникновения пожаров: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72" w:name="z7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7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потребитель предупреждается о пожарной опасности деревянных конструкций;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73" w:name="z7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7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соблюдается инструкция по их применению и общие требования в соответствии с законодательством Республики Казахстан в области пожарной безопасности;</w:t>
      </w:r>
      <w:proofErr w:type="gramEnd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74" w:name="z7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7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проводится огнезащита деревянных конструкций, которая обеспечивает предотвращение возгорания, замедляет или прекращает развитие пожара в начальной стадии, обеспечивает его локализацию, снижает влияние опасных факторов пожара и способствует его быстрой ликвидации, расширяет возможности новых прогрессивных проектных решений;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75" w:name="z7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7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огнезащита деревянных строительных конструкций осуществляется конструктивными способами (облицовка теплоизоляционными материалами, устройство различных экранов и противопожарных перегородок) и применением специальных огнезащитных составов (пасты, краски, лаки, пропитки) для обработки поверхности древесины.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76" w:name="z7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7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26. При проведении работ по огнезащитной обработке деревянных конструкций необходимо строго соблюдать требования нормативных документов к подготовке поверхности, технологии приготовления и нанесения, расходу и толщине слоя огнезащитного состава.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77" w:name="z7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7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27. Необходимо периодически возобновлять защиту (по истечении установленного срока ее действия) деревянных конструкций или их элементов огнезащитными составами и веществами.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78" w:name="z8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  <w:bookmarkEnd w:id="7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28. Для уменьшения риска пожара при использовании деревянных конструкций должны предусматриваться меры, максимально снижающие либо исключающие эти риски.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79" w:name="z8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7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29. Деревянные конструкций отечественного и импортного производства, реализуемые на территории Республики Казахстан, должны квалифицироваться по пожарной безопасности в соответствии с требованиями нормативных документов.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80" w:name="z82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4.3. Требования биологической безопасности</w:t>
      </w:r>
      <w:bookmarkEnd w:id="80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81" w:name="z8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8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30. Биологическая безопасность деревянных конструкций определяется свойствами продукции (древесина может содержать микроорганизмы, различные насекомые, оказывающие негативное воздействие на человека и окружающую среду) и обеспечивается путем выполнения требований в соответствии с действующим законодательством.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82" w:name="z8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8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31. Все без исключения поверхности деревянных конструкций должны быть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антисептированы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составами, безвредными для человека, нелетучими,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непылящими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обеспечивающими полную гарантию от появления грибковых образований, дереворазрушающих насекомых и болезнетворных бактерий.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83" w:name="z85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4.4. Требования радиационной безопасности</w:t>
      </w:r>
      <w:bookmarkEnd w:id="83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84" w:name="z8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8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32. Радиационная безопасность деревянных конструкций на всех стадиях их жизненного цикла должна быть обеспечена путем выполнения требований в соответствии с действующим законодательством.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85" w:name="z8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8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33. Изготовитель деревянных конструкций должен организовать работу всех служб предприятия и занятого в производстве персонала так, чтобы исключить применение зараженного радионуклидами сырья, материалов и веществ.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86" w:name="z8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8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34. Деревянные конструкции не должны быть источниками радиоактивного излучения в окружающую среду, превышающими предельно допустимые значения, которые могут оказать негативное воздействие на организм человека.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87" w:name="z8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8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Удельная активность радионуклидов деревянных конструкций должна соответствовать нормам, установленным в нормативно-правовых актах, нормативных документах, и не превышать пределы, установленные рекомендациями Международного комитета по радиологической защите населения.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88" w:name="z9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8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35. Не допускается наличие нефиксированного (снимаемого) радиоактивного загрязнения поверхности деревянных конструкций, поступающих для использования в хозяйственной деятельности.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89" w:name="z9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8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36. Не допускается обращение деревянных конструкций, обладающих возможностью радиационного воздействия на человека и окружающую среду, без наличия положительного санитарно-эпидемиологического заключения. Конкретные нормативы радиационной безопасности деревянных конструкций, устанавливаются в стандартах, гармонизированных с настоящим Техническим регламентом.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90" w:name="z92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4.5. Требования экологической и санитарно-эпидемиологической безопасности</w:t>
      </w:r>
      <w:bookmarkEnd w:id="90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91" w:name="z9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9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37. Экологическая и санитарно-эпидемиологическая безопасность деревянных конструкций на всех этапах жизненного цикла должна быть обеспечена путем выполнения требований в соответствии с действующим законодательством.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92" w:name="z9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9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38. Изготовитель деревянных конструкций должен организовать работу всех служб предприятия и занятого в производстве персонала таким образом, чтобы обеспечить экологическую безопасность производства согласно требованиям соответствующих технических регламентов и санитарно-эпидемиологическое благополучие персонала в соответствии с санитарно-эпидемиологическими требованиями.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93" w:name="z9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  <w:bookmarkEnd w:id="9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39. Необходимо предусмотреть недопущение загрязнения окружающей среды при производственных процессах и в случае аварий, а также ликвидации их негативных последствий.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94" w:name="z9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9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40. 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Деревянные конструкций (в том числе содержащие смолы, клеи, лаки, краски и другие материалы) не должны ухудшать микроклимат помещений и создавать в помещениях специфические запахи к моменту заселения дома, выделять в воздух, воду и почву химические вещества в количествах, превышающих предельно-допустимые концентрации, стимулировать развитие микрофлоры на своей поверхности и должны быть доступны для влажной дезинфекции.</w:t>
      </w:r>
      <w:proofErr w:type="gramEnd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95" w:name="z97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4.6. Требования безопасности несущих деревянных конструкций</w:t>
      </w:r>
      <w:bookmarkEnd w:id="95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96" w:name="z9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9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41. Деревянные конструкций должны удовлетворять требованиям расчета по несущей способности (первая группа предельных состояний) и по деформациям, не препятствующим нормальной эксплуатации (вторая группа предельных состояний), с учетом характера и длительности действия нагрузок.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97" w:name="z9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9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42. Долговечность деревянных конструкций должна обеспечиваться конструктивными мерами в соответствии с нормативными документами и, в необходимых случаях, защитной обработкой, предусматривающей предохранение их от увлажнения, биоповреждения и возгорания.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98" w:name="z10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9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43. Деревянные конструкции в условиях постоянного или периодического длительного нагрева допускается применять, если температура окружающего воздуха не превышает 50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о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99" w:name="z10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9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44. При создании несущих деревянных конструкций с возможной степенью допустимых рисков все реально возможные нагрузки и воздействия в конкретных условиях эксплуатации несущих деревянных конструкций, уровни ответственности и сроки службы зданий и сооружений должны обосновываться расчетами.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00" w:name="z10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0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Нагрузки и воздействия, влияющие на деревянную конструкцию в период ее эксплуатации, не должны вызывать деформации недопустимой величины или разрушения строительной или иной конструкции, в которой применены несущие деревянные конструкции.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01" w:name="z10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0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45. Действующее на соединение усилие не должно превышать расчетной несущей способности соединения. Расчет соединений должен производиться в соответствии с требованиями нормативных и нормативно-технических документов.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02" w:name="z10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0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46. Основные виды соединений должны рассматриваться как неподатливые (клеевые соединения) и податливые (нагельные соединения, соединения на металлических зубчатых пластинах, соединения на врубках), работающие на различные виды напряженного состояния.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03" w:name="z10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0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47. Расчетная несущая способность соединений должна определяться в зависимости от типа соединения и его напряженного состояния на основании экспериментальных данных, с введением соответствующего коэффициента надежности.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04" w:name="z10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0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48. Клеевые соединения на зубчатый шип для стыкования отдельных слоев по длине должны обладать сопротивлением не ниже прочности применяемых пиломатериалов.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05" w:name="z10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0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Клеевые соединения из разносортных материалов (древесина разных пород, древесина с другими древесными материалами, древесина с металлом) должны рассчитываться методом приведения поперечного сечения в соответствии с требованиями нормативных документов.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06" w:name="z10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0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49. Расчетную несущую способность вклеенного стержня на выдергивание или продавливание вдоль или поперек волокон элементов деревянных конструкций следует определять в зависимости от расчетного сопротивления сдвигу, диаметра вклеиваемого стержня, длины заделываемой части стержня и коэффициента, учитывающего неравномерность распределения напряжений сдвига в зависимости от длины заделываемой части стержня.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07" w:name="z10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  <w:bookmarkEnd w:id="10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50. Расчетную несущую способность соединений элементов на цилиндрических нагелях следует определять с учетом различных температурно-влажностных условий эксплуатации, характера и длительности действия нагрузок, вводя соответствующие коэффициенты условий работы.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08" w:name="z11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0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51. Несущую способность шурупов и глухарей при заглублении их нарезной части в древесину не менее чем на два диаметра следует определять по правилам для стальных цилиндрических нагелей.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09" w:name="z11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0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Соединения на металлических зубчатых пластинах необходимо рассчитывать, определяя их несущую способность в зависимости от вида напряженного состояния соединения, сопротивления отдельного зуба и размеров пластины, соединяющей деревянные элементы, а также температурно-влажностных условий эксплуатации и длительности действия нагрузки.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10" w:name="z11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1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52. Относительные прогибы деревянных элементов и конструкций не должны превышать предельных значений, определяемых требованиями эксплуатации и конструктивными назначениями.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11" w:name="z11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1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53. Расчеты прочности,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деформативности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долговечности несущих деревянных конструкций должны выполняться с нормативной степенью достоверности и, при необходимости, подтверждаться натурными и лабораторными испытаниями.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12" w:name="z11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1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54.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Опирание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несущих деревянных конструкций на фундаменты, каменные стены, стальные и железобетонные колонны и другие элементы конструкций из более теплопроводных материалов (при непосредственном их контакте) следует осуществлять через гидроизоляционные прокладки.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13" w:name="z11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1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55. Несущие клееные деревянные конструкции, эксплуатируемые на открытом воздухе, должны иметь сплошное сечение, верхние горизонтальные и наклонные грани этих конструкций следует защищать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антисептированными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досками, козырьками из оцинкованного стального профилированного или плоского листа, алюминия, стеклопластика или другого атмосферостойкого материала.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14" w:name="z11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1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изготовлении несущих деревянных клееных конструкций должны быть учтены и обеспечены особенности технологии их изготовления и применение клеев соответствующих параметров.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115" w:name="z117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4.7. Требования безопасности при производстве деревянных конструкций</w:t>
      </w:r>
      <w:bookmarkEnd w:id="115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16" w:name="z11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1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56. При производстве деревянных конструкций необходимо обеспечить безусловное выполнение требований проектной, нормативной документации и разработанного на их основе технологического регламента, а также требований соответствующих технических регламентов, разрабатываемых в рамках реализации Закона Республики Казахстан от 9 ноября 2004 года "О техническом регулировании".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17" w:name="z11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1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57. При производстве деревянных конструкций организовать работу всех служб предприятия и занятого в производстве персонала в соответствии с требованиями производственной безопасности, установленными законодательством Республики Казахстан.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18" w:name="z12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1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58. При производстве деревянных конструкций необходимо организовать системный внутренний 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за</w:t>
      </w:r>
      <w:proofErr w:type="gram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соблюдением требований безопасности деревянных конструкций на стадии их изготовления.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19" w:name="z12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1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должен быть: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комплексным</w:t>
      </w:r>
      <w:proofErr w:type="gram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(учитывать все операции изготовления деревянных конструкций);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регулярным (осуществляться с заданной периодичностью);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квалифицированным</w:t>
      </w:r>
      <w:proofErr w:type="gram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(осуществляться профессиональными и ответственными исполнителями, обеспечивающими объективность контроля);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конкретным</w:t>
      </w:r>
      <w:proofErr w:type="gram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(оперировать, прежде всего, количественными значениями показателей, определяемыми инструментальными методами);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5) 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эффективным</w:t>
      </w:r>
      <w:proofErr w:type="gram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(обеспечивать возможность оперативной корректировки контролируемых параметров);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6) документально 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оформленным</w:t>
      </w:r>
      <w:proofErr w:type="gram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(актами, протоколами).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20" w:name="z12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2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59. При производстве деревянных конструкций допускается применять регламентированные в установленном порядке методы контроля (испытания, измерения), обеспечивающие требуемую оперативность и нормативную достоверность результатов контроля (испытаний, измерений).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21" w:name="z12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2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60. При изготовлении деревянных конструкций разрешается использовать новые химические вещества и материалы (смолы, клеи, лаки, краски и другие материалы) только после утверждения в установленном порядке гигиенических нормативов и при наличии санитарно-эпидемиологического заключения, выданного аккредитованным учреждением на основе испытаний их соответствия гигиеническим требованиям.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22" w:name="z12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2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61. При производстве продукции деревообработки не допускается применять вредные вещества, обладающие высокой и чрезвычайной опасностью по общетоксическому действию, выраженной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канцерогенностью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аллергенностью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23" w:name="z12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2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62.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Антисептирование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деревянных конструкций необходимо проводить в изолированном помещении (в ваннах), оборудованном местной вытяжной вентиляцией. Применяемые антисептические жидкости должны иметь положительное санитарно-эпидемиологическое заключение.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24" w:name="z12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2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63. Сушку древесины следует осуществлять в специальных камерах, оборудованных тепловыми и вентиляционными установками или на складах с навесами.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25" w:name="z12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2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64. Загрузку, выгрузку, транспортировку, а также подачу пиломатериалов к деревообрабатывающим станкам необходимо максимально механизировать.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26" w:name="z12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2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65. При использовании клеев, выделяющих в окружающую среду химические вещества от мест их нанесения и прессовки, необходимо оборудовать местную вытяжную вентиляцию.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27" w:name="z12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2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66. Выдерживание деталей после склейки и до обработки следует проводить в специальных камерах или на участках, оборудованных местной вытяжной вентиляцией.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28" w:name="z13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2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67. При работе на открытых производственных площадках следует предусматривать помещения для отдыха персонала, обогрева и сушки спецодежды.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29" w:name="z13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2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68. Приготовление клеев на основе фенолформальдегидных, </w:t>
      </w:r>
      <w:proofErr w:type="spellStart"/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мочевино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-формальдегидных</w:t>
      </w:r>
      <w:proofErr w:type="gram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других смол, выделяющих в воздушную среду химические вещества, необходимо осуществлять в герметических реакторах, подачу химических составов к прессам - по трубопроводам.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30" w:name="z13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3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69. Нанесение клеев на поверхности склеиваемых материалов следует механизировать. Склейку мелких деталей синтетическими клеями необходимо проводить в укрытиях, оборудованных местной вытяжной вентиляцией.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31" w:name="z13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3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70. Строительные деревянные конструкции, поступающие на строительные объекты, должны обеспечиваться необходимой сопроводительной документацией, а поступающие на рынок (в торговлю) - инструкцией по использованию.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32" w:name="z13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3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71. Все деревянные конструкции должны быть замаркированы (непосредственно на изделии, таре, сопроводительной документации) в соответствии с требованиями нормативных документов и иметь четкую идентификацию (класс, марка, сорт, партия, дата изготовления).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133" w:name="z135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4.8. Требования безопасности при транспортировке и хранении деревянных конструкций</w:t>
      </w:r>
      <w:bookmarkEnd w:id="133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34" w:name="z13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3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72. При транспортировке и хранении необходимо обеспечить соответствие условий транспортирования и хранения деревянных конструкций требованиям настоящего Технического регламента, а также других технических регламентов, в которых такие требования устанавливаются.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35" w:name="z13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  <w:bookmarkEnd w:id="13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73. Хранение и транспортирование деревянных конструкций должны проводиться с учетом всех требований по безопасности и защитных мер, предусмотренных разработчиками на стадии проектирования (создания) и указанных в стандартах на деревянные конструкции, гармонизированных с настоящим Техническим регламентом.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36" w:name="z13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3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74. Транспортировка деревянных конструкций осуществляется в соответствии с правилами перевозки грузов, действующими на данном виде транспорта, если иное не оговорено изготовителем продукции или ее потребителями.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37" w:name="z13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3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75. Конструкции следует хранить 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рассортированными</w:t>
      </w:r>
      <w:proofErr w:type="gram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типам и размерам, уложенными таким образом, чтобы исключить их провисание и остаточные деформации.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38" w:name="z14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3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76. При транспортировании и хранении конструкции должны быть защищены от увлажнения, загрязнения и механических повреждений.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39" w:name="z14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3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77. Металлические элементы конструкций следует хранить в ящиках или 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связанными</w:t>
      </w:r>
      <w:proofErr w:type="gram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пачки, их следует укладывать в отдельные устойчивые штабели на прокладки. Соприкосновение металлических элементов конструкций с грунтом недопустимо.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40" w:name="z14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4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период хранения и транспортирования резьба, поверхности шарнирных и опорных частей металлических элементов должны быть покрыты защитными смазками.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41" w:name="z14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4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78. 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Деревянные конструкции должны отгружаться заказчику с предприятия-изготовителя упакованными (в соответствии с требованиями нормативных документов).</w:t>
      </w:r>
      <w:proofErr w:type="gram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согласованию с заказчиком допускается поставка неупакованных конструкций, но защищенных влагозащитными составами.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42" w:name="z14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4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79. Деревянные конструкции в транспортные средства следует укладывать правильными устойчивыми рядами с надежным закреплением, предохраняющим их от смещения и ударов во время перевозки.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43" w:name="z14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4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80. Подъем, погрузку и разгрузку конструкций следует производить краном с захватом монтажных петель или с применением специальных захватных устройств и гибких ремней, предусмотренных проектом.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44" w:name="z14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4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Места захвата конструкций должны быть указаны в рабочих чертежах на конструкции конкретных видов.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45" w:name="z14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4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81. Сбрасывание конструкции при погрузке, транспортировании и разгрузке запрещается.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46" w:name="z14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4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82. Необходимо предусмотреть конструктивные меры по защитной обработке деревянных конструкций, обеспечивающие сохранность при транспортировании, хранении.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47" w:name="z14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4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83. Конструктивные меры должны предусматривать: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48" w:name="z15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4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предохранение древесины конструкций от непосредственного увлажнения атмосферными осадками, грунтовыми и талыми водами (за исключением опор воздушных линий электропередачи), производственными водами;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49" w:name="z15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4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предохранение древесины конструкций от промерзания, капиллярного и конденсационного увлажнения;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50" w:name="z15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5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систематическую просушку древесины конструкций путем создания осушающего температурно-влажностного режима (естественная и принудительная вентиляция помещения, устройство в конструкциях и частях зданий осушающих продухов, аэраторов).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51" w:name="z15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5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84. Деревянные конструкции должны быть открытыми, хорошо проветриваемыми, по возможности доступными во всех частях для осмотра, профилактического ремонта, возобновления защитной обработки древесины.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52" w:name="z15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5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85. При транспортировке и хранении деревянные конструкции должны обеспечиваться сопроводительной документацией к каждой партии продукции с указанием условий и сроков хранения и кратких инструкций на случай возникновения нештатных и аварийных ситуаций (при необходимости).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53" w:name="z15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5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разработать мероприятия по предотвращению и ликвидации аварийных ситуаций и ликвидации их последствий, включая способы и средства пожаротушения.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54" w:name="z15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  <w:bookmarkEnd w:id="15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86. Погрузка, разгрузка, транспортировка и складирование деревянных конструкций должны проводиться персоналом, имеющим необходимую квалификацию для соблюдения требований безопасности.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155" w:name="z157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4.9. Требования безопасности деревянных конструкций при использовании в строительстве, в процессе эксплуатации зданий и сооружений</w:t>
      </w:r>
      <w:bookmarkEnd w:id="155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56" w:name="z15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5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87. Деревянные конструкции, поступающие в обращение на территории Республики Казахстан, должны быть безопасными на протяжении гарантийного срока или срока годности, установленными в технической документации.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57" w:name="z15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5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88. Монтаж деревянных конструкций на объектах строительства, при возведении зданий, строений и сооружений должен осуществляться персоналом, имеющим необходимую квалификацию, обученным безопасным методам и приемам труда, обеспеченным необходимыми средствами страховки и защиты и допущенным к работам в соответствии с требованиями безопасности и охраны труда трудового законодательства Республики Казахстан.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58" w:name="z16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5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89. При использовании деревянных конструкций для возведения строительных объектов безопасность должна обеспечиваться путем безусловного выполнения правил техники безопасности и охраны труда работающего персонала в соответствии с законодательством Республики Казахстан.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59" w:name="z16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5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90. Пространственную жесткость и устойчивость деревянных конструкций необходимо обеспечивать постановкой горизонтальных и вертикальных связей.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60" w:name="z16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6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Поперечные связи следует располагать в плоскости верхнего пояса или по верху несущих конструкций, в качестве поясов связевых ферм следует использовать верхние пояса или все сечение несущих конструкций.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61" w:name="z16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6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91. Размер опорной части плит покрытий должен быть не менее 5,5 см. Плиты покрытий следует прикреплять к несущей конструкции с каждой стороны соединениями, воспринимающими усилия сдвига и отрыва.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62" w:name="z16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6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92. Стыки деревянных растянутых элементов следует осуществлять совмещенными в одном сечении, перекрывая их накладками на стальных цилиндрических нагелях или иных соединениях.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63" w:name="z16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6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Конструкция стыков растянутых элементов должна обеспечивать осевую передачу растягивающего усилия.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64" w:name="z16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6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93. Не следует применять узлы и стыки с соединениями на связях с различной податливостью, а также стыки, в которых часть деревянных элементов соединена непосредственно, а часть - через промежуточные элементы и соединения.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65" w:name="z16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6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94. Элементы деревянных конструкций следует центрировать в узлах, стыках и на опорах, за исключением случаев, когда эксцентричное соединение элементов уменьшает действующий в расчетном сечении изгибающий момент.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66" w:name="z16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6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95. Элементы конструкций должны быть стянуты болтами в узлах и стыках, а составные элементы на податливых соединениях должны быть стянуты и между узлами.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67" w:name="z16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6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96. В ограждающих конструкциях отапливаемых зданий и сооружений должно быть исключено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влагонакопление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процессе эксплуатации. В панелях стен и плитах покрытий следует предусматривать вентиляционные продухи, сообщающиеся с наружным воздухом, а в случаях, предусмотренных теплотехническим расчетом, использовать пароизоляционный слой.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68" w:name="z17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6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97. Рулонные и пленочные материалы, используемые в качестве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пароизоляции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плитах и панелях стен, обшивки которых соединены гвоздями или шурупами с деревянным или с клееным каркасом из фанеры или древесины, должны укладываться сплошным непрерывным слоем между каркасом и обшивкой.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69" w:name="z17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6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98. В ограждающих конструкциях с соединением обшивок с каркасом на клею следует применять 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окрасочную</w:t>
      </w:r>
      <w:proofErr w:type="gram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обмазочную </w:t>
      </w:r>
      <w:proofErr w:type="spell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пароизоляцию</w:t>
      </w:r>
      <w:proofErr w:type="spell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Швы между панелями и плитами должны быть утеплены и уплотнены герметизирующими материалами.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70" w:name="z17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  <w:bookmarkEnd w:id="17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99. Деревянные конструкции, предназначенные к эксплуатации в контактах с атмосферными осадками, талыми и грунтовыми водами при низких и высоких температурах, должны обрабатываться атмосферостойкими лакокрасочными материалами, антисептиками в соответствии с требованиями нормативных документов.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71" w:name="z17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7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100. При эксплуатации зданий и сооружений следует выполнять весь комплекс мер, обеспечивающих безопасность использованных в них деревянных конструкций.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72" w:name="z17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7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101. В эксплуатационной документации должны быть предусмотрены требования к лицам, осуществляющим эксплуатацию зданий и сооружений, по обеспечению безопасности использованных деревянных конструкций.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73" w:name="z17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7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102. Для обеспечения безопасности деревянных конструкций в процессе эксплуатации зданий и сооружений должны выполняться 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</w:t>
      </w:r>
      <w:proofErr w:type="gram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установленные техническим регламентом "Требования безопасности зданий, сооружений и прилегающих территорий".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174" w:name="z176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4.10. Требования безопасности при утилизации деревянных конструкций</w:t>
      </w:r>
      <w:bookmarkEnd w:id="174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75" w:name="z17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7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103. Утилизация деревянных конструкций должна осуществляться в результате разборки, сноса, реконструкции зданий и сооружений, при возведении которых они были использованы.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76" w:name="z17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7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104. Приоритетными являются способы утилизации негодных материалов и отходов, связанные с их использованием с целью получения вторичного сырья, новых строительных материалов с нужными потребительскими свойствами и теплоносителей, путем их промышленной переработки.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77" w:name="z17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7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105. Отходы, которые невозможно утилизировать, подлежат ликвидации путем термического обезвреживания или захоронения на полигонах по обезвреживанию и захоронению промышленных отходов.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78" w:name="z18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7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106. При утилизации и ликвидации негодных деревянных конструкций либо их отходов концентрация вредных веществ в воздухе рабочей зоны, атмосферном воздухе, в воде открытых водоемов не должна превышать предельно допустимой концентрации.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79" w:name="z18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7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107. Выведение из обращения деревянных конструкций, утилизация или ликвидация отходов осуществляются в соответствии с действующим законодательством, с соблюдением мер безопасности, установленных настоящим Техническим регламентом и в технических регламентах, предусматривающих меры безопасности на стадии утилизации. Принимаемые меры должны быть направлены на минимизацию вредного воздействия этих </w:t>
      </w:r>
      <w:proofErr w:type="gramStart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</w:t>
      </w:r>
      <w:proofErr w:type="gramEnd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жизнь и здоровье человека, и окружающую среду, в том числе растительный и животный мир.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80" w:name="z18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8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108. Персонал, участвующий в процессах утилизации отходов деревянных конструкций, должен иметь необходимую квалификацию, пройти соответствующую подготовку и соблюдать все требования безопасности труда.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181" w:name="z183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Подтверждение соответствия требованиям технического регламента</w:t>
      </w:r>
      <w:bookmarkEnd w:id="181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82" w:name="z18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8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109. Обязательное и добровольное подтверждения соответствия осуществляются в соответствии с Законом Республики Казахстан от 9 ноября 2004 года "О техническом регулировании", с техническим регламентом "Процедуры подтверждения соответствия" и требованиями нормативных документов государственной системы технического регулирования Республики Казахстан.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83" w:name="z18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8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110. Обязательное подтверждение соответствия также применяется в случаях, когда конкретная продукция принадлежит к сфере действия международных соглашений, конвенций и других документов, к которым присоединилась Республика Казахстан и в которых предусмотрено обязательное подтверждение соответствия данной продукции.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84" w:name="z18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8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111. Порядок добровольного подтверждения соответствия деревянных конструкций осуществляется в соответствии с законодательством Республики Казахстан в области технического регулирования.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85" w:name="z18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  <w:bookmarkEnd w:id="185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112. При установлении несоответствия деревянных конструкций требованиям настоящего Технического регламента отзыв продукции с рынка должен осуществляться в соответствии с требованиями законодательства Республики Казахстан.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86" w:name="z18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8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113. Для обеспечения безопасности деревянных конструкций и подтверждения их соответствия требованиям настоящего Технического регламента, при установлении требований безопасности к характеристикам продукции используются гармонизированные стандарты.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87" w:name="z18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8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гармонизированных стандартах установлены количественные характеристики в виде конкретных численных значений показателей, определяющих безопасность, наряду с показателями, характеризующими потребительские свойства (качества) продукции и принцип презумпции соответствия.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88" w:name="z190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8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114. Деревянные конструкции, изготовленные в соответствии с требованиями гармонизированных стандартов, считаются соответствующими требованиям настоящего Технического регламента.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89" w:name="z191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89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115. Деревянные конструкции могут быть изготовлены по иным нормативным документам по стандартизации при условии, если их требования не ниже требований, указанных в гармонизированных стандартах, а в случае их отсутствия не ниже норм, согласованных уполномоченным органом в области архитектуры, градостроительства и строительства.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190" w:name="z192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 Перечень гармонизированных стандартов</w:t>
      </w:r>
      <w:bookmarkEnd w:id="190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Сноска. Раздел 6 исключен постановлением Правительства РК от 08.02.2011 № 91 (вводится в действие со дня первого официального опубликования).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191" w:name="z195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 Переходный период</w:t>
      </w:r>
      <w:bookmarkEnd w:id="191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92" w:name="z196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92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118. С введением в действие настоящего Технического регламента нормативные правовые акты и документы в сфере архитектурной, градостроительной и строительной деятельности, действующие в Республике Казахстан, в части касающихся безопасности деревянных конструкций, дублирующие или не соответствующие требованиям настоящего Технического регламента, подлежат корректировке или отмене в установленном порядке.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93" w:name="z197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93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119. После введения в действие настоящего Технического регламента документы, выданные по подтверждению соответствия требованиям безопасности, считаются действительными до окончания срока их действия.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94" w:name="z198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194"/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120. Настоящий технический регламент вводится в действие по истечении шести месяцев со дня первого официального опубликования.</w:t>
      </w:r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Ind w:w="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9"/>
        <w:gridCol w:w="3711"/>
      </w:tblGrid>
      <w:tr w:rsidR="009947EA" w:rsidRPr="009947EA" w:rsidTr="009947EA">
        <w:trPr>
          <w:trHeight w:val="30"/>
        </w:trPr>
        <w:tc>
          <w:tcPr>
            <w:tcW w:w="7793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jc w:val="center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4613" w:type="dxa"/>
            <w:tcBorders>
              <w:top w:val="single" w:sz="8" w:space="0" w:color="CFCFCF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jc w:val="center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Приложение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1</w:t>
            </w:r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к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Техническому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регламенту</w:t>
            </w:r>
            <w:proofErr w:type="spellEnd"/>
          </w:p>
        </w:tc>
      </w:tr>
    </w:tbl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bookmarkStart w:id="195" w:name="z199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bookmarkEnd w:id="195"/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proofErr w:type="spellStart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Перечень</w:t>
      </w:r>
      <w:proofErr w:type="spellEnd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proofErr w:type="spellStart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деревянных</w:t>
      </w:r>
      <w:proofErr w:type="spellEnd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конструкций</w:t>
      </w:r>
      <w:proofErr w:type="spellEnd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Сноска. Приложение 1 в редакции постановления Правительства РК от 08.02.2011 № 91 (вводится в действие со дня первого официального опубликования).</w:t>
      </w:r>
    </w:p>
    <w:tbl>
      <w:tblPr>
        <w:tblW w:w="0" w:type="auto"/>
        <w:tblInd w:w="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4391"/>
        <w:gridCol w:w="36"/>
        <w:gridCol w:w="3614"/>
        <w:gridCol w:w="134"/>
      </w:tblGrid>
      <w:tr w:rsidR="009947EA" w:rsidRPr="009947EA" w:rsidTr="009947EA">
        <w:trPr>
          <w:trHeight w:val="30"/>
        </w:trPr>
        <w:tc>
          <w:tcPr>
            <w:tcW w:w="1453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№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п/п</w:t>
            </w:r>
          </w:p>
        </w:tc>
        <w:tc>
          <w:tcPr>
            <w:tcW w:w="6389" w:type="dxa"/>
            <w:gridSpan w:val="2"/>
            <w:tcBorders>
              <w:top w:val="single" w:sz="8" w:space="0" w:color="CFCFCF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Код</w:t>
            </w:r>
            <w:proofErr w:type="spellEnd"/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ТН ВЭД ТС</w:t>
            </w:r>
          </w:p>
        </w:tc>
        <w:tc>
          <w:tcPr>
            <w:tcW w:w="4458" w:type="dxa"/>
            <w:tcBorders>
              <w:top w:val="single" w:sz="8" w:space="0" w:color="CFCFCF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Наименование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4403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Бревна для столбов (лесоматериалы для линий связи</w:t>
            </w:r>
            <w:proofErr w:type="gramEnd"/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и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электропередач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4403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Столбы, опоры деревянные для изгородей и прочего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назначения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3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4403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Долготье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рудничное</w:t>
            </w:r>
            <w:proofErr w:type="gram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стойка рудничная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4403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Бревна гидростроительные (лесоматериалы для свай,</w:t>
            </w:r>
            <w:proofErr w:type="gramEnd"/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гидротехнических сооружений и элементов мостов)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4403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Бревна строительные и подтоварник (лесоматериалы</w:t>
            </w:r>
            <w:proofErr w:type="gram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для строительства,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вспомогательных</w:t>
            </w:r>
            <w:proofErr w:type="gram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временных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построек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различного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назначения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4406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Шпалы деревянные для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железнодорожных</w:t>
            </w:r>
            <w:proofErr w:type="gram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или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трамвайных путей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4407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Плиты и дощечки деревянные кровельные и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облицовочные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4407 10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Брусья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стропила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4409, 4418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Паркетная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доска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паркет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щитовой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4410, 4411,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4412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Панели декоративные (плиты древесностружечные,</w:t>
            </w:r>
            <w:proofErr w:type="gram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плиты с ориентированной стружкой (</w:t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OSB</w:t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);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плиты древесноволокнистые и аналогичные плиты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</w:t>
            </w:r>
            <w:proofErr w:type="gram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древесины или других одревесневших материалов,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пропитанные</w:t>
            </w:r>
            <w:proofErr w:type="gram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или не пропитанные смолами или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другими органическими связующими веществами,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фанера клееная, панели фанерованные и аналогичные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материалы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из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слоистой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древесины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4418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Плиты клееные дощатые и панели декоративные,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панели деревянные клееные для использования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proofErr w:type="gramEnd"/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автостроении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вагоностроении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и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судостроении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4418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Панели деревянные клееные для обшивки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щитовых</w:t>
            </w:r>
            <w:proofErr w:type="gram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домов, покрытия крыш, подшивки черных полов,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перегородок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настила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строительных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лесов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4418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Каркасы деревянные сантехнических кабин и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перегородок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4418 10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Блоки оконные в сборе комплектно (с раздельными,</w:t>
            </w:r>
            <w:proofErr w:type="gram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 спаренными переплетами </w:t>
            </w:r>
            <w:proofErr w:type="spellStart"/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переплетами</w:t>
            </w:r>
            <w:proofErr w:type="spellEnd"/>
            <w:proofErr w:type="gram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для жилых 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общественных зданий, блоки дверные балконные,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блоки оконные в сборе (комплектно)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</w:t>
            </w:r>
            <w:proofErr w:type="gram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животноводческих и птицеводческих зданий, блоки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оконные дверные разные)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15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4418 20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Блоки дверные в сборе комплектно (щитовые,</w:t>
            </w:r>
            <w:proofErr w:type="gram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филенчатые</w:t>
            </w:r>
            <w:proofErr w:type="gram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для жилых и общественных зданий,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деревянные</w:t>
            </w:r>
            <w:proofErr w:type="gram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для зданий промышленных предприятий,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рамочные</w:t>
            </w:r>
            <w:proofErr w:type="gram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решетчатые и прочих конструкций для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жилых и общественных зданий, прочие), ворота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деревянные, блоки дверные для ворот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16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4418 60 000 0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Фермы, арки, стойки и балки деревянные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17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4418 90 100 0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Конструкции деревянные клееные, несущие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(прямолинейные, гнутоклееные)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18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4418 90 800 0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Марши лестниц и их узлы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4418 90 800 0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Решетки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и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ограждения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деревянные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4418 90 800 0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Щиты и детали щитов деревянные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</w:t>
            </w:r>
            <w:proofErr w:type="gram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междукомнатных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перегородок, перекрытий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proofErr w:type="gram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жилых 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общественных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зданиях</w:t>
            </w:r>
            <w:proofErr w:type="gram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кровли, подмостей и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ограждений рабочих мест, опалубки, полов, прочие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21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9406 00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Здания и помещения сборно-разборные (жилые,</w:t>
            </w:r>
            <w:proofErr w:type="gramEnd"/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бытовые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производственные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9406 00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Здания и помещения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цельноперевозные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(жилые,</w:t>
            </w:r>
            <w:proofErr w:type="gramEnd"/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бытовые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производственные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23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9406 00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Юрты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9406 00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Будки и вышки для выхода на крышу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9406 00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 деревянные заводского изготовления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стандартные (щитовые каркасные,</w:t>
            </w:r>
            <w:proofErr w:type="gram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каркасно-фибролитовые и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арболитовые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брусчатые,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панельные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26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9406 00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Домики садовые и постройки хозяйственные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приусадебные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27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9406 00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Домики деревянные для содержания зверей, животных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и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птиц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28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9406 00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Срубы домов, бань, колодезные и прочие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1453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29</w:t>
            </w:r>
          </w:p>
        </w:tc>
        <w:tc>
          <w:tcPr>
            <w:tcW w:w="6389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9406 00</w:t>
            </w:r>
          </w:p>
        </w:tc>
        <w:tc>
          <w:tcPr>
            <w:tcW w:w="445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Конструкции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деревянные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строительные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прочие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single" w:sz="8" w:space="0" w:color="CFCFCF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7793" w:type="dxa"/>
            <w:gridSpan w:val="2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jc w:val="center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613" w:type="dxa"/>
            <w:gridSpan w:val="3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jc w:val="center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Приложение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2</w:t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  <w:t xml:space="preserve">к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Техническому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регламенту</w:t>
            </w:r>
            <w:proofErr w:type="spellEnd"/>
          </w:p>
        </w:tc>
      </w:tr>
      <w:tr w:rsidR="009947EA" w:rsidRPr="009947EA" w:rsidTr="009947EA"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196" w:name="z200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bookmarkEnd w:id="196"/>
    </w:p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proofErr w:type="spellStart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Классификация</w:t>
      </w:r>
      <w:proofErr w:type="spellEnd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деревянных</w:t>
      </w:r>
      <w:proofErr w:type="spellEnd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конструкций</w:t>
      </w:r>
      <w:proofErr w:type="spellEnd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tbl>
      <w:tblPr>
        <w:tblW w:w="0" w:type="auto"/>
        <w:tblInd w:w="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90"/>
        <w:gridCol w:w="2532"/>
        <w:gridCol w:w="471"/>
        <w:gridCol w:w="2281"/>
        <w:gridCol w:w="1315"/>
        <w:gridCol w:w="133"/>
      </w:tblGrid>
      <w:tr w:rsidR="009947EA" w:rsidRPr="009947EA" w:rsidTr="009947EA">
        <w:trPr>
          <w:trHeight w:val="30"/>
        </w:trPr>
        <w:tc>
          <w:tcPr>
            <w:tcW w:w="2190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№ п/п</w:t>
            </w:r>
          </w:p>
        </w:tc>
        <w:tc>
          <w:tcPr>
            <w:tcW w:w="1228" w:type="dxa"/>
            <w:tcBorders>
              <w:top w:val="single" w:sz="8" w:space="0" w:color="CFCFCF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Классифи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-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кационный</w:t>
            </w:r>
            <w:proofErr w:type="spellEnd"/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lastRenderedPageBreak/>
              <w:t>признак</w:t>
            </w:r>
            <w:proofErr w:type="spellEnd"/>
          </w:p>
        </w:tc>
        <w:tc>
          <w:tcPr>
            <w:tcW w:w="3725" w:type="dxa"/>
            <w:tcBorders>
              <w:top w:val="single" w:sz="8" w:space="0" w:color="CFCFCF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lastRenderedPageBreak/>
              <w:t>Вид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деревянных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конструкций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8" w:space="0" w:color="CFCFCF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Определение</w:t>
            </w:r>
            <w:proofErr w:type="spellEnd"/>
          </w:p>
        </w:tc>
        <w:tc>
          <w:tcPr>
            <w:tcW w:w="1040" w:type="dxa"/>
            <w:tcBorders>
              <w:top w:val="single" w:sz="8" w:space="0" w:color="CFCFCF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Примеры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2190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lastRenderedPageBreak/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117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2190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Основное</w:t>
            </w:r>
            <w:proofErr w:type="spellEnd"/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назначение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1.1.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Несущие</w:t>
            </w:r>
            <w:proofErr w:type="spellEnd"/>
          </w:p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1.2.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Ненесущие</w:t>
            </w:r>
            <w:proofErr w:type="spellEnd"/>
          </w:p>
        </w:tc>
        <w:tc>
          <w:tcPr>
            <w:tcW w:w="4117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Деревянные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конструкции, основной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функцией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которых</w:t>
            </w:r>
            <w:proofErr w:type="gram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является восприятие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постоянных и временных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нагрузок и обеспечение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безопасности строи-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тельных конструкций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зданий и сооружений.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Несущие деревянные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конструкции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подразделяют на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классы, группы 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категории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proofErr w:type="gram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зависимости от уровня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ответственности,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сроков службы зданий 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сооружений, в которых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применены строительные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конструкции на основе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деревянных конструкций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и условий их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эксплуатации.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Деревянные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конструк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ции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предназначенные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для выполнения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proofErr w:type="gram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основном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ограждающих</w:t>
            </w:r>
            <w:proofErr w:type="gram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и/или декоративных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функций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proofErr w:type="gram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строительных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конструкциях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и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изделиях</w:t>
            </w:r>
            <w:proofErr w:type="spellEnd"/>
            <w:proofErr w:type="gram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Балки,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брусья,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стойки,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арки,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колонны,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фермы</w:t>
            </w:r>
            <w:proofErr w:type="spellEnd"/>
          </w:p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Доски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и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щиты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2190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Количество</w:t>
            </w:r>
            <w:proofErr w:type="spell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слоев</w:t>
            </w:r>
            <w:proofErr w:type="spellEnd"/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(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ламелей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2.1.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Многослойные</w:t>
            </w:r>
            <w:proofErr w:type="spellEnd"/>
          </w:p>
        </w:tc>
        <w:tc>
          <w:tcPr>
            <w:tcW w:w="4117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Деревянные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конструкции,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поперечное сечение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которых состоит не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менее чем из двух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слоев (ламелей).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Балки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брусья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2190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sz w:val="4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sz w:val="4"/>
                <w:lang w:eastAsia="ru-RU"/>
              </w:rPr>
            </w:pPr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2.2.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Однослойные</w:t>
            </w:r>
            <w:proofErr w:type="spellEnd"/>
          </w:p>
        </w:tc>
        <w:tc>
          <w:tcPr>
            <w:tcW w:w="4117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Деревянные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конструк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ции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состоящие из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соединенных клеевой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прослойкой по длине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(в торец) и/или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</w:t>
            </w:r>
            <w:proofErr w:type="gram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ширине (по кромке)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деревянных деталей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Доски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пола,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щиты,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столярные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плиты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2190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Продольное</w:t>
            </w:r>
            <w:proofErr w:type="spellEnd"/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очертание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3.1.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Прямолинейные</w:t>
            </w:r>
            <w:proofErr w:type="spellEnd"/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3.2.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Криволинейные</w:t>
            </w:r>
            <w:proofErr w:type="spellEnd"/>
          </w:p>
        </w:tc>
        <w:tc>
          <w:tcPr>
            <w:tcW w:w="4117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-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-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2190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Поперечное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сечение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4.1.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Брусовые</w:t>
            </w:r>
            <w:proofErr w:type="spellEnd"/>
          </w:p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4.2. Брусковые</w:t>
            </w:r>
          </w:p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4.3. Дощатые</w:t>
            </w:r>
          </w:p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4.4. Щитовые</w:t>
            </w:r>
          </w:p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4.5. Цилиндрические</w:t>
            </w:r>
          </w:p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4.6. Тавровые и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двутавровые</w:t>
            </w:r>
            <w:proofErr w:type="spellEnd"/>
          </w:p>
        </w:tc>
        <w:tc>
          <w:tcPr>
            <w:tcW w:w="4117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 Многослойные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деревян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ные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конструкции,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толщина и ширина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которых более 100 мм,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а их соотношение не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более 2.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Многослойные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деревян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ные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конструкции,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толщина и ширина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которых менее 100 мм,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а их ширина не более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двойной толщины.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Многослойные или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однослойные деревянные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конструкции, ширина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которых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более двойной</w:t>
            </w:r>
            <w:proofErr w:type="gram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их толщины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Многослойные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деревян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ные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конструкции,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соотношение длины 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ширины</w:t>
            </w:r>
            <w:proofErr w:type="gram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которых не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менее 1.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Многослойные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деревянные конструкции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 круговым или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овальным поперечным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сечением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Многослойные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деревян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ные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конструкции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proofErr w:type="gram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двутавровым поперечным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сечением и стенками 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</w:t>
            </w:r>
            <w:proofErr w:type="gram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плитно-листовых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материалов, например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фанеры.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Балки,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прогоны,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арки</w:t>
            </w:r>
          </w:p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Бруски окон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и дверей</w:t>
            </w:r>
          </w:p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Паркетные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доски, доски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пола</w:t>
            </w:r>
          </w:p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Щитовые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детали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мебели,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паркетные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щиты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Колонны</w:t>
            </w:r>
          </w:p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Балки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lastRenderedPageBreak/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2190" w:type="dxa"/>
            <w:vMerge w:val="restart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 5</w:t>
            </w:r>
          </w:p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5.1.</w:t>
            </w:r>
          </w:p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5.2.</w:t>
            </w:r>
          </w:p>
        </w:tc>
        <w:tc>
          <w:tcPr>
            <w:tcW w:w="1228" w:type="dxa"/>
            <w:vMerge w:val="restart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Способ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защиты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</w:t>
            </w:r>
          </w:p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Облицовка</w:t>
            </w:r>
            <w:proofErr w:type="spellEnd"/>
          </w:p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Отделка</w:t>
            </w:r>
            <w:proofErr w:type="spellEnd"/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5.1.1.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Облицованные</w:t>
            </w:r>
            <w:proofErr w:type="spellEnd"/>
          </w:p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5.2.1. С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прозрачной</w:t>
            </w:r>
            <w:proofErr w:type="spellEnd"/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отделкой</w:t>
            </w:r>
            <w:proofErr w:type="spellEnd"/>
          </w:p>
        </w:tc>
        <w:tc>
          <w:tcPr>
            <w:tcW w:w="4117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Многослойные или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однослойные деревянные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конструкции, внешние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поверхности</w:t>
            </w:r>
            <w:proofErr w:type="gram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которых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облицованы пленочными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или плитно-листовыми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материалами.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Многослойные или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однослойные деревянные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конструкции, внешние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gram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поверхности</w:t>
            </w:r>
            <w:proofErr w:type="gram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которых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отделаны (окрашены)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прозрачными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материалами или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веществами, в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т.ч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огнестойкими, например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лаками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Подоконные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доски,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щитовые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детали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мебели,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столярные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плиты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Паркетные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доски и щиты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0" w:type="auto"/>
            <w:vMerge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rPr>
                <w:rFonts w:ascii="Consolas" w:eastAsia="Times New Roman" w:hAnsi="Consolas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rPr>
                <w:rFonts w:ascii="Consolas" w:eastAsia="Times New Roman" w:hAnsi="Consolas" w:cs="Times New Roman"/>
                <w:lang w:eastAsia="ru-RU"/>
              </w:rPr>
            </w:pPr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5.2.2.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С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непрозрачной</w:t>
            </w:r>
            <w:proofErr w:type="spellEnd"/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отделкой</w:t>
            </w:r>
            <w:proofErr w:type="spellEnd"/>
          </w:p>
        </w:tc>
        <w:tc>
          <w:tcPr>
            <w:tcW w:w="4117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Многослойные или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однослойные деревянные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конструкции, внешние поверхности которых окрашены непрозрачными веществами (красками, эмалями)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Подоконные</w:t>
            </w:r>
            <w:proofErr w:type="spell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доски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доски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пола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2190" w:type="dxa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5.3.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Пропитка</w:t>
            </w:r>
            <w:proofErr w:type="spellEnd"/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(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обработка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5.3.1.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Антисептиро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ванные</w:t>
            </w:r>
            <w:proofErr w:type="spellEnd"/>
          </w:p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5.3.2.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Антипириро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ванные</w:t>
            </w:r>
            <w:proofErr w:type="spellEnd"/>
          </w:p>
        </w:tc>
        <w:tc>
          <w:tcPr>
            <w:tcW w:w="4117" w:type="dxa"/>
            <w:gridSpan w:val="2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Многослойные или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однослойные деревянные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конструкции,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поверхности или слои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которых пропитаны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(обработаны)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биозащитными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составами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(антисептиками)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Многослойные или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однослойные деревянные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конструкции,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поверхности или слои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которых пропитаны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обработаны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огнезащитными</w:t>
            </w:r>
            <w:proofErr w:type="spell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составами</w:t>
            </w:r>
            <w:proofErr w:type="spellEnd"/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(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антипиренами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Балки,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брусья,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нелицевые</w:t>
            </w:r>
            <w:proofErr w:type="spellEnd"/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поверхности</w:t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досок пола</w:t>
            </w:r>
          </w:p>
          <w:p w:rsidR="009947EA" w:rsidRPr="009947EA" w:rsidRDefault="009947EA" w:rsidP="009947EA">
            <w:pPr>
              <w:spacing w:after="240" w:line="240" w:lineRule="auto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  <w:p w:rsidR="009947EA" w:rsidRPr="009947EA" w:rsidRDefault="009947EA" w:rsidP="009947EA">
            <w:pPr>
              <w:spacing w:after="0" w:line="240" w:lineRule="auto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Балки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</w:t>
            </w:r>
          </w:p>
          <w:p w:rsidR="009947EA" w:rsidRPr="009947EA" w:rsidRDefault="009947EA" w:rsidP="009947EA">
            <w:pPr>
              <w:spacing w:after="0" w:line="30" w:lineRule="atLeast"/>
              <w:ind w:left="20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брусья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single" w:sz="8" w:space="0" w:color="CFCFCF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line="30" w:lineRule="atLeast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Consolas" w:eastAsia="Times New Roman" w:hAnsi="Consolas" w:cs="Times New Roman"/>
                <w:lang w:eastAsia="ru-RU"/>
              </w:rPr>
              <w:t> </w:t>
            </w:r>
          </w:p>
        </w:tc>
      </w:tr>
      <w:tr w:rsidR="009947EA" w:rsidRPr="009947EA" w:rsidTr="009947EA">
        <w:trPr>
          <w:trHeight w:val="30"/>
        </w:trPr>
        <w:tc>
          <w:tcPr>
            <w:tcW w:w="7793" w:type="dxa"/>
            <w:gridSpan w:val="4"/>
            <w:tcBorders>
              <w:top w:val="nil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jc w:val="center"/>
              <w:rPr>
                <w:rFonts w:ascii="Consolas" w:eastAsia="Times New Roman" w:hAnsi="Consolas" w:cs="Times New Roman"/>
                <w:lang w:eastAsia="ru-RU"/>
              </w:rPr>
            </w:pP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 </w:t>
            </w:r>
          </w:p>
        </w:tc>
        <w:tc>
          <w:tcPr>
            <w:tcW w:w="4613" w:type="dxa"/>
            <w:gridSpan w:val="3"/>
            <w:tcBorders>
              <w:top w:val="nil"/>
              <w:left w:val="nil"/>
              <w:bottom w:val="single" w:sz="8" w:space="0" w:color="CFCFCF"/>
              <w:right w:val="single" w:sz="8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47EA" w:rsidRPr="009947EA" w:rsidRDefault="009947EA" w:rsidP="009947EA">
            <w:pPr>
              <w:spacing w:after="0" w:line="30" w:lineRule="atLeast"/>
              <w:jc w:val="center"/>
              <w:rPr>
                <w:rFonts w:ascii="Consolas" w:eastAsia="Times New Roman" w:hAnsi="Consolas" w:cs="Times New Roman"/>
                <w:lang w:eastAsia="ru-RU"/>
              </w:rPr>
            </w:pP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Приложение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3</w:t>
            </w:r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  <w:t xml:space="preserve">к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Техническому</w:t>
            </w:r>
            <w:proofErr w:type="spellEnd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947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регламенту</w:t>
            </w:r>
            <w:proofErr w:type="spellEnd"/>
          </w:p>
        </w:tc>
      </w:tr>
      <w:tr w:rsidR="009947EA" w:rsidRPr="009947EA" w:rsidTr="009947EA"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7EA" w:rsidRPr="009947EA" w:rsidRDefault="009947EA" w:rsidP="00994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9947EA" w:rsidRPr="009947EA" w:rsidRDefault="009947EA" w:rsidP="009947E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ru-RU"/>
        </w:rPr>
      </w:pPr>
      <w:bookmarkStart w:id="197" w:name="z201"/>
      <w:r w:rsidRPr="00994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Перечень гармонизированных стандартов (доказательная база)</w:t>
      </w:r>
      <w:bookmarkEnd w:id="197"/>
    </w:p>
    <w:p w:rsidR="009947EA" w:rsidRPr="009947EA" w:rsidRDefault="009947EA" w:rsidP="009947EA">
      <w:pPr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</w:t>
      </w:r>
      <w:r w:rsidRPr="00994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Сноска. Приложение 3 исключено постановлением Правительства РК от 08.02.2011 № 91 (вводится в действие со дня первого официального опубликования).</w:t>
      </w:r>
    </w:p>
    <w:p w:rsidR="009947EA" w:rsidRPr="009947EA" w:rsidRDefault="009947EA" w:rsidP="009947EA">
      <w:pPr>
        <w:spacing w:after="240" w:line="240" w:lineRule="auto"/>
        <w:rPr>
          <w:rFonts w:ascii="Consolas" w:eastAsia="Times New Roman" w:hAnsi="Consolas" w:cs="Times New Roman"/>
          <w:color w:val="000000"/>
          <w:lang w:eastAsia="ru-RU"/>
        </w:rPr>
      </w:pPr>
    </w:p>
    <w:p w:rsidR="00431791" w:rsidRDefault="00431791"/>
    <w:sectPr w:rsidR="00431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7EA"/>
    <w:rsid w:val="00431791"/>
    <w:rsid w:val="0099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7411</Words>
  <Characters>42244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2021-10-01T04:32:00Z</dcterms:created>
  <dcterms:modified xsi:type="dcterms:W3CDTF">2021-10-01T04:33:00Z</dcterms:modified>
</cp:coreProperties>
</file>