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2545"/>
            <w:tcMar>
              <w:top w:w="260" w:type="dxa"/>
              <w:bottom w:w="260" w:type="dxa"/>
              <w:start w:w="260" w:type="dxa"/>
              <w:end w:w="2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BTS</w:t>
            </w:r>
            <w:r>
              <w:rPr>
                <w:rFonts w:ascii="Calibri" w:hAnsi="Calibri"/>
                <w:b/>
                <w:i w:val="0"/>
                <w:color w:val="12B0A0"/>
                <w:sz w:val="60"/>
              </w:rPr>
              <w:t>•SYNTHETIC</w:t>
            </w:r>
          </w:p>
          <w:p>
            <w:pPr>
              <w:spacing w:before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ENTERPRISE DATA PLATFORM</w:t>
            </w:r>
          </w:p>
        </w:tc>
      </w:tr>
    </w:tbl>
    <w:p>
      <w:pPr>
        <w:spacing w:before="0" w:after="0"/>
      </w:pPr>
    </w:p>
    <w:p>
      <w:pPr>
        <w:spacing w:after="40"/>
      </w:pPr>
    </w:p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color w:val="12B0A0"/>
          <w:sz w:val="22"/>
        </w:rPr>
        <w:t>PROPOSAL IN RESPONSE TO RFP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2"/>
        </w:rPr>
        <w:t>Acme Corp Enterprise Data Platform</w:t>
      </w:r>
    </w:p>
    <w:p>
      <w:pPr>
        <w:spacing w:after="40"/>
      </w:pPr>
      <w:r>
        <w:rPr>
          <w:rFonts w:ascii="Calibri" w:hAnsi="Calibri"/>
          <w:b w:val="0"/>
          <w:i/>
          <w:color w:val="3D5A80"/>
          <w:sz w:val="24"/>
        </w:rPr>
        <w:t>A lakehouse built for real-time IoT, native Power BI, and EU data sovereignty</w:t>
      </w:r>
    </w:p>
    <w:p>
      <w:pPr>
        <w:pBdr>
          <w:bottom w:val="single" w:sz="12" w:space="6" w:color="0B2545"/>
        </w:pBdr>
        <w:spacing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PREPARED FOR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Acme Corp — Procurement Office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ATTENTION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Sarah Chen, VP Procurement  |  Marcus Webb, Chief Data Officer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SUBMITTED BY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BTS-Synthetic — Deal Desk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RFP ISSUED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12 May 2026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RESPONSE DATE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26 May 2026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B7684"/>
                <w:sz w:val="17"/>
              </w:rPr>
              <w:t>CLASSIFICATION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Confidential — for Acme Corp evaluation use only</w:t>
            </w:r>
          </w:p>
        </w:tc>
      </w:tr>
    </w:tbl>
    <w:p>
      <w:r>
        <w:br w:type="page"/>
      </w:r>
    </w:p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1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BTS-Synthetic proposes a single lakehouse platform to replace Acme's Teradata estate and ad-hoc cloud analytics — deployed Azure-native, multi-region EU/US, on open file formats. Three points define our response: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>Proven fit on what matters most.</w:t>
      </w:r>
      <w:r>
        <w:rPr>
          <w:rFonts w:ascii="Calibri" w:hAnsi="Calibri"/>
          <w:b w:val="0"/>
          <w:i w:val="0"/>
          <w:color w:val="1A1A1A"/>
          <w:sz w:val="21"/>
        </w:rPr>
        <w:t xml:space="preserve">  We meet the non-negotiables natively. Native Power BI via our dedicated DirectQuery adapter for all 600 users, real-time IoT ingest with roughly 3× headroom over Acme's 80,000 events/second peak, per-table EU data residency, and a lakehouse on Delta, Iceberg and Parquet.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>A commercial model built on TCO, not discount theatre.</w:t>
      </w:r>
      <w:r>
        <w:rPr>
          <w:rFonts w:ascii="Calibri" w:hAnsi="Calibri"/>
          <w:b w:val="0"/>
          <w:i w:val="0"/>
          <w:color w:val="1A1A1A"/>
          <w:sz w:val="21"/>
        </w:rPr>
        <w:t xml:space="preserve">  Our commercial position leads on total cost of ownership over the full 3+2 horizon rather than a headline discount, backed by a transparent five-year price schedule and a structure that has beaten Microsoft Fabric and Snowflake at comparable industrial customers.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>Low-risk delivery, honestly scoped.</w:t>
      </w:r>
      <w:r>
        <w:rPr>
          <w:rFonts w:ascii="Calibri" w:hAnsi="Calibri"/>
          <w:b w:val="0"/>
          <w:i w:val="0"/>
          <w:color w:val="1A1A1A"/>
          <w:sz w:val="21"/>
        </w:rPr>
        <w:t xml:space="preserve">  We will migrate off Teradata on a proven 16-week playbook, price the 99.99% availability tier explicitly, and put forward balanced, insurable contract terms so Acme carries no hidden delivery or legal risk.</w:t>
      </w:r>
    </w:p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2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Our Understanding of Acme's Need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Acme Corp is a $1.4B global manufacturer of industrial sensors and IoT devices, operating across 18 countries with R&amp;D in Austin and Munich and manufacturing in Mexico, Vietnam and Romania. You are a Microsoft shop on Azure, retiring on-premises Teradata warehouses through 2027. You are consolidating a patchwork of warehouses and point analytics into one enterprise data platform. As we read the RFP, success means: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Ingesting real time from ~40,000 field IoT devices (peak 80,000 events/second) alongside batch ETL from 30+ internal sources.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Serving ~600 analysts and executives through native Power BI, and ~150 data engineers through self-service data preparation.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Standing up ML pipelines for predictive maintenance as a planned next step.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Running at ~280 TB today, growing ~12 TB/month, multi-region with EU as primary and US East as secondary, and keeping EU customer data resident in the EU.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Adopting a lakehouse on open formats (Parquet, Delta, Iceberg) so Acme is never locked in.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You are evaluating on functional fit (30%), commercial terms (25%), 5-year TCO (20%), implementation risk (15%) and vendor stability plus references (10%) — against Databricks, Snowflake, Microsoft Fabric and one regional vendor. Our response is organised to win on the criteria that carry the most weight: fit, commercials and TCO.</w:t>
      </w:r>
    </w:p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3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Why BTS-Synthetic Is the Right Fit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Capability fit against your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3216"/>
        <w:gridCol w:w="3216"/>
        <w:gridCol w:w="3216"/>
      </w:tblGrid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Fit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we deliver it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Real-time IoT ingest — 40k devices, 80k eps peak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Native Kafka/Kinesis streaming, tested to 250k events/sec single-region — ~3× your peak headroom.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Batch ETL from 30+ internal sources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80+ out-of-the-box connectors (SAP, Salesforce, NetSuite, common DBs) plus Debezium CDC.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Native Power BI for 600 users (non-negotiable)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Dedicated Power BI DirectQuery adapter — our most mature BI integration, production-proven.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Self-service data prep for 150 engineers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Low-code self-service preparation UI built for the analyst/engineer persona.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ML for predictive maintenance (planned)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Full*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Model registry, offline+online feature store, autoscaling serving, bring-your-own-model.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Multi-region EU primary / US East secondary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Multi-region within Azure; active-active configuration underpins both residency and 99.99%.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EU data residency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Per-table residency pinning to EU regions; GDPR-aligned DPA available.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Lakehouse + open formats (Parquet/Delta/Iceberg)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Native lakehouse on all three formats; decoupled compute and storage — no lock-in.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Teradata decommission / migration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2B0A0"/>
                <w:sz w:val="19"/>
              </w:rPr>
              <w:t>Full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Proven 16-week full-migration playbook from legacy warehouses to lakehouse.</w:t>
            </w:r>
          </w:p>
        </w:tc>
      </w:tr>
      <w:tr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99.99% monthly uptime</w:t>
            </w:r>
          </w:p>
        </w:tc>
        <w:tc>
          <w:tcPr>
            <w:tcW w:type="dxa" w:w="115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97A00"/>
                <w:sz w:val="19"/>
              </w:rPr>
              <w:t>Add-on</w:t>
            </w:r>
          </w:p>
        </w:tc>
        <w:tc>
          <w:tcPr>
            <w:tcW w:type="dxa" w:w="460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Delivered via the multi-region active-active tier (priced explicitly in Section 4).</w:t>
            </w:r>
          </w:p>
        </w:tc>
      </w:tr>
    </w:tbl>
    <w:p>
      <w:pPr>
        <w:spacing w:before="60"/>
      </w:pPr>
      <w:r>
        <w:rPr>
          <w:rFonts w:ascii="Calibri" w:hAnsi="Calibri"/>
          <w:b w:val="0"/>
          <w:i/>
          <w:color w:val="6B7684"/>
          <w:sz w:val="17"/>
        </w:rPr>
        <w:t>* ML stack is fully available; we will confirm the required inference latency for predictive-maintenance scoring during scoping (our sweet spot is 250 ms–1 s, not sub-100 ms).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Three differentiators we will hold to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Real-time + governance at scale. </w:t>
      </w:r>
      <w:r>
        <w:rPr>
          <w:rFonts w:ascii="Calibri" w:hAnsi="Calibri"/>
          <w:b w:val="0"/>
          <w:i w:val="0"/>
          <w:color w:val="1A1A1A"/>
          <w:sz w:val="21"/>
        </w:rPr>
        <w:t xml:space="preserve">  250k events/sec proven throughput with per-table EU residency. At Initech Sensors — an industrial-IoT peer — we won on real-time ingest performance and governance maturity where Microsoft Fabric could not match the real-time SLA.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No-surprises TCO. </w:t>
      </w:r>
      <w:r>
        <w:rPr>
          <w:rFonts w:ascii="Calibri" w:hAnsi="Calibri"/>
          <w:b w:val="0"/>
          <w:i w:val="0"/>
          <w:color w:val="1A1A1A"/>
          <w:sz w:val="21"/>
        </w:rPr>
        <w:t xml:space="preserve">  Following the Globex Manufacturing playbook, we model the full 3+2-year cost at your actual workload mix (40k IoT + 30 batch sources). Fabric's "free with E5" is a headline; we show where the real spend lands in years 2–5.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Open formats, no lock-in. </w:t>
      </w:r>
      <w:r>
        <w:rPr>
          <w:rFonts w:ascii="Calibri" w:hAnsi="Calibri"/>
          <w:b w:val="0"/>
          <w:i w:val="0"/>
          <w:color w:val="1A1A1A"/>
          <w:sz w:val="21"/>
        </w:rPr>
        <w:t xml:space="preserve">  You asked for Delta, Iceberg and Parquet — we ship all three natively with compute decoupled from storage, so Acme keeps portability and leverage for the life of the contract.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How we sit against the field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3D5A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Competitor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3D5A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Their pitch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3D5A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we win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Microsoft Fabric</w:t>
              <w:br/>
              <w:t>(primary threat)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"Free with E5, native Power BI, already in your Azure tenant."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Concede the E5 economics, then win on real-time SLA and multi-region sovereignty they are still building. We own execution: Power BI that works reliably at 600 analysts and 280 TB.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Databricks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"Lakehouse, Delta/Iceberg, ML-native, open ecosystem."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Match the open-format/lakehouse story without the Spark latency tax or TCO surprise; superior real-time and finer-grained EU residency. See the Initech IoT win.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Snowflake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"Mature, proven, analysts love it, strong data sharing."</w:t>
            </w:r>
          </w:p>
        </w:tc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Win on workload fit: real-time ingest they lack, open-format portability, and cost control at 12 TB/month velocity. We beat them on TCO at Globex.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4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Commercial Proposal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Our commercial model is built to win on total cost of ownership across the full five-year horizon — the second- and third-heaviest evaluation criteria combined. We offer a transparent price schedule on our Enterprise tier, which carries the unlimited ingest and user capacity Acme's scale requires.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Five-year price schedule (illustrative, fully transparent)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Contract year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List (USD)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Discount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Net platform fee (USD)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Year 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$720,000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$576,000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Year 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$741,600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$593,280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Year 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$761,340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$611,078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Year 4 (renewal)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$784,264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$629,411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Year 5 (renewal)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$807,866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20%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$648,293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2B0A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5-year platform total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2B0A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2B0A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2B0A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$3,058,061</w:t>
            </w:r>
          </w:p>
        </w:tc>
      </w:tr>
    </w:tbl>
    <w:p>
      <w:pPr>
        <w:spacing w:before="60"/>
      </w:pPr>
      <w:r>
        <w:rPr>
          <w:rFonts w:ascii="Calibri" w:hAnsi="Calibri"/>
          <w:b w:val="0"/>
          <w:i/>
          <w:color w:val="6B7684"/>
          <w:sz w:val="17"/>
        </w:rPr>
        <w:t>Illustrative schedule at a 3% annual escalator (within a CPI+2%, 5% capped band). The 99.99% active-available tier and one-off migration services are quoted separately below. Volume and multi-year commitment can improve Year-1 discount to 25% under a full 3+2 signature.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Additional priced items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99.99% availability tier: </w:t>
      </w:r>
      <w:r>
        <w:rPr>
          <w:rFonts w:ascii="Calibri" w:hAnsi="Calibri"/>
          <w:b w:val="0"/>
          <w:i w:val="0"/>
          <w:color w:val="1A1A1A"/>
          <w:sz w:val="21"/>
        </w:rPr>
        <w:t xml:space="preserve">  approximately $80k–$120k/year for the multi-region active-active configuration that delivers the required uptime and simultaneously satisfies EU residency (see Risks).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Migration services: </w:t>
      </w:r>
      <w:r>
        <w:rPr>
          <w:rFonts w:ascii="Calibri" w:hAnsi="Calibri"/>
          <w:b w:val="0"/>
          <w:i w:val="0"/>
          <w:color w:val="1A1A1A"/>
          <w:sz w:val="21"/>
        </w:rPr>
        <w:t xml:space="preserve">  fixed-scope 16-week Teradata migration engagement, quoted on source-system discovery; any pilot/PoC fee is credited into Year 1.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Our position on the RFP's commercial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0B2545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3456"/>
            <w:shd w:val="clear" w:color="auto" w:fill="0B2545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Acme's ask</w:t>
            </w:r>
          </w:p>
        </w:tc>
        <w:tc>
          <w:tcPr>
            <w:tcW w:type="dxa" w:w="3888"/>
            <w:shd w:val="clear" w:color="auto" w:fill="0B2545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BTS-Synthetic position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 (RFP §3.1)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Acme: 3+2 years, 5-year price fixed with no escalators.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Accept 3-year initial term + 2-year renewal. Offer a capped escalator (CPI+2%, max 5%) rather than a flat 5-year freeze; renewal repriced at then-current list less the agreed discount.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Discount (§3.3)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Acme: minimum 35% off list.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We compete on TCO, not headline discount. 20% at signature, improvable toward 25% for the full 3+2 commitment — a level that has won comparable industrial deals (Globex, Initech).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Payment (§3.2)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Acme: annual in advance, Net 90.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Accept annual-in-advance billing; counter to Net 60 given Acme's credit profile (or Net 90 with an early-payment incentive).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Most Favoured Nation (§3.4)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Acme: pricing no less favourable than any comparable customer.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 blanket MFN is not something we can warrant. We will commit to fair, benchmarked pricing and, if useful, an MFN narrowed to genuinely comparable volume and term.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Termination for convenience (§3.5)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Acme: terminate anytime, 30 days' notice, no fees.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Accept termination for convenience with no cancellation penalty; request 60 days' notice and pro-rated refund of prepaid, unused fees.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5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Contract Approach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We want a contract Acme can trust and we can insure and operate. Below are our positions on the five contractual requirements that need adjustment; everything else in Section 4 of the RFP we can accept substantially as drafted. Data residency (EU-in-EU) is standard for us and fully met via Azure EU regions.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Clause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needs adjustment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Our counter-position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Liability &amp; indemnity (§4.1)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Uncapped liability plus indemnity for regulatory fines and reputational damages is uninsurable and unpriceable by any vendor.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Aggregate liability capped at 24 months' fees; uncapped carve-outs for gross negligence and IP infringement; breach costs limited to notification and forensics, excluding fines and reputational damages.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Subprocessors (§4.5)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Prior written consent at sole discretion for any subprocessor could block the core Azure infrastructure the service runs on.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Published subprocessor list with 30 days' advance notice of changes; Acme may object, and we substitute or Acme may terminate the affected service. As an Azure-native platform, our subprocessors align with Acme's own stack.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Service levels (§4.3)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Termination on any SLA miss of any duration, plus a full monthly refund, is disproportionate and destabilises delivery.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Offer 99.99% via the active-active tier; remedy is escalating service credits (capped at 30% of monthly fee) as the sole remedy; termination right only after three consecutive monthly misses, with a cure period.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Intellectual property (§4.4)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Vesting all work product, configurations and integrations in Acme on creation would assign our underlying platform IP.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BTS-Synthetic retains platform IP; Acme receives a perpetual, royalty-free licence to custom and derivative work for its internal use. (This is the model Stark Industries accepted.)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Audit (§4.2)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No-notice audits four times a year at vendor cost are operationally and commercially unworkable.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One audit per year with 30 days' notice under NDA; up to two further audits per year at Acme's cost. We provide SOC 2 Type II and ISO 27001 reports on request to reduce audit burden.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6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Risks and How We Mitigate Them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CE6"/>
          <w:left w:val="single" w:sz="6" w:space="0" w:color="D3DCE6"/>
          <w:bottom w:val="single" w:sz="6" w:space="0" w:color="D3DCE6"/>
          <w:right w:val="single" w:sz="6" w:space="0" w:color="D3DCE6"/>
          <w:insideH w:val="single" w:sz="6" w:space="0" w:color="D3DCE6"/>
          <w:insideV w:val="single" w:sz="6" w:space="0" w:color="D3DCE6"/>
        </w:tblBorders>
      </w:tblPr>
      <w:tblGrid>
        <w:gridCol w:w="4824"/>
        <w:gridCol w:w="4824"/>
      </w:tblGrid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3D5A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3D5A8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99.99% uptime is above our standard 99.95% Enterprise SLA.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Deploy the multi-region active-active tier — already required for EU residency — priced explicitly ($80k–$120k/yr) so the commitment is real, not assumed. Backed by service credits.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Interactive query performance across a 280 TB corpus for 600 concurrent BI users.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Data tiering plus intelligent caching: sub-second SQL on warmed hot data, with a cache/tier design sized to Acme's actual query patterns during scoping — not a blanket promise.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Predictive-maintenance ML may need very low inference latency.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Full ML stack (registry, feature store, autoscaling serving) is ready today; we confirm the target inference SLA in discovery, as our streaming sweet spot is 250 ms–1 s, not sub-100 ms.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Teradata migration risk while legacy systems are still live through 2027.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Proven 16-week full-migration playbook with parallel-run and phased cutover; PoC/pilot fee credited into Year 1 to de-risk the decision before full commitment.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Aggressive competitor discounting (e.g., Fabric 'free with E5').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Compete on 3+2-year TCO at Acme's real workload rather than headline price, plus a maturity and real-time-SLA advantage a bundled offering cannot match.</w:t>
            </w:r>
          </w:p>
        </w:tc>
      </w:tr>
      <w:tr>
        <w:tc>
          <w:tcPr>
            <w:tcW w:type="dxa" w:w="417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Contract terms that are uninsurable or operationally blocking.</w:t>
            </w:r>
          </w:p>
        </w:tc>
        <w:tc>
          <w:tcPr>
            <w:tcW w:type="dxa" w:w="5472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Balanced counter-positions in Section 5 that keep Acme well-protected while remaining insurable and deliverable — avoiding hidden risk premiums in our price.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i w:val="0"/>
          <w:color w:val="12B0A0"/>
          <w:sz w:val="17"/>
        </w:rPr>
        <w:t>SECTION 7</w:t>
      </w:r>
    </w:p>
    <w:p>
      <w:pPr>
        <w:spacing w:before="40" w:after="160"/>
        <w:pBdr>
          <w:bottom w:val="single" w:sz="16" w:space="6" w:color="12B0A0"/>
        </w:pBdr>
      </w:pPr>
      <w:r>
        <w:rPr>
          <w:rFonts w:ascii="Calibri" w:hAnsi="Calibri"/>
          <w:b/>
          <w:i w:val="0"/>
          <w:color w:val="0B2545"/>
          <w:sz w:val="32"/>
        </w:rPr>
        <w:t>Implementation Snapshot &amp; References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Indicative implementation milestones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Phase 0 — </w:t>
      </w:r>
      <w:r>
        <w:rPr>
          <w:rFonts w:ascii="Calibri" w:hAnsi="Calibri"/>
          <w:b w:val="0"/>
          <w:i w:val="0"/>
          <w:color w:val="1A1A1A"/>
          <w:sz w:val="21"/>
        </w:rPr>
        <w:t>Discovery &amp; architecture: source-system inventory, residency map, cache/tier design, SLA confirmation.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Phase 1 — </w:t>
      </w:r>
      <w:r>
        <w:rPr>
          <w:rFonts w:ascii="Calibri" w:hAnsi="Calibri"/>
          <w:b w:val="0"/>
          <w:i w:val="0"/>
          <w:color w:val="1A1A1A"/>
          <w:sz w:val="21"/>
        </w:rPr>
        <w:t>First production workload live (real-time IoT ingest + core Power BI models) — target 8 weeks from a clean start.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Phase 2 — </w:t>
      </w:r>
      <w:r>
        <w:rPr>
          <w:rFonts w:ascii="Calibri" w:hAnsi="Calibri"/>
          <w:b w:val="0"/>
          <w:i w:val="0"/>
          <w:color w:val="1A1A1A"/>
          <w:sz w:val="21"/>
        </w:rPr>
        <w:t>Full Teradata migration with parallel run and phased cutover — target 16 weeks.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Phase 3 — </w:t>
      </w:r>
      <w:r>
        <w:rPr>
          <w:rFonts w:ascii="Calibri" w:hAnsi="Calibri"/>
          <w:b w:val="0"/>
          <w:i w:val="0"/>
          <w:color w:val="1A1A1A"/>
          <w:sz w:val="21"/>
        </w:rPr>
        <w:t>Self-service enablement for 150 engineers and predictive-maintenance ML foundation.</w:t>
      </w:r>
    </w:p>
    <w:p>
      <w:pPr>
        <w:spacing w:before="160" w:after="60"/>
      </w:pPr>
      <w:r>
        <w:rPr>
          <w:rFonts w:ascii="Calibri" w:hAnsi="Calibri"/>
          <w:b/>
          <w:i w:val="0"/>
          <w:color w:val="3D5A80"/>
          <w:sz w:val="23"/>
        </w:rPr>
        <w:t>Reference customers (similar scale, Power BI, Azure)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We will provide three named references on shortlisting, drawn from comparable engagements: an industrial-IoT peer that selected us over Microsoft Fabric on real-time performance and governance; a global manufacturer where we won a 3-year TCO comparison against Snowflake and Databricks; and a large enterprise running native Power BI at scale on our platform.</w:t>
      </w:r>
    </w:p>
    <w:p>
      <w:pPr>
        <w:spacing w:before="200"/>
        <w:shd w:val="clear" w:color="auto" w:fill="F2F5F8"/>
      </w:pPr>
      <w:r>
        <w:rPr>
          <w:rFonts w:ascii="Calibri" w:hAnsi="Calibri"/>
          <w:b/>
          <w:i w:val="0"/>
          <w:color w:val="0B2545"/>
          <w:sz w:val="21"/>
        </w:rPr>
        <w:t xml:space="preserve">Next step:  </w:t>
      </w:r>
      <w:r>
        <w:rPr>
          <w:rFonts w:ascii="Calibri" w:hAnsi="Calibri"/>
          <w:b w:val="0"/>
          <w:i w:val="0"/>
          <w:color w:val="1A1A1A"/>
          <w:sz w:val="21"/>
        </w:rPr>
        <w:t>We propose a side-by-side working session — live real-time ingest at 250k events/sec, native Power BI on Acme data, and a transparent 3+2-year TCO model against your shortlist. Direct responses to procurement@acme-synthetic.example by 26 May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684"/>
        <w:sz w:val="16"/>
      </w:rPr>
      <w:t>BTS-Synthetic  ·  Confidential  ·  Proposal Response — Acme Corp Enterprise Data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0B2545"/>
        <w:sz w:val="18"/>
      </w:rPr>
      <w:t>BTS</w:t>
    </w:r>
    <w:r>
      <w:rPr>
        <w:rFonts w:ascii="Calibri" w:hAnsi="Calibri"/>
        <w:b/>
        <w:i w:val="0"/>
        <w:color w:val="12B0A0"/>
        <w:sz w:val="18"/>
      </w:rPr>
      <w:t>•SYNTHETIC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