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color="auto" w:fill="12224A"/>
            <w:tcMar>
              <w:top w:w="240" w:type="dxa"/>
              <w:bottom w:w="240" w:type="dxa"/>
              <w:start w:w="300" w:type="dxa"/>
              <w:end w:w="300" w:type="dxa"/>
              <w:left w:w="300" w:type="dxa"/>
              <w:right w:w="30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BTS·SYNTHETIC</w:t>
            </w:r>
          </w:p>
          <w:p>
            <w:pPr>
              <w:spacing w:before="40"/>
            </w:pPr>
            <w:r>
              <w:rPr>
                <w:rFonts w:ascii="Calibri" w:hAnsi="Calibri"/>
                <w:b/>
                <w:i w:val="0"/>
                <w:color w:val="F5B301"/>
                <w:sz w:val="22"/>
              </w:rPr>
              <w:t>INTERACTIVE EXPERIENCES STUDIO</w:t>
            </w:r>
          </w:p>
        </w:tc>
      </w:tr>
    </w:tbl>
    <w:p>
      <w:pPr>
        <w:spacing w:before="200" w:after="0" w:line="269" w:lineRule="auto"/>
      </w:pPr>
    </w:p>
    <w:p>
      <w:pPr>
        <w:spacing w:before="360" w:after="40" w:line="269" w:lineRule="auto"/>
        <w:jc w:val="left"/>
      </w:pPr>
      <w:r>
        <w:rPr>
          <w:rFonts w:ascii="Calibri" w:hAnsi="Calibri"/>
          <w:b/>
          <w:i w:val="0"/>
          <w:color w:val="1FA8A0"/>
          <w:sz w:val="22"/>
        </w:rPr>
        <w:t>RESPONSE TO REQUEST FOR PROPOSAL</w:t>
      </w:r>
    </w:p>
    <w:p>
      <w:pPr>
        <w:spacing w:before="0" w:after="0" w:line="269" w:lineRule="auto"/>
      </w:pPr>
      <w:r>
        <w:rPr>
          <w:rFonts w:ascii="Calibri" w:hAnsi="Calibri"/>
          <w:b/>
          <w:i w:val="0"/>
          <w:color w:val="12224A"/>
          <w:sz w:val="64"/>
        </w:rPr>
        <w:t>Quacktastic Checkers Arena</w:t>
      </w:r>
    </w:p>
    <w:p>
      <w:pPr>
        <w:spacing w:before="40" w:after="120" w:line="269" w:lineRule="auto"/>
      </w:pPr>
      <w:r>
        <w:rPr>
          <w:rFonts w:ascii="Calibri" w:hAnsi="Calibri"/>
          <w:b w:val="0"/>
          <w:i/>
          <w:color w:val="5B6675"/>
          <w:sz w:val="26"/>
        </w:rPr>
        <w:t>A flagship rubber-duck checkers browser game for QuacktasticIndustries.com</w:t>
      </w:r>
    </w:p>
    <w:p>
      <w:pPr>
        <w:spacing w:before="40" w:after="160"/>
        <w:pBdr>
          <w:bottom w:val="single" w:sz="22" w:space="1" w:color="F5B30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Borders>
          <w:insideH w:val="single" w:sz="4" w:space="0" w:color="D3D9E4"/>
        </w:tblBorders>
      </w:tblPr>
      <w:tblGrid>
        <w:gridCol w:w="2448"/>
        <w:gridCol w:w="7200"/>
      </w:tblGrid>
      <w:tr>
        <w:tc>
          <w:tcPr>
            <w:tcW w:type="dxa" w:w="2448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shd w:val="clear" w:color="auto" w:fill="E9EE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224A"/>
                <w:sz w:val="18"/>
              </w:rPr>
              <w:t>PREPARED FOR</w:t>
            </w:r>
          </w:p>
        </w:tc>
        <w:tc>
          <w:tcPr>
            <w:tcW w:type="dxa" w:w="7200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Quacktastic Industries — Marketing Technology Office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shd w:val="clear" w:color="auto" w:fill="E9EE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224A"/>
                <w:sz w:val="18"/>
              </w:rPr>
              <w:t>ATTENTION</w:t>
            </w:r>
          </w:p>
        </w:tc>
        <w:tc>
          <w:tcPr>
            <w:tcW w:type="dxa" w:w="7200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Priyanka Osei, Marketing Technology Manager · Nate Callahan, Front-End Engineering Lead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shd w:val="clear" w:color="auto" w:fill="E9EE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224A"/>
                <w:sz w:val="18"/>
              </w:rPr>
              <w:t>RFP REFERENCE</w:t>
            </w:r>
          </w:p>
        </w:tc>
        <w:tc>
          <w:tcPr>
            <w:tcW w:type="dxa" w:w="7200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rfp-11-quacktastic-checkers  ·  issued 2026-02-04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shd w:val="clear" w:color="auto" w:fill="E9EE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224A"/>
                <w:sz w:val="18"/>
              </w:rPr>
              <w:t>RESPONSE DATE</w:t>
            </w:r>
          </w:p>
        </w:tc>
        <w:tc>
          <w:tcPr>
            <w:tcW w:type="dxa" w:w="7200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2026-02-18  (on deadline)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shd w:val="clear" w:color="auto" w:fill="E9EE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224A"/>
                <w:sz w:val="18"/>
              </w:rPr>
              <w:t>AWARD EXPECTED</w:t>
            </w:r>
          </w:p>
        </w:tc>
        <w:tc>
          <w:tcPr>
            <w:tcW w:type="dxa" w:w="7200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2026-03-10  ·  ahead of the post-IPO brand relaunch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shd w:val="clear" w:color="auto" w:fill="E9EE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224A"/>
                <w:sz w:val="18"/>
              </w:rPr>
              <w:t>PREPARED BY</w:t>
            </w:r>
          </w:p>
        </w:tc>
        <w:tc>
          <w:tcPr>
            <w:tcW w:type="dxa" w:w="7200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BTS-Synthetic Interactive Experiences Studio — Deal Desk</w:t>
            </w:r>
          </w:p>
        </w:tc>
      </w:tr>
    </w:tbl>
    <w:p>
      <w:pPr>
        <w:spacing w:before="120" w:after="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color="auto" w:fill="E9EEF7"/>
            <w:tcMar>
              <w:top w:w="160" w:type="dxa"/>
              <w:bottom w:w="160" w:type="dxa"/>
              <w:start w:w="260" w:type="dxa"/>
              <w:end w:w="260" w:type="dxa"/>
              <w:left w:w="260" w:type="dxa"/>
              <w:right w:w="2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12224A"/>
                <w:sz w:val="23"/>
              </w:rPr>
              <w:t>“We’ve shipped your exact scenario — a real-time multiplayer game that held 100% uptime through a livestream spike — twice.”</w:t>
            </w:r>
          </w:p>
        </w:tc>
      </w:tr>
    </w:tbl>
    <w:p>
      <w:pPr>
        <w:spacing w:before="160" w:after="0" w:line="269" w:lineRule="auto"/>
      </w:pPr>
    </w:p>
    <w:p>
      <w:pPr>
        <w:spacing w:before="120" w:after="120" w:line="269" w:lineRule="auto"/>
        <w:jc w:val="center"/>
      </w:pPr>
      <w:r>
        <w:rPr>
          <w:rFonts w:ascii="Calibri" w:hAnsi="Calibri"/>
          <w:b w:val="0"/>
          <w:i/>
          <w:color w:val="5B6675"/>
          <w:sz w:val="17"/>
        </w:rPr>
        <w:t>CONFIDENTIAL — Prepared solely for Quacktastic Industries in response to the above RFP. Contains commercially sensitive pricing and proposed contract positions.</w:t>
      </w:r>
    </w:p>
    <w:p>
      <w:pPr>
        <w:sectPr>
          <w:pgSz w:w="12240" w:h="15840"/>
          <w:pgMar w:top="0" w:right="1296" w:bottom="864" w:left="1296" w:header="576" w:footer="576" w:gutter="0"/>
          <w:cols w:space="720"/>
          <w:docGrid w:linePitch="360"/>
        </w:sectPr>
      </w:pPr>
    </w:p>
    <w:p>
      <w:pPr>
        <w:keepNext/>
        <w:spacing w:before="320" w:after="40"/>
      </w:pPr>
      <w:r>
        <w:rPr>
          <w:rFonts w:ascii="Calibri" w:hAnsi="Calibri"/>
          <w:b/>
          <w:i w:val="0"/>
          <w:color w:val="C68C00"/>
          <w:sz w:val="30"/>
        </w:rPr>
        <w:t xml:space="preserve">01  </w:t>
      </w:r>
      <w:r>
        <w:rPr>
          <w:rFonts w:ascii="Calibri" w:hAnsi="Calibri"/>
          <w:b/>
          <w:i w:val="0"/>
          <w:color w:val="12224A"/>
          <w:sz w:val="30"/>
        </w:rPr>
        <w:t>EXECUTIVE SUMMARY</w:t>
      </w:r>
    </w:p>
    <w:p>
      <w:pPr>
        <w:spacing w:before="40" w:after="160"/>
        <w:pBdr>
          <w:bottom w:val="single" w:sz="18" w:space="1" w:color="F5B301"/>
        </w:pBdr>
      </w:pP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E293B"/>
          <w:sz w:val="21"/>
        </w:rPr>
        <w:t>Quacktastic Industries is putting a rubber-duck checkers game on the homepage as the flagship asset of its post-IPO brand relaunch — and it has to survive a 40,000-visitor livestream with a 100%-uptime window while quacking, bowing and fidgeting on cue. That is precisely the kind of real-time, high-visibility, campaign-critical interactive build our Studio ships. Three things to take away: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We have already shipped your exact scenario — twice. </w:t>
      </w:r>
      <w:r>
        <w:rPr>
          <w:rFonts w:ascii="Calibri" w:hAnsi="Calibri"/>
          <w:b w:val="0"/>
          <w:i w:val="0"/>
          <w:color w:val="1E293B"/>
          <w:sz w:val="21"/>
        </w:rPr>
        <w:t>Fizzwick Beverages ran a real-time multiplayer promo game on its homepage that held 100% uptime through a Super Bowl livestream at 32,000 concurrent on pre-warmed capacity with sub-200ms sync. Marlowe Board &amp; Bar ran a browser board-game suite (shareable-link multiplayer + 3-tier AI) whose server-authoritative rules engine and reconnection beat an indie studio on reliability. Your IPO relaunch is our home turf.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Full functional fit, with real-time quality to spare. </w:t>
      </w:r>
      <w:r>
        <w:rPr>
          <w:rFonts w:ascii="Calibri" w:hAnsi="Calibri"/>
          <w:b w:val="0"/>
          <w:i w:val="0"/>
          <w:color w:val="1E293B"/>
          <w:sz w:val="21"/>
        </w:rPr>
        <w:t>Server-authoritative rules engine with server-side legal-move validation (mandatory and multi-jump chains), 3-tier AI including “Ruthless Duck”, shareable-link multiplayer with reconnect-to-the-same-state, p95 sync under 400ms against your 500ms bar, a clean sandboxed-iframe embed, and WCAG 2.2 AA with a genuinely colorblind-safe alternate duck skin — not a toggle, a real fallback.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Transparent commercials and de-risked delivery. </w:t>
      </w:r>
      <w:r>
        <w:rPr>
          <w:rFonts w:ascii="Calibri" w:hAnsi="Calibri"/>
          <w:b w:val="0"/>
          <w:i w:val="0"/>
          <w:color w:val="1E293B"/>
          <w:sz w:val="21"/>
        </w:rPr>
        <w:t>Our Flagship package includes the dedicated livestream war-room your 100%-uptime window demands. We meet your 20%-off-list requirement, price the full two years transparently ($828,000 across Years 1–2 in the recommended scenario), and deliver on a 12-week track engineered backward from your livestream date, with pre-warm and a game-day runbook for the 40K spike.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"/>
        <w:gridCol w:w="9533"/>
      </w:tblGrid>
      <w:tr>
        <w:tc>
          <w:tcPr>
            <w:tcW w:type="dxa" w:w="115"/>
            <w:shd w:val="clear" w:color="auto" w:fill="F5B301"/>
          </w:tcPr>
          <w:p>
            <w:r/>
          </w:p>
        </w:tc>
        <w:tc>
          <w:tcPr>
            <w:tcW w:type="dxa" w:w="9533"/>
            <w:shd w:val="clear" w:color="auto" w:fill="E9EEF7"/>
            <w:tcMar>
              <w:top w:w="100" w:type="dxa"/>
              <w:bottom w:w="10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2224A"/>
                <w:sz w:val="21"/>
              </w:rPr>
              <w:t>Bottom line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High technical fit, no functional gaps, proven livestream reliability, and a specialist track record the other bidders can’t match. The one dependency we ask you to lock early is the livestream date — it drives the pre-warm and rehearsal window that makes the 100%-uptime commitment safe.</w:t>
            </w:r>
          </w:p>
        </w:tc>
      </w:tr>
    </w:tbl>
    <w:p>
      <w:pPr>
        <w:spacing w:after="40"/>
      </w:pPr>
    </w:p>
    <w:p>
      <w:pPr>
        <w:keepNext/>
        <w:spacing w:before="320" w:after="40"/>
      </w:pPr>
      <w:r>
        <w:rPr>
          <w:rFonts w:ascii="Calibri" w:hAnsi="Calibri"/>
          <w:b/>
          <w:i w:val="0"/>
          <w:color w:val="C68C00"/>
          <w:sz w:val="30"/>
        </w:rPr>
        <w:t xml:space="preserve">02  </w:t>
      </w:r>
      <w:r>
        <w:rPr>
          <w:rFonts w:ascii="Calibri" w:hAnsi="Calibri"/>
          <w:b/>
          <w:i w:val="0"/>
          <w:color w:val="12224A"/>
          <w:sz w:val="30"/>
        </w:rPr>
        <w:t>OUR UNDERSTANDING OF YOUR NEED</w:t>
      </w:r>
    </w:p>
    <w:p>
      <w:pPr>
        <w:spacing w:before="40" w:after="160"/>
        <w:pBdr>
          <w:bottom w:val="single" w:sz="18" w:space="1" w:color="F5B301"/>
        </w:pBdr>
      </w:pP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E293B"/>
          <w:sz w:val="21"/>
        </w:rPr>
        <w:t>This is a Marketing-owned campaign asset, not core infrastructure — which shapes every recommendation in this response, from the annual term to the commercial structure. As we read the RFP: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Flagship homepage experience. </w:t>
      </w:r>
      <w:r>
        <w:rPr>
          <w:rFonts w:ascii="Calibri" w:hAnsi="Calibri"/>
          <w:b w:val="0"/>
          <w:i w:val="0"/>
          <w:color w:val="1E293B"/>
          <w:sz w:val="21"/>
        </w:rPr>
        <w:t>A checkers game reskinned entirely with rubber ducks (Classic Yellow vs. Bath-Time Blue), embedded in an iframe on QuacktasticIndustries.com without disturbing your existing header and footer.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Delight and correctness together. </w:t>
      </w:r>
      <w:r>
        <w:rPr>
          <w:rFonts w:ascii="Calibri" w:hAnsi="Calibri"/>
          <w:b w:val="0"/>
          <w:i w:val="0"/>
          <w:color w:val="1E293B"/>
          <w:sz w:val="21"/>
        </w:rPr>
        <w:t>Quacks on every move, a triumphant quack on captures, a winner’s bow, ducks that fidget when the 30-second timer runs low — all on top of a rules engine that never lets a duck move illegally, “no matter how much the player insists it can fly.”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Two ways to play. </w:t>
      </w:r>
      <w:r>
        <w:rPr>
          <w:rFonts w:ascii="Calibri" w:hAnsi="Calibri"/>
          <w:b w:val="0"/>
          <w:i w:val="0"/>
          <w:color w:val="1E293B"/>
          <w:sz w:val="21"/>
        </w:rPr>
        <w:t>Single-player vs. a computer at three difficulties (Easy, Medium, and — final, per Marketing — “Ruthless Duck”), and real-time two-player over a shareable game link, resilient to a mid-game refresh.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A hard, public moment. </w:t>
      </w:r>
      <w:r>
        <w:rPr>
          <w:rFonts w:ascii="Calibri" w:hAnsi="Calibri"/>
          <w:b w:val="0"/>
          <w:i w:val="0"/>
          <w:color w:val="1E293B"/>
          <w:sz w:val="21"/>
        </w:rPr>
        <w:t>~40,000 concurrent visitors during the IPO relaunch livestream, with a pre-announced 4-hour 100%-uptime window and 99.9% monthly the rest of the time.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Accessibility that is real. </w:t>
      </w:r>
      <w:r>
        <w:rPr>
          <w:rFonts w:ascii="Calibri" w:hAnsi="Calibri"/>
          <w:b w:val="0"/>
          <w:i w:val="0"/>
          <w:color w:val="1E293B"/>
          <w:sz w:val="21"/>
        </w:rPr>
        <w:t>Full keyboard navigation of the board and a colorblind-safe alternate skin as a true fallback — the default yellow/blue pairing is not CVD-safe, and you have told us you need the alternate to actually work.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A clear division of labour. </w:t>
      </w:r>
      <w:r>
        <w:rPr>
          <w:rFonts w:ascii="Calibri" w:hAnsi="Calibri"/>
          <w:b w:val="0"/>
          <w:i w:val="0"/>
          <w:color w:val="1E293B"/>
          <w:sz w:val="21"/>
        </w:rPr>
        <w:t>Quacktastic supplies the duck artwork; we rig it into a functioning, animated board. We are the engineering and reliability partner.</w:t>
      </w:r>
    </w:p>
    <w:p>
      <w:pPr>
        <w:keepNext/>
        <w:spacing w:before="320" w:after="40"/>
      </w:pPr>
      <w:r>
        <w:rPr>
          <w:rFonts w:ascii="Calibri" w:hAnsi="Calibri"/>
          <w:b/>
          <w:i w:val="0"/>
          <w:color w:val="C68C00"/>
          <w:sz w:val="30"/>
        </w:rPr>
        <w:t xml:space="preserve">03  </w:t>
      </w:r>
      <w:r>
        <w:rPr>
          <w:rFonts w:ascii="Calibri" w:hAnsi="Calibri"/>
          <w:b/>
          <w:i w:val="0"/>
          <w:color w:val="12224A"/>
          <w:sz w:val="30"/>
        </w:rPr>
        <w:t>WHY BTS-SYNTHETIC IS THE RIGHT FIT</w:t>
      </w:r>
    </w:p>
    <w:p>
      <w:pPr>
        <w:spacing w:before="40" w:after="160"/>
        <w:pBdr>
          <w:bottom w:val="single" w:sz="18" w:space="1" w:color="F5B301"/>
        </w:pBdr>
      </w:pP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E293B"/>
          <w:sz w:val="21"/>
        </w:rPr>
        <w:t>The RFP weights functional fit (35%), real-time quality (20%) and implementation risk (20%) far above headline price (15%). Those are exactly the axes where a specialist interactive studio pulls ahead of the alternatives in this field.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C3063"/>
          <w:sz w:val="24"/>
        </w:rPr>
        <w:t>The competitive picture — and how we win 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9E4"/>
          <w:left w:val="single" w:sz="4" w:space="0" w:color="D3D9E4"/>
          <w:bottom w:val="single" w:sz="4" w:space="0" w:color="D3D9E4"/>
          <w:right w:val="single" w:sz="4" w:space="0" w:color="D3D9E4"/>
          <w:insideH w:val="single" w:sz="4" w:space="0" w:color="D3D9E4"/>
          <w:insideV w:val="single" w:sz="4" w:space="0" w:color="D3D9E4"/>
        </w:tblBorders>
      </w:tblPr>
      <w:tblGrid>
        <w:gridCol w:w="1944"/>
        <w:gridCol w:w="2520"/>
        <w:gridCol w:w="2736"/>
        <w:gridCol w:w="2448"/>
      </w:tblGrid>
      <w:tr>
        <w:tc>
          <w:tcPr>
            <w:tcW w:type="dxa" w:w="1944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Bidder</w:t>
            </w:r>
          </w:p>
        </w:tc>
        <w:tc>
          <w:tcPr>
            <w:tcW w:type="dxa" w:w="2520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they’ll pitch</w:t>
            </w:r>
          </w:p>
        </w:tc>
        <w:tc>
          <w:tcPr>
            <w:tcW w:type="dxa" w:w="2736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Where they’re exposed</w:t>
            </w:r>
          </w:p>
        </w:tc>
        <w:tc>
          <w:tcPr>
            <w:tcW w:type="dxa" w:w="2448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Our counter</w:t>
            </w:r>
          </w:p>
        </w:tc>
      </w:tr>
      <w:tr>
        <w:tc>
          <w:tcPr>
            <w:tcW w:type="dxa" w:w="194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24A"/>
                <w:sz w:val="18"/>
              </w:rPr>
              <w:t>Waterfowl Analytics Inc.</w:t>
            </w:r>
          </w:p>
        </w:tc>
        <w:tc>
          <w:tcPr>
            <w:tcW w:type="dxa" w:w="252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An existing relationship (they also bid your data-platform RFP) and a cross-sell story.</w:t>
            </w:r>
          </w:p>
        </w:tc>
        <w:tc>
          <w:tcPr>
            <w:tcW w:type="dxa" w:w="273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 data-analytics firm bidding out of its core area — no proven real-time game shipping, likely a third-party engine bolt-on that adds latency risk and triggers your subprocessor-consent clause.</w:t>
            </w:r>
          </w:p>
        </w:tc>
        <w:tc>
          <w:tcPr>
            <w:tcW w:type="dxa" w:w="2448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We own the entire stack — rules engine, realtime sync, reconnection — with a measured p95 under 400ms.</w:t>
            </w:r>
          </w:p>
        </w:tc>
      </w:tr>
      <w:tr>
        <w:tc>
          <w:tcPr>
            <w:tcW w:type="dxa" w:w="194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24A"/>
                <w:sz w:val="18"/>
              </w:rPr>
              <w:t>Boutique indie studio</w:t>
            </w:r>
          </w:p>
        </w:tc>
        <w:tc>
          <w:tcPr>
            <w:tcW w:type="dxa" w:w="252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Beautiful ducks and authentic game feel (recommended by the CMO’s nephew).</w:t>
            </w:r>
          </w:p>
        </w:tc>
        <w:tc>
          <w:tcPr>
            <w:tcW w:type="dxa" w:w="273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Rarely battle-tested at 40K concurrent or a 100%-uptime livestream window; accessibility and contract/security maturity (SOC 2, ISO 27001, DPA, IP, subprocessors) are typically gaps.</w:t>
            </w:r>
          </w:p>
        </w:tc>
        <w:tc>
          <w:tcPr>
            <w:tcW w:type="dxa" w:w="2448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You supply the art — so art isn’t the battleground. Marlowe shows we beat an indie studio on reliability.</w:t>
            </w:r>
          </w:p>
        </w:tc>
      </w:tr>
      <w:tr>
        <w:tc>
          <w:tcPr>
            <w:tcW w:type="dxa" w:w="194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24A"/>
                <w:sz w:val="18"/>
              </w:rPr>
              <w:t>Databricks</w:t>
            </w:r>
          </w:p>
        </w:tc>
        <w:tc>
          <w:tcPr>
            <w:tcW w:type="dxa" w:w="252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Nothing — they declined, citing “this is not really our area.”</w:t>
            </w:r>
          </w:p>
        </w:tc>
        <w:tc>
          <w:tcPr>
            <w:tcW w:type="dxa" w:w="273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Confirms generic data/AI vendors don’t fit interactive delivery.</w:t>
            </w:r>
          </w:p>
        </w:tc>
        <w:tc>
          <w:tcPr>
            <w:tcW w:type="dxa" w:w="2448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Even Databricks says this needs a specialist. Nine years of browser games and real-time builds say we are it.</w:t>
            </w:r>
          </w:p>
        </w:tc>
      </w:tr>
    </w:tbl>
    <w:p>
      <w:pPr>
        <w:spacing w:before="0" w:after="12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"/>
        <w:gridCol w:w="9533"/>
      </w:tblGrid>
      <w:tr>
        <w:tc>
          <w:tcPr>
            <w:tcW w:type="dxa" w:w="115"/>
            <w:shd w:val="clear" w:color="auto" w:fill="F5B301"/>
          </w:tcPr>
          <w:p>
            <w:r/>
          </w:p>
        </w:tc>
        <w:tc>
          <w:tcPr>
            <w:tcW w:type="dxa" w:w="9533"/>
            <w:shd w:val="clear" w:color="auto" w:fill="FBF3D8"/>
            <w:tcMar>
              <w:top w:w="100" w:type="dxa"/>
              <w:bottom w:w="10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2224A"/>
                <w:sz w:val="21"/>
              </w:rPr>
              <w:t>Our opening move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Lead with the Fizzwick livestream (100% uptime at 32K concurrent through a Super Bowl spike — directly analogous to your IPO window), pair it with Marlowe (“beat an indie studio on reliability”), and close on Verdant Parks (WCAG 2.2 AA with colorblind-safe palettes as a first-class fallback). We’ve shipped the exact scenario you’re facing — twice.</w:t>
            </w:r>
          </w:p>
        </w:tc>
      </w:tr>
    </w:tbl>
    <w:p>
      <w:pPr>
        <w:spacing w:after="40"/>
      </w:pPr>
    </w:p>
    <w:p>
      <w:pPr>
        <w:keepNext/>
        <w:spacing w:before="320" w:after="40"/>
      </w:pPr>
      <w:r>
        <w:rPr>
          <w:rFonts w:ascii="Calibri" w:hAnsi="Calibri"/>
          <w:b/>
          <w:i w:val="0"/>
          <w:color w:val="C68C00"/>
          <w:sz w:val="30"/>
        </w:rPr>
        <w:t xml:space="preserve">04  </w:t>
      </w:r>
      <w:r>
        <w:rPr>
          <w:rFonts w:ascii="Calibri" w:hAnsi="Calibri"/>
          <w:b/>
          <w:i w:val="0"/>
          <w:color w:val="12224A"/>
          <w:sz w:val="30"/>
        </w:rPr>
        <w:t>TECHNICAL PROPOSAL</w:t>
      </w:r>
    </w:p>
    <w:p>
      <w:pPr>
        <w:spacing w:before="40" w:after="160"/>
        <w:pBdr>
          <w:bottom w:val="single" w:sz="18" w:space="1" w:color="F5B301"/>
        </w:pBdr>
      </w:pP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E293B"/>
          <w:sz w:val="21"/>
        </w:rPr>
        <w:t>Our fit assessment against the Studio capability map is HIGH, with no outright gaps across Sections 2.1–2.3 of the RFP. The table below is a requirement-by-requirement verdict; the architecture follows.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C3063"/>
          <w:sz w:val="24"/>
        </w:rPr>
        <w:t>4.1  Requirement-by-requirement fit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9E4"/>
          <w:left w:val="single" w:sz="4" w:space="0" w:color="D3D9E4"/>
          <w:bottom w:val="single" w:sz="4" w:space="0" w:color="D3D9E4"/>
          <w:right w:val="single" w:sz="4" w:space="0" w:color="D3D9E4"/>
          <w:insideH w:val="single" w:sz="4" w:space="0" w:color="D3D9E4"/>
          <w:insideV w:val="single" w:sz="4" w:space="0" w:color="D3D9E4"/>
        </w:tblBorders>
      </w:tblPr>
      <w:tblGrid>
        <w:gridCol w:w="3672"/>
        <w:gridCol w:w="1512"/>
        <w:gridCol w:w="4464"/>
      </w:tblGrid>
      <w:tr>
        <w:tc>
          <w:tcPr>
            <w:tcW w:type="dxa" w:w="3672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RFP requirement</w:t>
            </w:r>
          </w:p>
        </w:tc>
        <w:tc>
          <w:tcPr>
            <w:tcW w:type="dxa" w:w="1512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Verdict</w:t>
            </w:r>
          </w:p>
        </w:tc>
        <w:tc>
          <w:tcPr>
            <w:tcW w:type="dxa" w:w="4464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we meet it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8×8 board, 12 ducks/side, 2 colorways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Covered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Client-supplied duck art rigged onto our board; two skins configured.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Movement, mandatory jumps, multi-jump chains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Covered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Turn-based rules engine — standard board-game capability.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King promotion with rendered rubber crown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Covered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Promotion logic + art rigging and animation.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Server-side legal-move validation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Covered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Direct match — the client never adjudicates legality; server is authoritative.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Single-player, 3 difficulties incl. “Ruthless Duck”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Covered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Minimax/alpha-beta AI, 3 tunable tiers (reused Marlowe harness).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Real-time 2-player via shareable link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Covered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Built-in shareable-link matchmaking, no account required.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Turn indicator + 30s timer with low-time fidget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Covered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Per-turn countdown with low-time animation states.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SFX: quack on move, louder on capture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Covered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Per-event audio with mute + autoplay-policy handling.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Win/lose/draw + “ducks take a bow” animation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Covered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End-state detection with win/lose animation sequence.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Move-history panel (last 10+ moves)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A6B00"/>
                <w:sz w:val="17"/>
              </w:rPr>
              <w:t>Covered — note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Trivial derivative of the server-authoritative state log — minor scope add, no risk.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Mobile: drag-and-drop AND tap-to-select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Covered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Both input modes from one responsive codebase.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Full keyboard navigation of the board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Covered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Direct match — keyboard nav of the board is standard for us.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Colorblind-safe alternate skin (real fallback)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Covered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First-class tested CVD-safe pairing (Okabe–Ito), not a toggle.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5,000 concurrent games at launch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Covered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Routine tier for our platform.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40,000 peak during the livestream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A6B00"/>
                <w:sz w:val="17"/>
              </w:rPr>
              <w:t>Covered — note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Within our tested 50K envelope — requires scheduled pre-warm (see Risks).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Reconnect mid-game to the same state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Covered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Per-match persisted state; refresh rejoins the same match, same state.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Evergreen browsers, no plugin/download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Covered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Chrome, Firefox, Safari, Edge.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Real-time sync &lt; 500ms round-trip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Covered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Median 120–180ms, p95 &lt; 400ms — inside the bar with margin.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Clean iframe embed (no header/footer collision)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Covered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Sandboxed-iframe widget model, isolated from host CSS.</w:t>
            </w:r>
          </w:p>
        </w:tc>
      </w:tr>
      <w:tr>
        <w:tc>
          <w:tcPr>
            <w:tcW w:type="dxa" w:w="367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Analytics incl. abandonment-by-difficulty</w:t>
            </w:r>
          </w:p>
        </w:tc>
        <w:tc>
          <w:tcPr>
            <w:tcW w:type="dxa" w:w="151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Covered</w:t>
            </w:r>
          </w:p>
        </w:tc>
        <w:tc>
          <w:tcPr>
            <w:tcW w:type="dxa" w:w="44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Out-of-box funnel/abandonment by segment; only signup email is PII.</w:t>
            </w:r>
          </w:p>
        </w:tc>
      </w:tr>
    </w:tbl>
    <w:p>
      <w:pPr>
        <w:spacing w:before="0" w:after="120" w:line="269" w:lineRule="auto"/>
      </w:pP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5B6675"/>
          <w:sz w:val="18"/>
        </w:rPr>
        <w:t xml:space="preserve">Verdict key: </w:t>
      </w:r>
    </w:p>
    <w:p>
      <w:pPr>
        <w:spacing w:after="120"/>
      </w:pPr>
      <w:r>
        <w:rPr>
          <w:rFonts w:ascii="Calibri" w:hAnsi="Calibri"/>
          <w:b/>
          <w:i w:val="0"/>
          <w:color w:val="1E7A46"/>
          <w:sz w:val="18"/>
        </w:rPr>
        <w:t>Covered</w:t>
      </w:r>
      <w:r>
        <w:rPr>
          <w:rFonts w:ascii="Calibri" w:hAnsi="Calibri"/>
          <w:b w:val="0"/>
          <w:i w:val="0"/>
          <w:color w:val="5B6675"/>
          <w:sz w:val="18"/>
        </w:rPr>
        <w:t xml:space="preserve"> = direct capability match.   </w:t>
      </w:r>
      <w:r>
        <w:rPr>
          <w:rFonts w:ascii="Calibri" w:hAnsi="Calibri"/>
          <w:b/>
          <w:i w:val="0"/>
          <w:color w:val="9A6B00"/>
          <w:sz w:val="18"/>
        </w:rPr>
        <w:t>Covered — note</w:t>
      </w:r>
      <w:r>
        <w:rPr>
          <w:rFonts w:ascii="Calibri" w:hAnsi="Calibri"/>
          <w:b w:val="0"/>
          <w:i w:val="0"/>
          <w:color w:val="5B6675"/>
          <w:sz w:val="18"/>
        </w:rPr>
        <w:t xml:space="preserve"> = delivered, with a scheduling or minor-scope note.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C3063"/>
          <w:sz w:val="24"/>
        </w:rPr>
        <w:t>4.2  Proposed real-time architecture</w:t>
      </w: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E293B"/>
          <w:sz w:val="21"/>
        </w:rPr>
        <w:t>The design is server-authoritative end to end: browsers render and send intents, and a single source of truth on our side validates, mutates and broadcasts state. The diagram shows the components and the two core data flows; the narrative beneath explains a single move and a reconnect.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993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99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  <w:jc w:val="center"/>
      </w:pPr>
      <w:r>
        <w:rPr>
          <w:rFonts w:ascii="Calibri" w:hAnsi="Calibri"/>
          <w:b w:val="0"/>
          <w:i/>
          <w:color w:val="5B6675"/>
          <w:sz w:val="17"/>
        </w:rPr>
        <w:t>Figure 1 — Proposed real-time architecture for Quacktastic Checkers Arena.</w:t>
      </w:r>
    </w:p>
    <w:p>
      <w:pPr>
        <w:spacing w:before="0" w:after="120" w:line="269" w:lineRule="auto"/>
      </w:pP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C3063"/>
          <w:sz w:val="21"/>
        </w:rPr>
        <w:t>Components.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E293B"/>
          <w:sz w:val="21"/>
        </w:rPr>
        <w:t xml:space="preserve">Client (React/TypeScript SPA in a sandboxed iframe). </w:t>
      </w:r>
      <w:r>
        <w:rPr>
          <w:rFonts w:ascii="Calibri" w:hAnsi="Calibri"/>
          <w:b w:val="0"/>
          <w:i w:val="0"/>
          <w:color w:val="1E293B"/>
          <w:sz w:val="21"/>
        </w:rPr>
        <w:t>Renders the board, ducks, crown, animations and SFX; supports drag-and-drop and tap-to-select plus full keyboard navigation; sends move intents only — it never decides legality.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E293B"/>
          <w:sz w:val="21"/>
        </w:rPr>
        <w:t xml:space="preserve">Authoritative game server + rules engine. </w:t>
      </w:r>
      <w:r>
        <w:rPr>
          <w:rFonts w:ascii="Calibri" w:hAnsi="Calibri"/>
          <w:b w:val="0"/>
          <w:i w:val="0"/>
          <w:color w:val="1E293B"/>
          <w:sz w:val="21"/>
        </w:rPr>
        <w:t>Owns board state as the single source of truth; enforces legal moves, mandatory jumps, multi-jump chains and king promotion; broadcasts the new state after every accepted move.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E293B"/>
          <w:sz w:val="21"/>
        </w:rPr>
        <w:t xml:space="preserve">Managed WebSocket realtime tier. </w:t>
      </w:r>
      <w:r>
        <w:rPr>
          <w:rFonts w:ascii="Calibri" w:hAnsi="Calibri"/>
          <w:b w:val="0"/>
          <w:i w:val="0"/>
          <w:color w:val="1E293B"/>
          <w:sz w:val="21"/>
        </w:rPr>
        <w:t>Bi-directional sync relaying intents and state deltas between clients and server — median 120–180ms, p95 under 400ms on typical broadband.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E293B"/>
          <w:sz w:val="21"/>
        </w:rPr>
        <w:t xml:space="preserve">Per-match state store (Redis-class). </w:t>
      </w:r>
      <w:r>
        <w:rPr>
          <w:rFonts w:ascii="Calibri" w:hAnsi="Calibri"/>
          <w:b w:val="0"/>
          <w:i w:val="0"/>
          <w:color w:val="1E293B"/>
          <w:sz w:val="21"/>
        </w:rPr>
        <w:t>Keyed by the match ID embedded in the shareable game link; persists every match so a dropped or refreshed player rejoins the same match in the same state.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E293B"/>
          <w:sz w:val="21"/>
        </w:rPr>
        <w:t xml:space="preserve">AI opponent service. </w:t>
      </w:r>
      <w:r>
        <w:rPr>
          <w:rFonts w:ascii="Calibri" w:hAnsi="Calibri"/>
          <w:b w:val="0"/>
          <w:i w:val="0"/>
          <w:color w:val="1E293B"/>
          <w:sz w:val="21"/>
        </w:rPr>
        <w:t>Minimax/alpha-beta search with three difficulty configurations (Easy, Medium, Ruthless Duck), invoked on the computer’s turn.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E293B"/>
          <w:sz w:val="21"/>
        </w:rPr>
        <w:t xml:space="preserve">Scale + analytics. </w:t>
      </w:r>
      <w:r>
        <w:rPr>
          <w:rFonts w:ascii="Calibri" w:hAnsi="Calibri"/>
          <w:b w:val="0"/>
          <w:i w:val="0"/>
          <w:color w:val="1E293B"/>
          <w:sz w:val="21"/>
        </w:rPr>
        <w:t>Horizontal autoscaling with a pre-warm pool sized to ~1.5× expected peak ahead of the livestream, plus a privacy-first analytics pipeline (games started/completed, average length, abandonment by difficulty).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C3063"/>
          <w:sz w:val="21"/>
        </w:rPr>
        <w:t xml:space="preserve">Move flow. </w:t>
      </w:r>
    </w:p>
    <w:p>
      <w:pPr>
        <w:spacing w:before="0" w:after="80" w:line="269" w:lineRule="auto"/>
      </w:pPr>
      <w:r>
        <w:rPr>
          <w:rFonts w:ascii="Calibri" w:hAnsi="Calibri"/>
          <w:b w:val="0"/>
          <w:i w:val="0"/>
          <w:color w:val="1E293B"/>
          <w:sz w:val="21"/>
        </w:rPr>
        <w:t>The SPA sends a move intent → the realtime tier forwards it → the game server validates it (legality + mandatory-jump enforcement) → mutates the authoritative state → persists to the match store → broadcasts the new state to both clients (or the AI service) → clients render the animation and SFX → an analytics event is emitted.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1C3063"/>
          <w:sz w:val="21"/>
        </w:rPr>
        <w:t xml:space="preserve">Reconnect flow. </w:t>
      </w:r>
    </w:p>
    <w:p>
      <w:pPr>
        <w:spacing w:before="0" w:after="80" w:line="269" w:lineRule="auto"/>
      </w:pPr>
      <w:r>
        <w:rPr>
          <w:rFonts w:ascii="Calibri" w:hAnsi="Calibri"/>
          <w:b w:val="0"/>
          <w:i w:val="0"/>
          <w:color w:val="1E293B"/>
          <w:sz w:val="21"/>
        </w:rPr>
        <w:t>A player refreshes → the SPA rejoins via the match ID from the shareable link → the match store returns the current authoritative state → the server re-pushes it → the board re-renders exactly as left. No ducks lost.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"/>
        <w:gridCol w:w="9533"/>
      </w:tblGrid>
      <w:tr>
        <w:tc>
          <w:tcPr>
            <w:tcW w:type="dxa" w:w="115"/>
            <w:shd w:val="clear" w:color="auto" w:fill="1FA8A0"/>
          </w:tcPr>
          <w:p>
            <w:r/>
          </w:p>
        </w:tc>
        <w:tc>
          <w:tcPr>
            <w:tcW w:type="dxa" w:w="9533"/>
            <w:shd w:val="clear" w:color="auto" w:fill="E9EEF7"/>
            <w:tcMar>
              <w:top w:w="100" w:type="dxa"/>
              <w:bottom w:w="10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2224A"/>
                <w:sz w:val="21"/>
              </w:rPr>
              <w:t>Latency &amp; netcode note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Checkers at 30 seconds per move is casual turn-based and sits comfortably inside our realtime tier. This is deliberately not twitch/rollback e-sports netcode — so our p95-under-400ms figure carries real margin against your 500ms requirement even during the livestream spike.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C3063"/>
          <w:sz w:val="24"/>
        </w:rPr>
        <w:t>4.3  Scale, latency &amp; livestream readiness</w:t>
      </w: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E293B"/>
          <w:sz w:val="21"/>
        </w:rPr>
        <w:t>Our platform is production-tested to 50,000 concurrent sessions in a single region with horizontal autoscaling. 5,000 concurrent at launch is routine; the ~40,000 livestream peak is inside that envelope provided we pre-warm capacity to roughly 1.5× expected peak ahead of the announced window — the same playbook that carried Fizzwick’s Super Bowl spike to 100% uptime. The Flagship package wraps this in a game-day war-room, a runbook and a 100%-uptime rehearsal for the pre-announced 4-hour window.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C3063"/>
          <w:sz w:val="24"/>
        </w:rPr>
        <w:t>4.4  Accessibility</w:t>
      </w: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E293B"/>
          <w:sz w:val="21"/>
        </w:rPr>
        <w:t>Accessibility is built in, not bolted on: a WCAG 2.2 AA target, full keyboard navigation of the board, screen-reader move announcements, reduced-motion support, and — critically for you — a tested colorblind-safe alternate duck skin (an Okabe–Ito orange/sky-blue pairing with dark outlines and shape cues) shipped as a genuine fallback. This is the same first-class accessibility approach that won us Verdant Parks Authority.</w:t>
      </w:r>
    </w:p>
    <w:p>
      <w:pPr>
        <w:keepNext/>
        <w:spacing w:before="320" w:after="40"/>
      </w:pPr>
      <w:r>
        <w:rPr>
          <w:rFonts w:ascii="Calibri" w:hAnsi="Calibri"/>
          <w:b/>
          <w:i w:val="0"/>
          <w:color w:val="C68C00"/>
          <w:sz w:val="30"/>
        </w:rPr>
        <w:t xml:space="preserve">05  </w:t>
      </w:r>
      <w:r>
        <w:rPr>
          <w:rFonts w:ascii="Calibri" w:hAnsi="Calibri"/>
          <w:b/>
          <w:i w:val="0"/>
          <w:color w:val="12224A"/>
          <w:sz w:val="30"/>
        </w:rPr>
        <w:t>BOARD &amp; DUCK-PIECE MOCKUP</w:t>
      </w:r>
    </w:p>
    <w:p>
      <w:pPr>
        <w:spacing w:before="40" w:after="160"/>
        <w:pBdr>
          <w:bottom w:val="single" w:sz="18" w:space="1" w:color="F5B301"/>
        </w:pBdr>
      </w:pP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E293B"/>
          <w:sz w:val="21"/>
        </w:rPr>
        <w:t>The RFP invites an indicative mockup of the board and a single duck piece at proposal stage. The wireframe below shows the full playing surface (Classic Yellow vs. Bath-Time Blue), a selected piece with its legal-move targets highlighted, an in-play king with a rendered rubber crown, and the surrounding UI — turn indicator, the 30-second timer in its low-time state, and the move-history panel. The right column shows the single-piece detail (regular “man” and crowned “king”) and the colorblind-safe alternate skin as a real fallback.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135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mock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35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  <w:jc w:val="center"/>
      </w:pPr>
      <w:r>
        <w:rPr>
          <w:rFonts w:ascii="Calibri" w:hAnsi="Calibri"/>
          <w:b w:val="0"/>
          <w:i/>
          <w:color w:val="5B6675"/>
          <w:sz w:val="17"/>
        </w:rPr>
        <w:t>Figure 2 — Indicative board and duck-piece mockup (wireframe).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"/>
        <w:gridCol w:w="9533"/>
      </w:tblGrid>
      <w:tr>
        <w:tc>
          <w:tcPr>
            <w:tcW w:type="dxa" w:w="115"/>
            <w:shd w:val="clear" w:color="auto" w:fill="F5B301"/>
          </w:tcPr>
          <w:p>
            <w:r/>
          </w:p>
        </w:tc>
        <w:tc>
          <w:tcPr>
            <w:tcW w:type="dxa" w:w="9533"/>
            <w:shd w:val="clear" w:color="auto" w:fill="E9EEF7"/>
            <w:tcMar>
              <w:top w:w="100" w:type="dxa"/>
              <w:bottom w:w="10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2224A"/>
                <w:sz w:val="21"/>
              </w:rPr>
              <w:t>A note on the mockup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This is an indicative wireframe produced by our team to illustrate layout, states and the accessibility fallback — it is not final art. Final visuals will be rigged from the duck artwork Quacktastic supplies at kickoff; our role is to bring your ducks to life on a correct, reliable board, including the crowned-king treatment and the tested CVD-safe alternate pairing.</w:t>
            </w:r>
          </w:p>
        </w:tc>
      </w:tr>
    </w:tbl>
    <w:p>
      <w:pPr>
        <w:spacing w:after="40"/>
      </w:pPr>
    </w:p>
    <w:p>
      <w:pPr>
        <w:keepNext/>
        <w:spacing w:before="320" w:after="40"/>
      </w:pPr>
      <w:r>
        <w:rPr>
          <w:rFonts w:ascii="Calibri" w:hAnsi="Calibri"/>
          <w:b/>
          <w:i w:val="0"/>
          <w:color w:val="C68C00"/>
          <w:sz w:val="30"/>
        </w:rPr>
        <w:t xml:space="preserve">06  </w:t>
      </w:r>
      <w:r>
        <w:rPr>
          <w:rFonts w:ascii="Calibri" w:hAnsi="Calibri"/>
          <w:b/>
          <w:i w:val="0"/>
          <w:color w:val="12224A"/>
          <w:sz w:val="30"/>
        </w:rPr>
        <w:t>COMMERCIAL PROPOSAL — TWO-YEAR TRANSPARENCY</w:t>
      </w:r>
    </w:p>
    <w:p>
      <w:pPr>
        <w:spacing w:before="40" w:after="160"/>
        <w:pBdr>
          <w:bottom w:val="single" w:sz="18" w:space="1" w:color="F5B301"/>
        </w:pBdr>
      </w:pPr>
    </w:p>
    <w:p>
      <w:pPr>
        <w:spacing w:before="0" w:after="40" w:line="269" w:lineRule="auto"/>
      </w:pPr>
      <w:r>
        <w:rPr>
          <w:rFonts w:ascii="Calibri" w:hAnsi="Calibri"/>
          <w:b w:val="0"/>
          <w:i w:val="0"/>
          <w:color w:val="1E293B"/>
          <w:sz w:val="21"/>
        </w:rPr>
        <w:t xml:space="preserve">We recommend the </w:t>
      </w:r>
      <w:r>
        <w:rPr>
          <w:rFonts w:ascii="Calibri" w:hAnsi="Calibri"/>
          <w:b/>
          <w:i w:val="0"/>
          <w:color w:val="12224A"/>
          <w:sz w:val="21"/>
        </w:rPr>
        <w:t>Flagship</w:t>
      </w:r>
      <w:r>
        <w:rPr>
          <w:rFonts w:ascii="Calibri" w:hAnsi="Calibri"/>
          <w:b w:val="0"/>
          <w:i w:val="0"/>
          <w:color w:val="1E293B"/>
          <w:sz w:val="21"/>
        </w:rPr>
        <w:t xml:space="preserve"> package at $360,000 annual list. Your requirement — 100% uptime for a pre-announced 4-hour livestream at 40K concurrent — is the specific trigger for Flagship rather than Campaign Pro: Pro covers 40K load-testing and 24/7 launch support, but only Flagship adds the dedicated war-room and 100%-uptime rehearsal that de-risk your exact scenario (the same tier that carried Fizzwick’s Super Bowl livestream). A Campaign Pro + war-room add-on is available as a fallback if budget requires.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C3063"/>
          <w:sz w:val="24"/>
        </w:rPr>
        <w:t>6.1  Pricing terms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Discount — 20% off list. </w:t>
      </w:r>
      <w:r>
        <w:rPr>
          <w:rFonts w:ascii="Calibri" w:hAnsi="Calibri"/>
          <w:b w:val="0"/>
          <w:i w:val="0"/>
          <w:color w:val="1E293B"/>
          <w:sz w:val="21"/>
        </w:rPr>
        <w:t>Your ≥20% requirement is met. At this deal size (&gt;$300K) 20% is our standard maximum, so no strategic exception is needed. We grant it tied to the full 1-year + 1-year term and a public reference/case study; a firm two-year commitment would unlock a further 3%.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One-time build fee — $252,000 </w:t>
      </w:r>
      <w:r>
        <w:rPr>
          <w:rFonts w:ascii="Calibri" w:hAnsi="Calibri"/>
          <w:b w:val="0"/>
          <w:i w:val="0"/>
          <w:color w:val="1E293B"/>
          <w:sz w:val="21"/>
        </w:rPr>
        <w:t>(0.70× the annual run fee), reflecting the war-room and custom art rigging, and offset by our reusable turn-based rules engine and minimax harness. Creditable toward Year 1 on a signed multi-year.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Payment — Net 60, billed in advance. </w:t>
      </w:r>
      <w:r>
        <w:rPr>
          <w:rFonts w:ascii="Calibri" w:hAnsi="Calibri"/>
          <w:b w:val="0"/>
          <w:i w:val="0"/>
          <w:color w:val="1E293B"/>
          <w:sz w:val="21"/>
        </w:rPr>
        <w:t>Accepted as requested (consistent with the Fizzwick precedent); we do not extend beyond Net 60.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Term — 1 year + 1-year renewal option. </w:t>
      </w:r>
      <w:r>
        <w:rPr>
          <w:rFonts w:ascii="Calibri" w:hAnsi="Calibri"/>
          <w:b w:val="0"/>
          <w:i w:val="0"/>
          <w:color w:val="1E293B"/>
          <w:sz w:val="21"/>
        </w:rPr>
        <w:t>Appropriate for a Marketing-owned campaign asset on an annual budget cycle.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MFN — excluded. </w:t>
      </w:r>
      <w:r>
        <w:rPr>
          <w:rFonts w:ascii="Calibri" w:hAnsi="Calibri"/>
          <w:b w:val="0"/>
          <w:i w:val="0"/>
          <w:color w:val="1E293B"/>
          <w:sz w:val="21"/>
        </w:rPr>
        <w:t>Not requested; we confirm it stays out of the agreement.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C3063"/>
          <w:sz w:val="24"/>
        </w:rPr>
        <w:t>6.2  Recommended two-year pricing (20% off, public reference)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9E4"/>
          <w:left w:val="single" w:sz="4" w:space="0" w:color="D3D9E4"/>
          <w:bottom w:val="single" w:sz="4" w:space="0" w:color="D3D9E4"/>
          <w:right w:val="single" w:sz="4" w:space="0" w:color="D3D9E4"/>
          <w:insideH w:val="single" w:sz="4" w:space="0" w:color="D3D9E4"/>
          <w:insideV w:val="single" w:sz="4" w:space="0" w:color="D3D9E4"/>
        </w:tblBorders>
      </w:tblPr>
      <w:tblGrid>
        <w:gridCol w:w="5616"/>
        <w:gridCol w:w="2016"/>
        <w:gridCol w:w="2016"/>
      </w:tblGrid>
      <w:tr>
        <w:tc>
          <w:tcPr>
            <w:tcW w:type="dxa" w:w="5616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Line item</w:t>
            </w:r>
          </w:p>
        </w:tc>
        <w:tc>
          <w:tcPr>
            <w:tcW w:type="dxa" w:w="2016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Year 1</w:t>
            </w:r>
          </w:p>
        </w:tc>
        <w:tc>
          <w:tcPr>
            <w:tcW w:type="dxa" w:w="2016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Year 2</w:t>
            </w:r>
          </w:p>
        </w:tc>
      </w:tr>
      <w:tr>
        <w:tc>
          <w:tcPr>
            <w:tcW w:type="dxa" w:w="561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Annual list (run / license)</w:t>
            </w:r>
          </w:p>
        </w:tc>
        <w:tc>
          <w:tcPr>
            <w:tcW w:type="dxa" w:w="201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$360,000</w:t>
            </w:r>
          </w:p>
        </w:tc>
        <w:tc>
          <w:tcPr>
            <w:tcW w:type="dxa" w:w="201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$360,000</w:t>
            </w:r>
          </w:p>
        </w:tc>
      </w:tr>
      <w:tr>
        <w:tc>
          <w:tcPr>
            <w:tcW w:type="dxa" w:w="561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Discount applied</w:t>
            </w:r>
          </w:p>
        </w:tc>
        <w:tc>
          <w:tcPr>
            <w:tcW w:type="dxa" w:w="201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20%</w:t>
            </w:r>
          </w:p>
        </w:tc>
        <w:tc>
          <w:tcPr>
            <w:tcW w:type="dxa" w:w="201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20%</w:t>
            </w:r>
          </w:p>
        </w:tc>
      </w:tr>
      <w:tr>
        <w:tc>
          <w:tcPr>
            <w:tcW w:type="dxa" w:w="561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Discounted run fee</w:t>
            </w:r>
          </w:p>
        </w:tc>
        <w:tc>
          <w:tcPr>
            <w:tcW w:type="dxa" w:w="201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2224A"/>
                <w:sz w:val="20"/>
              </w:rPr>
              <w:t>$288,000</w:t>
            </w:r>
          </w:p>
        </w:tc>
        <w:tc>
          <w:tcPr>
            <w:tcW w:type="dxa" w:w="201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2224A"/>
                <w:sz w:val="20"/>
              </w:rPr>
              <w:t>$288,000</w:t>
            </w:r>
          </w:p>
        </w:tc>
      </w:tr>
      <w:tr>
        <w:tc>
          <w:tcPr>
            <w:tcW w:type="dxa" w:w="561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One-time build fee (creditable)</w:t>
            </w:r>
          </w:p>
        </w:tc>
        <w:tc>
          <w:tcPr>
            <w:tcW w:type="dxa" w:w="201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$252,000</w:t>
            </w:r>
          </w:p>
        </w:tc>
        <w:tc>
          <w:tcPr>
            <w:tcW w:type="dxa" w:w="201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$0</w:t>
            </w:r>
          </w:p>
        </w:tc>
      </w:tr>
      <w:tr>
        <w:tc>
          <w:tcPr>
            <w:tcW w:type="dxa" w:w="561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D9F0E3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24A"/>
                <w:sz w:val="20"/>
              </w:rPr>
              <w:t>Total per year</w:t>
            </w:r>
          </w:p>
        </w:tc>
        <w:tc>
          <w:tcPr>
            <w:tcW w:type="dxa" w:w="201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D9F0E3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2224A"/>
                <w:sz w:val="20"/>
              </w:rPr>
              <w:t>$540,000</w:t>
            </w:r>
          </w:p>
        </w:tc>
        <w:tc>
          <w:tcPr>
            <w:tcW w:type="dxa" w:w="201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D9F0E3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2224A"/>
                <w:sz w:val="20"/>
              </w:rPr>
              <w:t>$288,000</w:t>
            </w:r>
          </w:p>
        </w:tc>
      </w:tr>
    </w:tbl>
    <w:p>
      <w:pPr>
        <w:spacing w:before="0" w:after="120" w:line="269" w:lineRule="auto"/>
      </w:pPr>
    </w:p>
    <w:p>
      <w:pPr>
        <w:spacing w:after="160"/>
      </w:pPr>
      <w:r>
        <w:rPr>
          <w:rFonts w:ascii="Calibri" w:hAnsi="Calibri"/>
          <w:b/>
          <w:i w:val="0"/>
          <w:color w:val="12224A"/>
          <w:sz w:val="21"/>
        </w:rPr>
        <w:t xml:space="preserve">Two-year total (recommended): </w:t>
      </w:r>
      <w:r>
        <w:rPr>
          <w:rFonts w:ascii="Calibri" w:hAnsi="Calibri"/>
          <w:b/>
          <w:i w:val="0"/>
          <w:color w:val="1E7A46"/>
          <w:sz w:val="26"/>
        </w:rPr>
        <w:t>$828,000</w:t>
      </w:r>
      <w:r>
        <w:rPr>
          <w:rFonts w:ascii="Calibri" w:hAnsi="Calibri"/>
          <w:b w:val="0"/>
          <w:i/>
          <w:color w:val="5B6675"/>
          <w:sz w:val="20"/>
        </w:rPr>
        <w:t xml:space="preserve">   —  fully transparent, no hidden run-rate escalators.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C3063"/>
          <w:sz w:val="24"/>
        </w:rPr>
        <w:t>6.3  Alternative scenarios (for planning transparency)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9E4"/>
          <w:left w:val="single" w:sz="4" w:space="0" w:color="D3D9E4"/>
          <w:bottom w:val="single" w:sz="4" w:space="0" w:color="D3D9E4"/>
          <w:right w:val="single" w:sz="4" w:space="0" w:color="D3D9E4"/>
          <w:insideH w:val="single" w:sz="4" w:space="0" w:color="D3D9E4"/>
          <w:insideV w:val="single" w:sz="4" w:space="0" w:color="D3D9E4"/>
        </w:tblBorders>
      </w:tblPr>
      <w:tblGrid>
        <w:gridCol w:w="4176"/>
        <w:gridCol w:w="1296"/>
        <w:gridCol w:w="1584"/>
        <w:gridCol w:w="1584"/>
        <w:gridCol w:w="1728"/>
      </w:tblGrid>
      <w:tr>
        <w:tc>
          <w:tcPr>
            <w:tcW w:type="dxa" w:w="4176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Scenario</w:t>
            </w:r>
          </w:p>
        </w:tc>
        <w:tc>
          <w:tcPr>
            <w:tcW w:type="dxa" w:w="1296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Discount</w:t>
            </w:r>
          </w:p>
        </w:tc>
        <w:tc>
          <w:tcPr>
            <w:tcW w:type="dxa" w:w="1584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Year 1</w:t>
            </w:r>
          </w:p>
        </w:tc>
        <w:tc>
          <w:tcPr>
            <w:tcW w:type="dxa" w:w="1584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Year 2</w:t>
            </w:r>
          </w:p>
        </w:tc>
        <w:tc>
          <w:tcPr>
            <w:tcW w:type="dxa" w:w="1728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2-year total</w:t>
            </w:r>
          </w:p>
        </w:tc>
      </w:tr>
      <w:tr>
        <w:tc>
          <w:tcPr>
            <w:tcW w:type="dxa" w:w="417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24A"/>
                <w:sz w:val="18"/>
              </w:rPr>
              <w:t>Recommended — 20% off + public reference</w:t>
            </w:r>
          </w:p>
        </w:tc>
        <w:tc>
          <w:tcPr>
            <w:tcW w:type="dxa" w:w="129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20%</w:t>
            </w:r>
          </w:p>
        </w:tc>
        <w:tc>
          <w:tcPr>
            <w:tcW w:type="dxa" w:w="158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$540,000</w:t>
            </w:r>
          </w:p>
        </w:tc>
        <w:tc>
          <w:tcPr>
            <w:tcW w:type="dxa" w:w="158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$288,000</w:t>
            </w:r>
          </w:p>
        </w:tc>
        <w:tc>
          <w:tcPr>
            <w:tcW w:type="dxa" w:w="1728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2224A"/>
                <w:sz w:val="18"/>
              </w:rPr>
              <w:t>$828,000</w:t>
            </w:r>
          </w:p>
        </w:tc>
      </w:tr>
      <w:tr>
        <w:tc>
          <w:tcPr>
            <w:tcW w:type="dxa" w:w="417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Best case — firm 2-year commit</w:t>
            </w:r>
          </w:p>
        </w:tc>
        <w:tc>
          <w:tcPr>
            <w:tcW w:type="dxa" w:w="129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23%</w:t>
            </w:r>
          </w:p>
        </w:tc>
        <w:tc>
          <w:tcPr>
            <w:tcW w:type="dxa" w:w="158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$529,200</w:t>
            </w:r>
          </w:p>
        </w:tc>
        <w:tc>
          <w:tcPr>
            <w:tcW w:type="dxa" w:w="158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$277,200</w:t>
            </w:r>
          </w:p>
        </w:tc>
        <w:tc>
          <w:tcPr>
            <w:tcW w:type="dxa" w:w="1728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$806,400</w:t>
            </w:r>
          </w:p>
        </w:tc>
      </w:tr>
      <w:tr>
        <w:tc>
          <w:tcPr>
            <w:tcW w:type="dxa" w:w="417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Downside — no reference (open at 15%)</w:t>
            </w:r>
          </w:p>
        </w:tc>
        <w:tc>
          <w:tcPr>
            <w:tcW w:type="dxa" w:w="129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15%</w:t>
            </w:r>
          </w:p>
        </w:tc>
        <w:tc>
          <w:tcPr>
            <w:tcW w:type="dxa" w:w="158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$558,000</w:t>
            </w:r>
          </w:p>
        </w:tc>
        <w:tc>
          <w:tcPr>
            <w:tcW w:type="dxa" w:w="158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$306,000</w:t>
            </w:r>
          </w:p>
        </w:tc>
        <w:tc>
          <w:tcPr>
            <w:tcW w:type="dxa" w:w="1728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$864,000</w:t>
            </w:r>
          </w:p>
        </w:tc>
      </w:tr>
    </w:tbl>
    <w:p>
      <w:pPr>
        <w:spacing w:before="0" w:after="120" w:line="269" w:lineRule="auto"/>
      </w:pPr>
    </w:p>
    <w:p>
      <w:pPr>
        <w:spacing w:before="0" w:after="120" w:line="269" w:lineRule="auto"/>
      </w:pPr>
      <w:r>
        <w:rPr>
          <w:rFonts w:ascii="Calibri" w:hAnsi="Calibri"/>
          <w:b w:val="0"/>
          <w:i/>
          <w:color w:val="5B6675"/>
          <w:sz w:val="18"/>
        </w:rPr>
        <w:t>All figures include the one-time $252,000 build fee in Year 1. The build fee is creditable toward Year 1 on a signed multi-year, and we structure it up-front to protect the war-room investment against the 30-day termination-for-convenience right (see Contract Approach).</w:t>
      </w:r>
    </w:p>
    <w:p>
      <w:pPr>
        <w:keepNext/>
        <w:spacing w:before="320" w:after="40"/>
      </w:pPr>
      <w:r>
        <w:rPr>
          <w:rFonts w:ascii="Calibri" w:hAnsi="Calibri"/>
          <w:b/>
          <w:i w:val="0"/>
          <w:color w:val="C68C00"/>
          <w:sz w:val="30"/>
        </w:rPr>
        <w:t xml:space="preserve">07  </w:t>
      </w:r>
      <w:r>
        <w:rPr>
          <w:rFonts w:ascii="Calibri" w:hAnsi="Calibri"/>
          <w:b/>
          <w:i w:val="0"/>
          <w:color w:val="12224A"/>
          <w:sz w:val="30"/>
        </w:rPr>
        <w:t>IMPLEMENTATION PLAN — WORKING BACKWARD FROM THE LIVESTREAM</w:t>
      </w:r>
    </w:p>
    <w:p>
      <w:pPr>
        <w:spacing w:before="40" w:after="160"/>
        <w:pBdr>
          <w:bottom w:val="single" w:sz="18" w:space="1" w:color="F5B301"/>
        </w:pBdr>
      </w:pP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E293B"/>
          <w:sz w:val="21"/>
        </w:rPr>
        <w:t>We plan against your livestream — call it L-day — not against a generic start date, because the 100%-uptime window is the moment everything is engineered to survive. The award is fixed at 2026-03-10; the exact livestream date is “TBD at kickoff.” Our track needs a full 12 weeks from kickoff to L-day so the pre-warm and rehearsal buffer is real rather than nominal — locking the date early is the single most important thing we ask of you (see Risks).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9E4"/>
          <w:left w:val="single" w:sz="4" w:space="0" w:color="D3D9E4"/>
          <w:bottom w:val="single" w:sz="4" w:space="0" w:color="D3D9E4"/>
          <w:right w:val="single" w:sz="4" w:space="0" w:color="D3D9E4"/>
          <w:insideH w:val="single" w:sz="4" w:space="0" w:color="D3D9E4"/>
          <w:insideV w:val="single" w:sz="4" w:space="0" w:color="D3D9E4"/>
        </w:tblBorders>
      </w:tblPr>
      <w:tblGrid>
        <w:gridCol w:w="2520"/>
        <w:gridCol w:w="2232"/>
        <w:gridCol w:w="4896"/>
      </w:tblGrid>
      <w:tr>
        <w:tc>
          <w:tcPr>
            <w:tcW w:type="dxa" w:w="2520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Milestone</w:t>
            </w:r>
          </w:p>
        </w:tc>
        <w:tc>
          <w:tcPr>
            <w:tcW w:type="dxa" w:w="2232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Timing vs. livestream (L)</w:t>
            </w:r>
          </w:p>
        </w:tc>
        <w:tc>
          <w:tcPr>
            <w:tcW w:type="dxa" w:w="4896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252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24A"/>
                <w:sz w:val="18"/>
              </w:rPr>
              <w:t>Kickoff</w:t>
            </w:r>
          </w:p>
        </w:tc>
        <w:tc>
          <w:tcPr>
            <w:tcW w:type="dxa" w:w="223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 − 12 weeks</w:t>
            </w:r>
          </w:p>
        </w:tc>
        <w:tc>
          <w:tcPr>
            <w:tcW w:type="dxa" w:w="489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SOW signed, environments stood up, duck-art delivery scheduled, livestream date locked.</w:t>
            </w:r>
          </w:p>
        </w:tc>
      </w:tr>
      <w:tr>
        <w:tc>
          <w:tcPr>
            <w:tcW w:type="dxa" w:w="252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24A"/>
                <w:sz w:val="18"/>
              </w:rPr>
              <w:t>Art &amp; assets in</w:t>
            </w:r>
          </w:p>
        </w:tc>
        <w:tc>
          <w:tcPr>
            <w:tcW w:type="dxa" w:w="223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 − 10 to 11 weeks</w:t>
            </w:r>
          </w:p>
        </w:tc>
        <w:tc>
          <w:tcPr>
            <w:tcW w:type="dxa" w:w="489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Quacktastic-supplied duck artwork delivered; skins configured (default + CVD-safe).</w:t>
            </w:r>
          </w:p>
        </w:tc>
      </w:tr>
      <w:tr>
        <w:tc>
          <w:tcPr>
            <w:tcW w:type="dxa" w:w="252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24A"/>
                <w:sz w:val="18"/>
              </w:rPr>
              <w:t>“Playable on the homepage”</w:t>
            </w:r>
          </w:p>
        </w:tc>
        <w:tc>
          <w:tcPr>
            <w:tcW w:type="dxa" w:w="223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 − 6 weeks</w:t>
            </w:r>
          </w:p>
        </w:tc>
        <w:tc>
          <w:tcPr>
            <w:tcW w:type="dxa" w:w="489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Single-player + local play, art rigged, embeddable iframe live on the page, analytics wired.</w:t>
            </w:r>
          </w:p>
        </w:tc>
      </w:tr>
      <w:tr>
        <w:tc>
          <w:tcPr>
            <w:tcW w:type="dxa" w:w="252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24A"/>
                <w:sz w:val="18"/>
              </w:rPr>
              <w:t>Feature-complete</w:t>
            </w:r>
          </w:p>
        </w:tc>
        <w:tc>
          <w:tcPr>
            <w:tcW w:type="dxa" w:w="223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 − 2 weeks</w:t>
            </w:r>
          </w:p>
        </w:tc>
        <w:tc>
          <w:tcPr>
            <w:tcW w:type="dxa" w:w="489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Real-time multiplayer (shareable link) + reconnection, 3-tier AI incl. Ruthless Duck, full accessibility pass, load-tested to launch concurrency.</w:t>
            </w:r>
          </w:p>
        </w:tc>
      </w:tr>
      <w:tr>
        <w:tc>
          <w:tcPr>
            <w:tcW w:type="dxa" w:w="252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24A"/>
                <w:sz w:val="18"/>
              </w:rPr>
              <w:t>Livestream-readiness</w:t>
            </w:r>
          </w:p>
        </w:tc>
        <w:tc>
          <w:tcPr>
            <w:tcW w:type="dxa" w:w="223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 − 1 week</w:t>
            </w:r>
          </w:p>
        </w:tc>
        <w:tc>
          <w:tcPr>
            <w:tcW w:type="dxa" w:w="489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Hardening, load test to 40K, 100%-uptime rehearsal for the announced window, game-day runbook, security-review support.</w:t>
            </w:r>
          </w:p>
        </w:tc>
      </w:tr>
      <w:tr>
        <w:tc>
          <w:tcPr>
            <w:tcW w:type="dxa" w:w="252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24A"/>
                <w:sz w:val="18"/>
              </w:rPr>
              <w:t>Game day</w:t>
            </w:r>
          </w:p>
        </w:tc>
        <w:tc>
          <w:tcPr>
            <w:tcW w:type="dxa" w:w="2232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 − 0</w:t>
            </w:r>
          </w:p>
        </w:tc>
        <w:tc>
          <w:tcPr>
            <w:tcW w:type="dxa" w:w="4896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War-room live; pre-warm to ~1.5× expected peak (~60K); go/no-go; the 4-hour 100%-uptime window.</w:t>
            </w:r>
          </w:p>
        </w:tc>
      </w:tr>
    </w:tbl>
    <w:p>
      <w:pPr>
        <w:spacing w:before="0" w:after="12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"/>
        <w:gridCol w:w="9533"/>
      </w:tblGrid>
      <w:tr>
        <w:tc>
          <w:tcPr>
            <w:tcW w:type="dxa" w:w="115"/>
            <w:shd w:val="clear" w:color="auto" w:fill="1FA8A0"/>
          </w:tcPr>
          <w:p>
            <w:r/>
          </w:p>
        </w:tc>
        <w:tc>
          <w:tcPr>
            <w:tcW w:type="dxa" w:w="9533"/>
            <w:shd w:val="clear" w:color="auto" w:fill="E9EEF7"/>
            <w:tcMar>
              <w:top w:w="100" w:type="dxa"/>
              <w:bottom w:w="10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2224A"/>
                <w:sz w:val="21"/>
              </w:rPr>
              <w:t>Why this sequence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It mirrors the exact cadence behind our reference builds: an early “playable” milestone to get the experience in front of stakeholders, a feature-complete build with the accessibility pass baked in, then a dedicated hardening-and-rehearsal window so the 40K/100%-uptime moment is rehearsed, not hoped for.</w:t>
            </w:r>
          </w:p>
        </w:tc>
      </w:tr>
    </w:tbl>
    <w:p>
      <w:pPr>
        <w:spacing w:after="40"/>
      </w:pPr>
    </w:p>
    <w:p>
      <w:pPr>
        <w:keepNext/>
        <w:spacing w:before="320" w:after="40"/>
      </w:pPr>
      <w:r>
        <w:rPr>
          <w:rFonts w:ascii="Calibri" w:hAnsi="Calibri"/>
          <w:b/>
          <w:i w:val="0"/>
          <w:color w:val="C68C00"/>
          <w:sz w:val="30"/>
        </w:rPr>
        <w:t xml:space="preserve">08  </w:t>
      </w:r>
      <w:r>
        <w:rPr>
          <w:rFonts w:ascii="Calibri" w:hAnsi="Calibri"/>
          <w:b/>
          <w:i w:val="0"/>
          <w:color w:val="12224A"/>
          <w:sz w:val="30"/>
        </w:rPr>
        <w:t>CONTRACT APPROACH</w:t>
      </w:r>
    </w:p>
    <w:p>
      <w:pPr>
        <w:spacing w:before="40" w:after="160"/>
        <w:pBdr>
          <w:bottom w:val="single" w:sz="18" w:space="1" w:color="F5B301"/>
        </w:pBdr>
      </w:pP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E293B"/>
          <w:sz w:val="21"/>
        </w:rPr>
        <w:t>We have reviewed Section 4 against our standard positions. Most terms are acceptable as written; three need a redline before signature, and each has a clean, market-standard counter. None is a deal-breaker.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9E4"/>
          <w:left w:val="single" w:sz="4" w:space="0" w:color="D3D9E4"/>
          <w:bottom w:val="single" w:sz="4" w:space="0" w:color="D3D9E4"/>
          <w:right w:val="single" w:sz="4" w:space="0" w:color="D3D9E4"/>
          <w:insideH w:val="single" w:sz="4" w:space="0" w:color="D3D9E4"/>
          <w:insideV w:val="single" w:sz="4" w:space="0" w:color="D3D9E4"/>
        </w:tblBorders>
      </w:tblPr>
      <w:tblGrid>
        <w:gridCol w:w="1800"/>
        <w:gridCol w:w="2664"/>
        <w:gridCol w:w="1440"/>
        <w:gridCol w:w="3744"/>
      </w:tblGrid>
      <w:tr>
        <w:tc>
          <w:tcPr>
            <w:tcW w:type="dxa" w:w="1800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Term</w:t>
            </w:r>
          </w:p>
        </w:tc>
        <w:tc>
          <w:tcPr>
            <w:tcW w:type="dxa" w:w="2664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RFP position</w:t>
            </w:r>
          </w:p>
        </w:tc>
        <w:tc>
          <w:tcPr>
            <w:tcW w:type="dxa" w:w="1440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Severity</w:t>
            </w:r>
          </w:p>
        </w:tc>
        <w:tc>
          <w:tcPr>
            <w:tcW w:type="dxa" w:w="3744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Our position / counter</w:t>
            </w:r>
          </w:p>
        </w:tc>
      </w:tr>
      <w:tr>
        <w:tc>
          <w:tcPr>
            <w:tcW w:type="dxa" w:w="180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Liability (§4.1)</w:t>
            </w:r>
          </w:p>
        </w:tc>
        <w:tc>
          <w:tcPr>
            <w:tcW w:type="dxa" w:w="26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12-month cap, but uncapped for player-data breaches</w:t>
            </w:r>
          </w:p>
        </w:tc>
        <w:tc>
          <w:tcPr>
            <w:tcW w:type="dxa" w:w="144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C0392B"/>
                <w:sz w:val="17"/>
              </w:rPr>
              <w:t>BLOCKER</w:t>
            </w:r>
          </w:p>
        </w:tc>
        <w:tc>
          <w:tcPr>
            <w:tcW w:type="dxa" w:w="374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Uncapped voids our cyber cover. Counter: 12-month cap generally; a bounded 24-month super-cap for signup-email data; mutual carve-outs for gross negligence and IP.</w:t>
            </w:r>
          </w:p>
        </w:tc>
      </w:tr>
      <w:tr>
        <w:tc>
          <w:tcPr>
            <w:tcW w:type="dxa" w:w="180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IP (§4.4)</w:t>
            </w:r>
          </w:p>
        </w:tc>
        <w:tc>
          <w:tcPr>
            <w:tcW w:type="dxa" w:w="26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All work product vests in Quacktastic</w:t>
            </w:r>
          </w:p>
        </w:tc>
        <w:tc>
          <w:tcPr>
            <w:tcW w:type="dxa" w:w="144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C0392B"/>
                <w:sz w:val="17"/>
              </w:rPr>
              <w:t>BLOCKER</w:t>
            </w:r>
          </w:p>
        </w:tc>
        <w:tc>
          <w:tcPr>
            <w:tcW w:type="dxa" w:w="374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Assigning the bespoke game deliverable + rigged art is fine; sweeping in our reusable rules engine/realtime platform is not. Counter: assign the custom work product; we retain and perpetually license our pre-existing platform IP.</w:t>
            </w:r>
          </w:p>
        </w:tc>
      </w:tr>
      <w:tr>
        <w:tc>
          <w:tcPr>
            <w:tcW w:type="dxa" w:w="180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Subprocessors (§4.5)</w:t>
            </w:r>
          </w:p>
        </w:tc>
        <w:tc>
          <w:tcPr>
            <w:tcW w:type="dxa" w:w="26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Prior written consent for every subprocessor</w:t>
            </w:r>
          </w:p>
        </w:tc>
        <w:tc>
          <w:tcPr>
            <w:tcW w:type="dxa" w:w="144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C0392B"/>
                <w:sz w:val="17"/>
              </w:rPr>
              <w:t>BLOCKER</w:t>
            </w:r>
          </w:p>
        </w:tc>
        <w:tc>
          <w:tcPr>
            <w:tcW w:type="dxa" w:w="374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Pre-approval of each is operationally unworkable. Counter: named hosting/realtime subprocessors disclosed and deemed accepted at signature; 30-day notice for changes with a right to object → we substitute or you terminate the affected scope.</w:t>
            </w:r>
          </w:p>
        </w:tc>
      </w:tr>
      <w:tr>
        <w:tc>
          <w:tcPr>
            <w:tcW w:type="dxa" w:w="180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Audit (§4.2)</w:t>
            </w:r>
          </w:p>
        </w:tc>
        <w:tc>
          <w:tcPr>
            <w:tcW w:type="dxa" w:w="26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Single annual security review</w:t>
            </w:r>
          </w:p>
        </w:tc>
        <w:tc>
          <w:tcPr>
            <w:tcW w:type="dxa" w:w="144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ACCEPTABLE</w:t>
            </w:r>
          </w:p>
        </w:tc>
        <w:tc>
          <w:tcPr>
            <w:tcW w:type="dxa" w:w="374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Matches our standard. Add 30-day notice, mutual confidentiality, and clarify you audit us — we audit our subprocessors.</w:t>
            </w:r>
          </w:p>
        </w:tc>
      </w:tr>
      <w:tr>
        <w:tc>
          <w:tcPr>
            <w:tcW w:type="dxa" w:w="180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Termination (§4.3-comm.)</w:t>
            </w:r>
          </w:p>
        </w:tc>
        <w:tc>
          <w:tcPr>
            <w:tcW w:type="dxa" w:w="26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30-day for convenience, no penalty</w:t>
            </w:r>
          </w:p>
        </w:tc>
        <w:tc>
          <w:tcPr>
            <w:tcW w:type="dxa" w:w="144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A6B00"/>
                <w:sz w:val="17"/>
              </w:rPr>
              <w:t>NEGOTIABLE</w:t>
            </w:r>
          </w:p>
        </w:tc>
        <w:tc>
          <w:tcPr>
            <w:tcW w:type="dxa" w:w="374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No penalty is fine. We’ll accept 30 days (would prefer 60) and add a pro-rated refund of prepaid, unused fees.</w:t>
            </w:r>
          </w:p>
        </w:tc>
      </w:tr>
      <w:tr>
        <w:tc>
          <w:tcPr>
            <w:tcW w:type="dxa" w:w="180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Service levels (§4.3)</w:t>
            </w:r>
          </w:p>
        </w:tc>
        <w:tc>
          <w:tcPr>
            <w:tcW w:type="dxa" w:w="266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99.9% monthly + 100% during 4-hr window</w:t>
            </w:r>
          </w:p>
        </w:tc>
        <w:tc>
          <w:tcPr>
            <w:tcW w:type="dxa" w:w="144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E7A46"/>
                <w:sz w:val="17"/>
              </w:rPr>
              <w:t>ACCEPTABLE</w:t>
            </w:r>
          </w:p>
        </w:tc>
        <w:tc>
          <w:tcPr>
            <w:tcW w:type="dxa" w:w="374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99.9% monthly is within standard; 100% for the bounded window as a commercially-reasonable target with pre-warm/war-room. Sole remedy = service credits capped at 30%. We will reject any terminate-on-single-miss or &gt;30% credit.</w:t>
            </w:r>
          </w:p>
        </w:tc>
      </w:tr>
    </w:tbl>
    <w:p>
      <w:pPr>
        <w:spacing w:before="0" w:after="120" w:line="269" w:lineRule="auto"/>
      </w:pP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Data protection. </w:t>
      </w:r>
      <w:r>
        <w:rPr>
          <w:rFonts w:ascii="Calibri" w:hAnsi="Calibri"/>
          <w:b w:val="0"/>
          <w:i w:val="0"/>
          <w:color w:val="1E293B"/>
          <w:sz w:val="21"/>
        </w:rPr>
        <w:t>Signup emails are PII, so a GDPR-aligned DPA is required; we propose breach notification within 72 hours and can commit to 24 hours if you prefer.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MFN. </w:t>
      </w:r>
      <w:r>
        <w:rPr>
          <w:rFonts w:ascii="Calibri" w:hAnsi="Calibri"/>
          <w:b w:val="0"/>
          <w:i w:val="0"/>
          <w:color w:val="1E293B"/>
          <w:sz w:val="21"/>
        </w:rPr>
        <w:t>Confirmed out of scope by the RFP; it stays out of the final paper.</w:t>
      </w:r>
    </w:p>
    <w:p>
      <w:pPr>
        <w:spacing w:before="0" w:after="40" w:line="269" w:lineRule="auto"/>
      </w:pPr>
      <w:r>
        <w:rPr>
          <w:rFonts w:ascii="Calibri" w:hAnsi="Calibri"/>
          <w:b/>
          <w:i w:val="0"/>
          <w:color w:val="5B6675"/>
          <w:sz w:val="18"/>
        </w:rPr>
        <w:t xml:space="preserve">Severity key: </w:t>
      </w:r>
    </w:p>
    <w:p>
      <w:pPr>
        <w:spacing w:after="120"/>
      </w:pPr>
      <w:r>
        <w:rPr>
          <w:rFonts w:ascii="Calibri" w:hAnsi="Calibri"/>
          <w:b/>
          <w:i w:val="0"/>
          <w:color w:val="C0392B"/>
          <w:sz w:val="18"/>
        </w:rPr>
        <w:t>BLOCKER</w:t>
      </w:r>
      <w:r>
        <w:rPr>
          <w:rFonts w:ascii="Calibri" w:hAnsi="Calibri"/>
          <w:b w:val="0"/>
          <w:i w:val="0"/>
          <w:color w:val="5B6675"/>
          <w:sz w:val="18"/>
        </w:rPr>
        <w:t xml:space="preserve"> = redline before signature (clean counter offered).   </w:t>
      </w:r>
      <w:r>
        <w:rPr>
          <w:rFonts w:ascii="Calibri" w:hAnsi="Calibri"/>
          <w:b/>
          <w:i w:val="0"/>
          <w:color w:val="9A6B00"/>
          <w:sz w:val="18"/>
        </w:rPr>
        <w:t>NEGOTIABLE</w:t>
      </w:r>
      <w:r>
        <w:rPr>
          <w:rFonts w:ascii="Calibri" w:hAnsi="Calibri"/>
          <w:b w:val="0"/>
          <w:i w:val="0"/>
          <w:color w:val="1E293B"/>
          <w:sz w:val="18"/>
        </w:rPr>
        <w:t xml:space="preserve">     </w:t>
      </w:r>
      <w:r>
        <w:rPr>
          <w:rFonts w:ascii="Calibri" w:hAnsi="Calibri"/>
          <w:b/>
          <w:i w:val="0"/>
          <w:color w:val="1E7A46"/>
          <w:sz w:val="18"/>
        </w:rPr>
        <w:t>ACCEPTABLE</w:t>
      </w:r>
      <w:r>
        <w:rPr>
          <w:rFonts w:ascii="Calibri" w:hAnsi="Calibri"/>
          <w:b w:val="0"/>
          <w:i w:val="0"/>
          <w:color w:val="5B6675"/>
          <w:sz w:val="18"/>
        </w:rPr>
        <w:t xml:space="preserve"> = as written, minor guardrails.</w:t>
      </w:r>
    </w:p>
    <w:p>
      <w:pPr>
        <w:keepNext/>
        <w:spacing w:before="320" w:after="40"/>
      </w:pPr>
      <w:r>
        <w:rPr>
          <w:rFonts w:ascii="Calibri" w:hAnsi="Calibri"/>
          <w:b/>
          <w:i w:val="0"/>
          <w:color w:val="C68C00"/>
          <w:sz w:val="30"/>
        </w:rPr>
        <w:t xml:space="preserve">09  </w:t>
      </w:r>
      <w:r>
        <w:rPr>
          <w:rFonts w:ascii="Calibri" w:hAnsi="Calibri"/>
          <w:b/>
          <w:i w:val="0"/>
          <w:color w:val="12224A"/>
          <w:sz w:val="30"/>
        </w:rPr>
        <w:t>REFERENCES — INTERACTIVE &amp; GAME BUILDS</w:t>
      </w:r>
    </w:p>
    <w:p>
      <w:pPr>
        <w:spacing w:before="40" w:after="160"/>
        <w:pBdr>
          <w:bottom w:val="single" w:sz="18" w:space="1" w:color="F5B301"/>
        </w:pBdr>
      </w:pP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E293B"/>
          <w:sz w:val="21"/>
        </w:rPr>
        <w:t>Two directly relevant references are below; a third is included as accessibility proof.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9E4"/>
          <w:left w:val="single" w:sz="4" w:space="0" w:color="D3D9E4"/>
          <w:bottom w:val="single" w:sz="4" w:space="0" w:color="D3D9E4"/>
          <w:right w:val="single" w:sz="4" w:space="0" w:color="D3D9E4"/>
          <w:insideH w:val="single" w:sz="4" w:space="0" w:color="D3D9E4"/>
          <w:insideV w:val="single" w:sz="4" w:space="0" w:color="D3D9E4"/>
        </w:tblBorders>
      </w:tblPr>
      <w:tblGrid>
        <w:gridCol w:w="9648"/>
      </w:tblGrid>
      <w:tr>
        <w:tc>
          <w:tcPr>
            <w:tcW w:type="dxa" w:w="9648"/>
            <w:tcMar>
              <w:top w:w="120" w:type="dxa"/>
              <w:bottom w:w="12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2224A"/>
                <w:sz w:val="23"/>
              </w:rPr>
              <w:t>Reference 1 — Fizzwick Beverages</w:t>
            </w:r>
            <w:r>
              <w:rPr>
                <w:rFonts w:ascii="Calibri" w:hAnsi="Calibri"/>
                <w:b w:val="0"/>
                <w:i/>
                <w:color w:val="5B6675"/>
                <w:sz w:val="20"/>
              </w:rPr>
              <w:t xml:space="preserve">   —   most analogous to your IPO livestream</w:t>
            </w:r>
          </w:p>
          <w:p>
            <w:pPr>
              <w:spacing w:after="20" w:line="264" w:lineRule="auto"/>
            </w:pPr>
            <w:r>
              <w:rPr>
                <w:rFonts w:ascii="Calibri" w:hAnsi="Calibri"/>
                <w:b/>
                <w:i w:val="0"/>
                <w:color w:val="1FA8A0"/>
                <w:sz w:val="19"/>
              </w:rPr>
              <w:t xml:space="preserve">Engagement  </w:t>
            </w: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“Spin-to-Win” real-time multiplayer promo game embedded on the brand homepage.</w:t>
            </w:r>
          </w:p>
          <w:p>
            <w:pPr>
              <w:spacing w:after="20" w:line="264" w:lineRule="auto"/>
            </w:pPr>
            <w:r>
              <w:rPr>
                <w:rFonts w:ascii="Calibri" w:hAnsi="Calibri"/>
                <w:b/>
                <w:i w:val="0"/>
                <w:color w:val="1FA8A0"/>
                <w:sz w:val="19"/>
              </w:rPr>
              <w:t xml:space="preserve">The moment  </w:t>
            </w: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Super Bowl ad tie-in livestream — 32,000 concurrent at peak.</w:t>
            </w:r>
          </w:p>
          <w:p>
            <w:pPr>
              <w:spacing w:after="20" w:line="264" w:lineRule="auto"/>
            </w:pPr>
            <w:r>
              <w:rPr>
                <w:rFonts w:ascii="Calibri" w:hAnsi="Calibri"/>
                <w:b/>
                <w:i w:val="0"/>
                <w:color w:val="1FA8A0"/>
                <w:sz w:val="19"/>
              </w:rPr>
              <w:t xml:space="preserve">Why it’s relevant  </w:t>
            </w: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Hit 100% uptime through the ad window on pre-warmed capacity with sub-200ms sync — the exact playbook we bring to your 40K/100%-uptime window.</w:t>
            </w:r>
          </w:p>
          <w:p>
            <w:pPr>
              <w:spacing w:after="20" w:line="264" w:lineRule="auto"/>
            </w:pPr>
            <w:r>
              <w:rPr>
                <w:rFonts w:ascii="Calibri" w:hAnsi="Calibri"/>
                <w:b/>
                <w:i w:val="0"/>
                <w:color w:val="1FA8A0"/>
                <w:sz w:val="19"/>
              </w:rPr>
              <w:t xml:space="preserve">Commercials  </w:t>
            </w: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$240,000 · 1 year + 1-year renewal · annual upfront, Net 60 · closed 2025-10-02.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9E4"/>
          <w:left w:val="single" w:sz="4" w:space="0" w:color="D3D9E4"/>
          <w:bottom w:val="single" w:sz="4" w:space="0" w:color="D3D9E4"/>
          <w:right w:val="single" w:sz="4" w:space="0" w:color="D3D9E4"/>
          <w:insideH w:val="single" w:sz="4" w:space="0" w:color="D3D9E4"/>
          <w:insideV w:val="single" w:sz="4" w:space="0" w:color="D3D9E4"/>
        </w:tblBorders>
      </w:tblPr>
      <w:tblGrid>
        <w:gridCol w:w="9648"/>
      </w:tblGrid>
      <w:tr>
        <w:tc>
          <w:tcPr>
            <w:tcW w:type="dxa" w:w="9648"/>
            <w:tcMar>
              <w:top w:w="120" w:type="dxa"/>
              <w:bottom w:w="12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2224A"/>
                <w:sz w:val="23"/>
              </w:rPr>
              <w:t>Reference 2 — Marlowe Board &amp; Bar</w:t>
            </w:r>
            <w:r>
              <w:rPr>
                <w:rFonts w:ascii="Calibri" w:hAnsi="Calibri"/>
                <w:b w:val="0"/>
                <w:i/>
                <w:color w:val="5B6675"/>
                <w:sz w:val="20"/>
              </w:rPr>
              <w:t xml:space="preserve">   —   most analogous to the game engine itself</w:t>
            </w:r>
          </w:p>
          <w:p>
            <w:pPr>
              <w:spacing w:after="20" w:line="264" w:lineRule="auto"/>
            </w:pPr>
            <w:r>
              <w:rPr>
                <w:rFonts w:ascii="Calibri" w:hAnsi="Calibri"/>
                <w:b/>
                <w:i w:val="0"/>
                <w:color w:val="1FA8A0"/>
                <w:sz w:val="19"/>
              </w:rPr>
              <w:t xml:space="preserve">Engagement  </w:t>
            </w: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Browser chess + backgammon suite with shareable-link multiplayer and 3-tier AI.</w:t>
            </w:r>
          </w:p>
          <w:p>
            <w:pPr>
              <w:spacing w:after="20" w:line="264" w:lineRule="auto"/>
            </w:pPr>
            <w:r>
              <w:rPr>
                <w:rFonts w:ascii="Calibri" w:hAnsi="Calibri"/>
                <w:b/>
                <w:i w:val="0"/>
                <w:color w:val="1FA8A0"/>
                <w:sz w:val="19"/>
              </w:rPr>
              <w:t xml:space="preserve">Why it’s relevant  </w:t>
            </w: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Server-authoritative rules engine + reconnection that beat an indie studio on reliability; the reusable turn-based engine and minimax harness are directly reusable for checkers.</w:t>
            </w:r>
          </w:p>
          <w:p>
            <w:pPr>
              <w:spacing w:after="20" w:line="264" w:lineRule="auto"/>
            </w:pPr>
            <w:r>
              <w:rPr>
                <w:rFonts w:ascii="Calibri" w:hAnsi="Calibri"/>
                <w:b/>
                <w:i w:val="0"/>
                <w:color w:val="1FA8A0"/>
                <w:sz w:val="19"/>
              </w:rPr>
              <w:t xml:space="preserve">Commercials  </w:t>
            </w: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$180,000 · 2 years · annual upfront, Net 30 · closed 2025-06-18.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9E4"/>
          <w:left w:val="single" w:sz="4" w:space="0" w:color="D3D9E4"/>
          <w:bottom w:val="single" w:sz="4" w:space="0" w:color="D3D9E4"/>
          <w:right w:val="single" w:sz="4" w:space="0" w:color="D3D9E4"/>
          <w:insideH w:val="single" w:sz="4" w:space="0" w:color="D3D9E4"/>
          <w:insideV w:val="single" w:sz="4" w:space="0" w:color="D3D9E4"/>
        </w:tblBorders>
      </w:tblPr>
      <w:tblGrid>
        <w:gridCol w:w="9648"/>
      </w:tblGrid>
      <w:tr>
        <w:tc>
          <w:tcPr>
            <w:tcW w:type="dxa" w:w="9648"/>
            <w:tcMar>
              <w:top w:w="120" w:type="dxa"/>
              <w:bottom w:w="12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2224A"/>
                <w:sz w:val="23"/>
              </w:rPr>
              <w:t>Supporting proof — Verdant Parks Authority</w:t>
            </w:r>
            <w:r>
              <w:rPr>
                <w:rFonts w:ascii="Calibri" w:hAnsi="Calibri"/>
                <w:b w:val="0"/>
                <w:i/>
                <w:color w:val="5B6675"/>
                <w:sz w:val="20"/>
              </w:rPr>
              <w:t xml:space="preserve">   —   accessibility as a first-class citizen</w:t>
            </w:r>
          </w:p>
          <w:p>
            <w:pPr>
              <w:spacing w:after="20" w:line="264" w:lineRule="auto"/>
            </w:pPr>
            <w:r>
              <w:rPr>
                <w:rFonts w:ascii="Calibri" w:hAnsi="Calibri"/>
                <w:b/>
                <w:i w:val="0"/>
                <w:color w:val="1FA8A0"/>
                <w:sz w:val="19"/>
              </w:rPr>
              <w:t xml:space="preserve">Engagement  </w:t>
            </w: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Accessible public-facing interactive map + mini-game, WCAG 2.2 AA.</w:t>
            </w:r>
          </w:p>
          <w:p>
            <w:pPr>
              <w:spacing w:after="20" w:line="264" w:lineRule="auto"/>
            </w:pPr>
            <w:r>
              <w:rPr>
                <w:rFonts w:ascii="Calibri" w:hAnsi="Calibri"/>
                <w:b/>
                <w:i w:val="0"/>
                <w:color w:val="1FA8A0"/>
                <w:sz w:val="19"/>
              </w:rPr>
              <w:t xml:space="preserve">Why it’s relevant  </w:t>
            </w: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Full keyboard navigation and tested colorblind-safe palettes shipped as a first-class fallback — exactly the CVD-safe requirement you flagged.</w:t>
            </w:r>
          </w:p>
          <w:p>
            <w:pPr>
              <w:spacing w:after="20" w:line="264" w:lineRule="auto"/>
            </w:pPr>
            <w:r>
              <w:rPr>
                <w:rFonts w:ascii="Calibri" w:hAnsi="Calibri"/>
                <w:b/>
                <w:i w:val="0"/>
                <w:color w:val="1FA8A0"/>
                <w:sz w:val="19"/>
              </w:rPr>
              <w:t xml:space="preserve">Commercials  </w:t>
            </w: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$130,000 · 1 year · annual upfront, Net 30 · closed 2026-01-20.</w:t>
            </w:r>
          </w:p>
        </w:tc>
      </w:tr>
    </w:tbl>
    <w:p>
      <w:pPr>
        <w:spacing w:after="40"/>
      </w:pPr>
    </w:p>
    <w:p>
      <w:pPr>
        <w:keepNext/>
        <w:spacing w:before="320" w:after="40"/>
      </w:pPr>
      <w:r>
        <w:rPr>
          <w:rFonts w:ascii="Calibri" w:hAnsi="Calibri"/>
          <w:b/>
          <w:i w:val="0"/>
          <w:color w:val="C68C00"/>
          <w:sz w:val="30"/>
        </w:rPr>
        <w:t xml:space="preserve">10  </w:t>
      </w:r>
      <w:r>
        <w:rPr>
          <w:rFonts w:ascii="Calibri" w:hAnsi="Calibri"/>
          <w:b/>
          <w:i w:val="0"/>
          <w:color w:val="12224A"/>
          <w:sz w:val="30"/>
        </w:rPr>
        <w:t>RISKS &amp; HOW WE MITIGATE THEM</w:t>
      </w:r>
    </w:p>
    <w:p>
      <w:pPr>
        <w:spacing w:before="40" w:after="160"/>
        <w:pBdr>
          <w:bottom w:val="single" w:sz="18" w:space="1" w:color="F5B30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9E4"/>
          <w:left w:val="single" w:sz="4" w:space="0" w:color="D3D9E4"/>
          <w:bottom w:val="single" w:sz="4" w:space="0" w:color="D3D9E4"/>
          <w:right w:val="single" w:sz="4" w:space="0" w:color="D3D9E4"/>
          <w:insideH w:val="single" w:sz="4" w:space="0" w:color="D3D9E4"/>
          <w:insideV w:val="single" w:sz="4" w:space="0" w:color="D3D9E4"/>
        </w:tblBorders>
      </w:tblPr>
      <w:tblGrid>
        <w:gridCol w:w="3024"/>
        <w:gridCol w:w="2880"/>
        <w:gridCol w:w="3744"/>
      </w:tblGrid>
      <w:tr>
        <w:tc>
          <w:tcPr>
            <w:tcW w:type="dxa" w:w="3024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880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3744"/>
            <w:shd w:val="clear" w:color="auto" w:fill="12224A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02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24A"/>
                <w:sz w:val="17"/>
              </w:rPr>
              <w:t>Livestream date is “TBD” while award is fixed</w:t>
            </w:r>
          </w:p>
        </w:tc>
        <w:tc>
          <w:tcPr>
            <w:tcW w:type="dxa" w:w="288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Too little lead time compresses the pre-warm/rehearsal buffer that makes 100% uptime safe.</w:t>
            </w:r>
          </w:p>
        </w:tc>
        <w:tc>
          <w:tcPr>
            <w:tcW w:type="dxa" w:w="374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Make an early, firm livestream date (≥12 weeks’ lead) a contractual dependency at kickoff; if compressed, we escalate pre-warm and war-room coverage.</w:t>
            </w:r>
          </w:p>
        </w:tc>
      </w:tr>
      <w:tr>
        <w:tc>
          <w:tcPr>
            <w:tcW w:type="dxa" w:w="302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24A"/>
                <w:sz w:val="17"/>
              </w:rPr>
              <w:t>40K spike / 100%-uptime window</w:t>
            </w:r>
          </w:p>
        </w:tc>
        <w:tc>
          <w:tcPr>
            <w:tcW w:type="dxa" w:w="288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 public failure at the brand’s biggest moment.</w:t>
            </w:r>
          </w:p>
        </w:tc>
        <w:tc>
          <w:tcPr>
            <w:tcW w:type="dxa" w:w="374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Pre-warm to ~1.5× expected peak, game-day runbook, dedicated war-room, and a full 100%-uptime rehearsal — the Fizzwick playbook.</w:t>
            </w:r>
          </w:p>
        </w:tc>
      </w:tr>
      <w:tr>
        <w:tc>
          <w:tcPr>
            <w:tcW w:type="dxa" w:w="302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24A"/>
                <w:sz w:val="17"/>
              </w:rPr>
              <w:t>Client-supplied art dependency</w:t>
            </w:r>
          </w:p>
        </w:tc>
        <w:tc>
          <w:tcPr>
            <w:tcW w:type="dxa" w:w="288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Late or off-spec artwork delays rigging.</w:t>
            </w:r>
          </w:p>
        </w:tc>
        <w:tc>
          <w:tcPr>
            <w:tcW w:type="dxa" w:w="374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Art-delivery milestone in the SOW by L−10/11 weeks, with an asset spec/template provided up front; we rig, not originate.</w:t>
            </w:r>
          </w:p>
        </w:tc>
      </w:tr>
      <w:tr>
        <w:tc>
          <w:tcPr>
            <w:tcW w:type="dxa" w:w="302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24A"/>
                <w:sz w:val="17"/>
              </w:rPr>
              <w:t>Uncapped player-data liability (§4.1)</w:t>
            </w:r>
          </w:p>
        </w:tc>
        <w:tc>
          <w:tcPr>
            <w:tcW w:type="dxa" w:w="288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Voids cyber insurance if accepted as drafted.</w:t>
            </w:r>
          </w:p>
        </w:tc>
        <w:tc>
          <w:tcPr>
            <w:tcW w:type="dxa" w:w="374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Bounded 24-month super-cap for signup-email data; confirm no other PII is collected.</w:t>
            </w:r>
          </w:p>
        </w:tc>
      </w:tr>
      <w:tr>
        <w:tc>
          <w:tcPr>
            <w:tcW w:type="dxa" w:w="302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24A"/>
                <w:sz w:val="17"/>
              </w:rPr>
              <w:t>“All work product” IP sweep (§4.4)</w:t>
            </w:r>
          </w:p>
        </w:tc>
        <w:tc>
          <w:tcPr>
            <w:tcW w:type="dxa" w:w="288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Could claim our reusable platform IP.</w:t>
            </w:r>
          </w:p>
        </w:tc>
        <w:tc>
          <w:tcPr>
            <w:tcW w:type="dxa" w:w="374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Assign the bespoke deliverable; retain and license our pre-existing rules engine/realtime platform.</w:t>
            </w:r>
          </w:p>
        </w:tc>
      </w:tr>
      <w:tr>
        <w:tc>
          <w:tcPr>
            <w:tcW w:type="dxa" w:w="302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24A"/>
                <w:sz w:val="17"/>
              </w:rPr>
              <w:t>Per-subprocessor consent (§4.5)</w:t>
            </w:r>
          </w:p>
        </w:tc>
        <w:tc>
          <w:tcPr>
            <w:tcW w:type="dxa" w:w="288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Operationally unworkable, blocks routine ops.</w:t>
            </w:r>
          </w:p>
        </w:tc>
        <w:tc>
          <w:tcPr>
            <w:tcW w:type="dxa" w:w="374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Pre-disclose named subprocessors at signature; 30-day notice + object/substitute for changes.</w:t>
            </w:r>
          </w:p>
        </w:tc>
      </w:tr>
      <w:tr>
        <w:tc>
          <w:tcPr>
            <w:tcW w:type="dxa" w:w="302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24A"/>
                <w:sz w:val="17"/>
              </w:rPr>
              <w:t>30-day termination exposes build investment</w:t>
            </w:r>
          </w:p>
        </w:tc>
        <w:tc>
          <w:tcPr>
            <w:tcW w:type="dxa" w:w="288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War-room/build cost stranded before Year 2.</w:t>
            </w:r>
          </w:p>
        </w:tc>
        <w:tc>
          <w:tcPr>
            <w:tcW w:type="dxa" w:w="374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Build fee billed up-front and credited on multi-year; pro-rated refund of prepaid unused fees only.</w:t>
            </w:r>
          </w:p>
        </w:tc>
      </w:tr>
      <w:tr>
        <w:tc>
          <w:tcPr>
            <w:tcW w:type="dxa" w:w="302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2224A"/>
                <w:sz w:val="17"/>
              </w:rPr>
              <w:t>Default palette isn’t colorblind-safe</w:t>
            </w:r>
          </w:p>
        </w:tc>
        <w:tc>
          <w:tcPr>
            <w:tcW w:type="dxa" w:w="2880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Accessibility requirement unmet for CVD users.</w:t>
            </w:r>
          </w:p>
        </w:tc>
        <w:tc>
          <w:tcPr>
            <w:tcW w:type="dxa" w:w="3744"/>
            <w:tcMar>
              <w:top w:w="46" w:type="dxa"/>
              <w:bottom w:w="46" w:type="dxa"/>
              <w:start w:w="110" w:type="dxa"/>
              <w:end w:w="110" w:type="dxa"/>
              <w:left w:w="110" w:type="dxa"/>
              <w:right w:w="110" w:type="dxa"/>
            </w:tcMar>
            <w:vAlign w:val="center"/>
            <w:shd w:val="clear" w:color="auto" w:fill="EEF1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Ship the tested Okabe–Ito alternate skin as a genuine first-class fallback (already in scope).</w:t>
            </w:r>
          </w:p>
        </w:tc>
      </w:tr>
    </w:tbl>
    <w:p>
      <w:pPr>
        <w:keepNext/>
        <w:spacing w:before="320" w:after="40"/>
      </w:pPr>
      <w:r>
        <w:rPr>
          <w:rFonts w:ascii="Calibri" w:hAnsi="Calibri"/>
          <w:b/>
          <w:i w:val="0"/>
          <w:color w:val="C68C00"/>
          <w:sz w:val="30"/>
        </w:rPr>
        <w:t xml:space="preserve">11  </w:t>
      </w:r>
      <w:r>
        <w:rPr>
          <w:rFonts w:ascii="Calibri" w:hAnsi="Calibri"/>
          <w:b/>
          <w:i w:val="0"/>
          <w:color w:val="12224A"/>
          <w:sz w:val="30"/>
        </w:rPr>
        <w:t>ASSUMPTIONS &amp; NEXT STEPS</w:t>
      </w:r>
    </w:p>
    <w:p>
      <w:pPr>
        <w:spacing w:before="40" w:after="160"/>
        <w:pBdr>
          <w:bottom w:val="single" w:sz="18" w:space="1" w:color="F5B301"/>
        </w:pBdr>
      </w:pP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Assumption. </w:t>
      </w:r>
      <w:r>
        <w:rPr>
          <w:rFonts w:ascii="Calibri" w:hAnsi="Calibri"/>
          <w:b w:val="0"/>
          <w:i w:val="0"/>
          <w:color w:val="1E293B"/>
          <w:sz w:val="21"/>
        </w:rPr>
        <w:t>Quacktastic supplies duck artwork at kickoff; only signup emails are collected as PII; hosting and real-time messaging run on our named, cloud-managed subprocessors.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Next step 1. </w:t>
      </w:r>
      <w:r>
        <w:rPr>
          <w:rFonts w:ascii="Calibri" w:hAnsi="Calibri"/>
          <w:b w:val="0"/>
          <w:i w:val="0"/>
          <w:color w:val="1E293B"/>
          <w:sz w:val="21"/>
        </w:rPr>
        <w:t>On award (targeted 2026-03-10), hold a kickoff to sign the SOW, lock the livestream date with ≥12 weeks’ lead, and schedule art delivery.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Next step 2. </w:t>
      </w:r>
      <w:r>
        <w:rPr>
          <w:rFonts w:ascii="Calibri" w:hAnsi="Calibri"/>
          <w:b w:val="0"/>
          <w:i w:val="0"/>
          <w:color w:val="1E293B"/>
          <w:sz w:val="21"/>
        </w:rPr>
        <w:t>Redline the three contract items (liability super-cap, IP carve-out, subprocessor notice) using the counters above, and execute the DPA.</w:t>
      </w:r>
    </w:p>
    <w:p>
      <w:pPr>
        <w:pStyle w:val="ListBullet"/>
        <w:spacing w:after="80" w:line="264" w:lineRule="auto"/>
        <w:ind w:left="432" w:hanging="259"/>
      </w:pPr>
      <w:r>
        <w:rPr>
          <w:rFonts w:ascii="Calibri" w:hAnsi="Calibri"/>
          <w:b/>
          <w:i w:val="0"/>
          <w:color w:val="12224A"/>
          <w:sz w:val="21"/>
        </w:rPr>
        <w:t xml:space="preserve">Next step 3. </w:t>
      </w:r>
      <w:r>
        <w:rPr>
          <w:rFonts w:ascii="Calibri" w:hAnsi="Calibri"/>
          <w:b w:val="0"/>
          <w:i w:val="0"/>
          <w:color w:val="1E293B"/>
          <w:sz w:val="21"/>
        </w:rPr>
        <w:t>Confirm package (Flagship) and the 20%-off + public-reference commercial structure; stand up environments and begin the 12-week track.</w:t>
      </w:r>
    </w:p>
    <w:p>
      <w:pPr>
        <w:spacing w:before="0" w:after="12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"/>
        <w:gridCol w:w="9533"/>
      </w:tblGrid>
      <w:tr>
        <w:tc>
          <w:tcPr>
            <w:tcW w:type="dxa" w:w="115"/>
            <w:shd w:val="clear" w:color="auto" w:fill="F5B301"/>
          </w:tcPr>
          <w:p>
            <w:r/>
          </w:p>
        </w:tc>
        <w:tc>
          <w:tcPr>
            <w:tcW w:type="dxa" w:w="9533"/>
            <w:shd w:val="clear" w:color="auto" w:fill="E9EEF7"/>
            <w:tcMar>
              <w:top w:w="100" w:type="dxa"/>
              <w:bottom w:w="10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2224A"/>
                <w:sz w:val="21"/>
              </w:rPr>
              <w:t>Contact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BTS-Synthetic Interactive Experiences Studio — Deal Desk. This response is submitted to procurement@quacktastic-synthetic.example for the attention of Priyanka Osei (Marketing Technology Manager), with technical questions welcomed by Nate Callahan (Front-End Engineering Lead). We’re ready to bring your ducks to life — reliably, accessibly, and live through the livestream.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24" w:left="1296" w:header="648" w:footer="576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824" w:val="center"/>
        <w:tab w:pos="9648" w:val="right"/>
      </w:tabs>
      <w:spacing w:before="40"/>
    </w:pPr>
    <w:r>
      <w:rPr>
        <w:rFonts w:ascii="Calibri" w:hAnsi="Calibri"/>
        <w:b/>
        <w:i w:val="0"/>
        <w:color w:val="12224A"/>
        <w:sz w:val="16"/>
      </w:rPr>
      <w:t>CONFIDENTIAL</w:t>
    </w:r>
    <w:r>
      <w:rPr>
        <w:rFonts w:ascii="Calibri" w:hAnsi="Calibri"/>
        <w:b w:val="0"/>
        <w:i w:val="0"/>
        <w:color w:val="5B6675"/>
        <w:sz w:val="16"/>
      </w:rPr>
      <w:tab/>
      <w:t>Prepared for Quacktastic Industries</w:t>
      <w:tab/>
    </w:r>
    <w:r>
      <w:rPr>
        <w:rFonts w:ascii="Calibri" w:hAnsi="Calibri"/>
        <w:b w:val="0"/>
        <w:i w:val="0"/>
        <w:color w:val="5B6675"/>
        <w:sz w:val="16"/>
      </w:rPr>
      <w:t xml:space="preserve">Page </w:t>
    </w:r>
    <w:r>
      <w:rPr>
        <w:rFonts w:ascii="Calibri" w:hAnsi="Calibri"/>
        <w:color w:val="5B6675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48" w:val="right"/>
      </w:tabs>
      <w:spacing w:after="40"/>
      <w:pBdr>
        <w:bottom w:val="single" w:sz="6" w:space="2" w:color="F5B301"/>
      </w:pBdr>
    </w:pPr>
    <w:r>
      <w:rPr>
        <w:rFonts w:ascii="Calibri" w:hAnsi="Calibri"/>
        <w:b/>
        <w:i w:val="0"/>
        <w:color w:val="12224A"/>
        <w:sz w:val="18"/>
      </w:rPr>
      <w:t xml:space="preserve">BTS·SYNTHETIC </w:t>
    </w:r>
    <w:r>
      <w:rPr>
        <w:rFonts w:ascii="Calibri" w:hAnsi="Calibri"/>
        <w:b w:val="0"/>
        <w:i w:val="0"/>
        <w:color w:val="5B6675"/>
        <w:sz w:val="18"/>
      </w:rPr>
      <w:t>Interactive Studio</w:t>
    </w:r>
    <w:r>
      <w:rPr>
        <w:rFonts w:ascii="Calibri" w:hAnsi="Calibri"/>
        <w:b w:val="0"/>
        <w:i w:val="0"/>
        <w:color w:val="1E293B"/>
        <w:sz w:val="18"/>
      </w:rPr>
      <w:tab/>
    </w:r>
    <w:r>
      <w:rPr>
        <w:rFonts w:ascii="Calibri" w:hAnsi="Calibri"/>
        <w:b w:val="0"/>
        <w:i/>
        <w:color w:val="5B6675"/>
        <w:sz w:val="18"/>
      </w:rPr>
      <w:t>Quacktastic Checkers Arena — RFP Response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