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Fonts w:ascii="Calibri" w:cs="Calibri" w:eastAsia="Calibri" w:hAnsi="Calibri"/>
          <w:b w:val="1"/>
          <w:i w:val="0"/>
          <w:smallCaps w:val="0"/>
          <w:strike w:val="0"/>
          <w:color w:val="000000"/>
          <w:sz w:val="144"/>
          <w:szCs w:val="144"/>
          <w:u w:val="none"/>
          <w:shd w:fill="auto" w:val="clear"/>
          <w:vertAlign w:val="baseline"/>
          <w:rtl w:val="0"/>
        </w:rPr>
        <w:t xml:space="preserve">JAZYK</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240" w:right="0" w:hanging="263.0000000000001"/>
        <w:jc w:val="left"/>
        <w:rPr>
          <w:rFonts w:ascii="Calibri" w:cs="Calibri" w:eastAsia="Calibri" w:hAnsi="Calibri"/>
          <w:b w:val="0"/>
          <w:i w:val="0"/>
          <w:smallCaps w:val="0"/>
          <w:strike w:val="0"/>
          <w:color w:val="000000"/>
          <w:sz w:val="72"/>
          <w:szCs w:val="72"/>
          <w:u w:val="none"/>
          <w:shd w:fill="auto" w:val="clear"/>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ročník</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9" w:right="0" w:hanging="1134"/>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Pr>
        <w:drawing>
          <wp:inline distB="0" distT="0" distL="114300" distR="114300">
            <wp:extent cx="3308350" cy="3630295"/>
            <wp:effectExtent b="0" l="0" r="0" t="0"/>
            <wp:docPr id="2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308350" cy="36302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Spracované podľa: M. Caltíková, Nový slovenský jazyk pre SŠ</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VEDECKÁ, ODBORNÁ A PRACOVNÁ KOMUNIKÁCIA</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NÁUČNÝ ŠTÝL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Komunikačná sféra: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pracovná (škola, pracovisko), </w:t>
      </w:r>
    </w:p>
    <w:p w:rsidR="00000000" w:rsidDel="00000000" w:rsidP="00000000" w:rsidRDefault="00000000" w:rsidRPr="00000000" w14:paraId="000000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záujmová (spoločenské aktivity),</w:t>
      </w:r>
    </w:p>
    <w:p w:rsidR="00000000" w:rsidDel="00000000" w:rsidP="00000000" w:rsidRDefault="00000000" w:rsidRPr="00000000" w14:paraId="000000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verejná (média, konferencia ap.).</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Komunikanti:</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odborník </w:t>
        <w:tab/>
        <w:tab/>
        <w:t xml:space="preserve">odborník,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485775" cy="25400"/>
                <wp:effectExtent b="0" l="0" r="0" t="0"/>
                <wp:wrapNone/>
                <wp:docPr id="15" name=""/>
                <a:graphic>
                  <a:graphicData uri="http://schemas.microsoft.com/office/word/2010/wordprocessingShape">
                    <wps:wsp>
                      <wps:cNvCnPr/>
                      <wps:spPr>
                        <a:xfrm>
                          <a:off x="5103113" y="3780000"/>
                          <a:ext cx="485775" cy="0"/>
                        </a:xfrm>
                        <a:prstGeom prst="straightConnector1">
                          <a:avLst/>
                        </a:prstGeom>
                        <a:solidFill>
                          <a:srgbClr val="FFFFFF"/>
                        </a:solidFill>
                        <a:ln cap="flat" cmpd="sng" w="9525">
                          <a:solidFill>
                            <a:srgbClr val="000000"/>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485775" cy="25400"/>
                <wp:effectExtent b="0" l="0" r="0" t="0"/>
                <wp:wrapNone/>
                <wp:docPr id="1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85775" cy="25400"/>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odborník</w:t>
        <w:tab/>
        <w:tab/>
        <w:t xml:space="preserve">verejnosť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76200</wp:posOffset>
                </wp:positionV>
                <wp:extent cx="485775" cy="25400"/>
                <wp:effectExtent b="0" l="0" r="0" t="0"/>
                <wp:wrapNone/>
                <wp:docPr id="14" name=""/>
                <a:graphic>
                  <a:graphicData uri="http://schemas.microsoft.com/office/word/2010/wordprocessingShape">
                    <wps:wsp>
                      <wps:cNvCnPr/>
                      <wps:spPr>
                        <a:xfrm>
                          <a:off x="5103113" y="3780000"/>
                          <a:ext cx="485775" cy="0"/>
                        </a:xfrm>
                        <a:prstGeom prst="straightConnector1">
                          <a:avLst/>
                        </a:prstGeom>
                        <a:solidFill>
                          <a:srgbClr val="FFFFFF"/>
                        </a:solidFill>
                        <a:ln cap="flat" cmpd="sng" w="9525">
                          <a:solidFill>
                            <a:srgbClr val="000000"/>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76200</wp:posOffset>
                </wp:positionV>
                <wp:extent cx="485775" cy="25400"/>
                <wp:effectExtent b="0" l="0" r="0" t="0"/>
                <wp:wrapNone/>
                <wp:docPr id="1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85775" cy="25400"/>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učiteľ</w:t>
        <w:tab/>
        <w:tab/>
        <w:tab/>
        <w:t xml:space="preserve">žiak.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101600</wp:posOffset>
                </wp:positionV>
                <wp:extent cx="485775" cy="25400"/>
                <wp:effectExtent b="0" l="0" r="0" t="0"/>
                <wp:wrapNone/>
                <wp:docPr id="20" name=""/>
                <a:graphic>
                  <a:graphicData uri="http://schemas.microsoft.com/office/word/2010/wordprocessingShape">
                    <wps:wsp>
                      <wps:cNvCnPr/>
                      <wps:spPr>
                        <a:xfrm>
                          <a:off x="5103113" y="3780000"/>
                          <a:ext cx="485775" cy="0"/>
                        </a:xfrm>
                        <a:prstGeom prst="straightConnector1">
                          <a:avLst/>
                        </a:prstGeom>
                        <a:solidFill>
                          <a:srgbClr val="FFFFFF"/>
                        </a:solidFill>
                        <a:ln cap="flat" cmpd="sng" w="9525">
                          <a:solidFill>
                            <a:srgbClr val="000000"/>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101600</wp:posOffset>
                </wp:positionV>
                <wp:extent cx="485775" cy="25400"/>
                <wp:effectExtent b="0" l="0" r="0" t="0"/>
                <wp:wrapNone/>
                <wp:docPr id="20"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485775" cy="25400"/>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Funkcia:</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vysvetľovať, zverejňovať nové vedecké poznatky a sprostredkovať ich odbornej i neodbornej verejnosti, prezentovať názory a skúsenosti v oficiálnom styku (na pracovisku, na odborných stretnutiach, konferenciách, prostredníctvom odborných časopisov a pod.).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Znaky náučného štýlu:</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Verejnosť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to štýl verejnej vedeckej komunikácie, využíva výhradne prostriedky zo spisovnej vrstvy jazyka.</w:t>
      </w:r>
    </w:p>
    <w:p w:rsidR="00000000" w:rsidDel="00000000" w:rsidP="00000000" w:rsidRDefault="00000000" w:rsidRPr="00000000" w14:paraId="0000001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Písomnosť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väčšina náučných prejavov má písomnú podobu, aj hovorenej podobe predchádza písomná príprava.</w:t>
      </w:r>
    </w:p>
    <w:p w:rsidR="00000000" w:rsidDel="00000000" w:rsidP="00000000" w:rsidRDefault="00000000" w:rsidRPr="00000000" w14:paraId="0000001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Monologickosť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všetky útvary sú monologické, adresát je neprítomný, ide o komunikáciu bez spätnej väzby – okrem referátu a diskusného príspevku, ktoré majú znaky rečníckeho štýlu.</w:t>
      </w:r>
    </w:p>
    <w:p w:rsidR="00000000" w:rsidDel="00000000" w:rsidP="00000000" w:rsidRDefault="00000000" w:rsidRPr="00000000" w14:paraId="000000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Odbornosť, presnosť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texty náučného štýlu obsahujú domácu i medzinárodnú odbornú terminológiu príslušného vedného odboru; prinášajú presné údaje; fakty bývajú podopreté citáciami iných odborníkov; autor textu je ako subjekt v pozadí, využíva sa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autorský plurál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osoba množného čísla.</w:t>
      </w:r>
    </w:p>
    <w:p w:rsidR="00000000" w:rsidDel="00000000" w:rsidP="00000000" w:rsidRDefault="00000000" w:rsidRPr="00000000" w14:paraId="0000002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Pojmovosť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odborné texty pracujú 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nocionálnymi slovami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(pomenúvajú realitu vecne, objektívne, bez citového zafarbenia), termínmi a pojmami – slovami odrážajúcimi podstatné a typické vlastnosti predmetov a javov – vymedzenými definíciou.</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Žánre náučného štýlu:</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Vedecko-náučné útvary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výkladové; objektívne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dizertácia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(rozprava) – kompendium (syntetické vedecké dielo),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monografia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dizertačná práca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(doktorát),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habilitačná práca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(docentúra)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vedecká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štúdia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odborný referát, vedecká prednáška, odborný článok</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žiacke a študentské odborné práce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Cieľ: spracovať objavené, rozšíriť, vysvetliť.</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Populárno-náučné útvary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výkladové a úvahové; subjektívnejšie (autor sa angažuje, prináša svoj názor, svoje hodnotenie)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popularizačný článok</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popularizačná prednáška</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recenzia</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Cieľ: rozšíriť objavené medzi neodbornú verejnosť.</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Osobitným žánrom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ktorá stojí na rozhraní medzi náučným a umeleckým štýlom, medzi výkladom a úvahou.</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Výrazové prostriedky náučného štýlu:</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Náročnosť obsahu i formy autori prispôsobujú dvom kategóriám prijímateľov:</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vedcom, odborníkom sú určené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vedecko-náučné jazykové prejavy.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Ich cieľom je rozšíriť vedecký objav alebo vysvetliť odborný problém odbornému publiku. Používajú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knižné slová, cudzie slová a terminológiu konkrétneho vedného odboru.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Typická je tiež presnosť vyjadrovania, vedecká citácia a argumentácia. Prevládajú oznamovacie vety, časté sú súvetia (aj zložené).</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širšej verejnosti, žiakom, čitateľom odborných a populárno-vedeckých časopisov sú adresované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populárno-náučné (popularizačné) jazykové prejavy.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Uplatňujú sa v nich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publicistické a beletristické prvky. Uprednostňujú sa domáce termíny, cudzojazyčné termíny bývajú vysvetlené opisom, používajú sa názorné prirovnania a príklady, synonymá. V texte sa ako motivačné nachádzajú aj opytovacie vety, ale prevládajú oznamovacie. Výraznejšie sa môže prejaviť osobnosť autora. Namiesto citácie sa viac parafrázuje.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2199"/>
        <w:gridCol w:w="2395"/>
        <w:gridCol w:w="2322"/>
        <w:tblGridChange w:id="0">
          <w:tblGrid>
            <w:gridCol w:w="2520"/>
            <w:gridCol w:w="2199"/>
            <w:gridCol w:w="2395"/>
            <w:gridCol w:w="2322"/>
          </w:tblGrid>
        </w:tblGridChange>
      </w:tblGrid>
      <w:tr>
        <w:trPr>
          <w:cantSplit w:val="1"/>
          <w:trHeight w:val="621" w:hRule="atLeast"/>
          <w:tblHeader w:val="0"/>
        </w:trPr>
        <w:tc>
          <w:tcPr>
            <w:gridSpan w:val="3"/>
            <w:shd w:fill="ccff99" w:val="clea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Verbálne prostriedky</w:t>
            </w:r>
            <w:r w:rsidDel="00000000" w:rsidR="00000000" w:rsidRPr="00000000">
              <w:rPr>
                <w:rtl w:val="0"/>
              </w:rPr>
            </w:r>
          </w:p>
        </w:tc>
        <w:tc>
          <w:tcPr>
            <w:vMerge w:val="restart"/>
            <w:shd w:fill="ccff99" w:val="clea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Neverbálne prostriedky</w:t>
            </w:r>
            <w:r w:rsidDel="00000000" w:rsidR="00000000" w:rsidRPr="00000000">
              <w:rPr>
                <w:rtl w:val="0"/>
              </w:rPr>
            </w:r>
          </w:p>
        </w:tc>
      </w:tr>
      <w:tr>
        <w:trPr>
          <w:cantSplit w:val="1"/>
          <w:trHeight w:val="559" w:hRule="atLeast"/>
          <w:tblHeader w:val="0"/>
        </w:trPr>
        <w:tc>
          <w:tcPr>
            <w:shd w:fill="ffff99" w:val="clea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Lexikálne prostriedky</w:t>
            </w:r>
            <w:r w:rsidDel="00000000" w:rsidR="00000000" w:rsidRPr="00000000">
              <w:rPr>
                <w:rtl w:val="0"/>
              </w:rPr>
            </w:r>
          </w:p>
        </w:tc>
        <w:tc>
          <w:tcPr>
            <w:shd w:fill="ffff99" w:val="clea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Morfologické prostriedky</w:t>
            </w:r>
            <w:r w:rsidDel="00000000" w:rsidR="00000000" w:rsidRPr="00000000">
              <w:rPr>
                <w:rtl w:val="0"/>
              </w:rPr>
            </w:r>
          </w:p>
        </w:tc>
        <w:tc>
          <w:tcPr>
            <w:shd w:fill="ffff99" w:val="clea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Syntaktické prostriedky</w:t>
            </w:r>
            <w:r w:rsidDel="00000000" w:rsidR="00000000" w:rsidRPr="00000000">
              <w:rPr>
                <w:rtl w:val="0"/>
              </w:rPr>
            </w:r>
          </w:p>
        </w:tc>
        <w:tc>
          <w:tcPr>
            <w:vMerge w:val="continue"/>
            <w:shd w:fill="ccff99" w:val="cle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94" w:hRule="atLeast"/>
          <w:tblHeader w:val="0"/>
        </w:trPr>
        <w:tc>
          <w:tcPr>
            <w:vAlign w:val="top"/>
          </w:tcPr>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odborné názvy</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nocionálne (pojmové slová)</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cudzie slová</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knižné slová</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skratky</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značky</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multiverbizácia</w:t>
            </w: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častý výskyt mien</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autorský plurál</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neosobné vyjadrovanie</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gnómický prézent (štylistické využitie prítomného času)</w:t>
            </w:r>
          </w:p>
        </w:tc>
        <w:tc>
          <w:tcPr>
            <w:vAlign w:val="top"/>
          </w:tcPr>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prevaha dvojčlenných oznamovacích viet</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súvetia – podraďovacie aj zložené</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vyjadrenie príčinnosti</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polovetné konštrukcie</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modifikované vetné konštrukcie: výpustka (elipsa), vsuvka (parentéza)...</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využitie viacnásobných vetných členov (v enumerácii)</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odseky, nadpisy</w:t>
            </w:r>
          </w:p>
        </w:tc>
        <w:tc>
          <w:tcPr>
            <w:vAlign w:val="top"/>
          </w:tcPr>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údaje v číslach</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tabuľky, schémy, vzorce, grafy, prílohy a pod.</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označovanie odsekov, kapitol číslicami, písmenami</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KOMPOZÍCIA A ČLENENIE TEXTOV NÁUČNÉHO ŠTÝLU</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 náučný text je typické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trojčlenné rozdelenie textu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(úvod, jadro, záver). Text má byť jasný, zreteľný a prehľadný.</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Kompozičné usporiadanie textov náučného štýlu</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 časti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(trichotomické):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úvod, jadro, záver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(výklad, štúdia, referát, esej; úvaha nemá zreteľné hranice medzi troma časťami)</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Dve časti: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nadviazanie, vyjadrenie vlastného názoru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(odborný diskusný príspevok)</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Rámcové časti náučného textu</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2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Úvodná časť textu</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Titul/názov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náučného textu – zvyčajne priamo oznamuje obsah textu, má teda najmä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informačnú funkciu.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Osobitnú funkciu majú názvy populárno-náučných článkov, ktoré majú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upútať pozornosť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čitateľov. V náučnom texte sa stretávame aj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medzititulkami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uľahčujúcimi porozumenie textu.</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Abstrakt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charakteristika obsahu náučného textu; umiestňujeme ho na začiatku; zvyčajne býva aj v cudzom jazyku.</w:t>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Predhovor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vždy vyčlenený 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samostatnej kapitoly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píše ho autor celej práce (hovorí napr. o mieste nového diela v celej tvorbe) alebo niektorá známa osobnosť príslušného vedného odboru, ktorá v ňom hodnotí prácu a doterajšie diela autora, jeho prínos.</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formálne vyčleňuje 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samostatného odseku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kapitoly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Oboznamuje čitateľa:</w:t>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obsahovým zameraním, témou práce,</w:t>
      </w:r>
    </w:p>
    <w:p w:rsidR="00000000" w:rsidDel="00000000" w:rsidP="00000000" w:rsidRDefault="00000000" w:rsidRPr="00000000" w14:paraId="000000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dôvodmi, pre ktoré sa autor rozhodol spracovať danú tému,</w:t>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metódami a postupmi práce,</w:t>
      </w:r>
    </w:p>
    <w:p w:rsidR="00000000" w:rsidDel="00000000" w:rsidP="00000000" w:rsidRDefault="00000000" w:rsidRPr="00000000" w14:paraId="000000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niekedy s literatúrou, ktorá sa téme venovala doteraz.</w:t>
      </w:r>
    </w:p>
    <w:p w:rsidR="00000000" w:rsidDel="00000000" w:rsidP="00000000" w:rsidRDefault="00000000" w:rsidRPr="00000000" w14:paraId="0000007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Jadro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analýza problému, metódy a postupy práce, riešenie problému (diely, kapitoly, podkapitoly, odseky)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Záverečná časť textu</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Záver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tvorí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samostatný odsek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kapitola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podobne ako úvod; stručne a prehľadne zhrňuje výsledky, ku ktorým autor dospel.</w:t>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Citovaná a použitá literatúra</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záverečný súhrn výsledkov, zvyčajne aj v cudzom jazyku. V súčasnosti sa namiesto resumé píše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abstrakt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úvodnej rámcovej časti.</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Vecný a pojmový register</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Niektoré útvary náučného štýlu sú určené na ústny prednes (napr. odborný diskusný príspevok a referát). Na ich kompozíciu vplýva rečnícky štýl. K rámcovým častiam takýchto žánrov patrí tiež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oslovenie prítomných poslucháčov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 začiatku prejavu. Na konci môžeme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poďakovať za pozornosť.</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SÚDRŽNOSŤ TEXTU, PROSTRIEDKY SÚDRŽNOSTI TEXTU</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slovo</w:t>
        <w:tab/>
        <w:tab/>
        <w:tab/>
        <w:t xml:space="preserve">veta</w:t>
        <w:tab/>
        <w:tab/>
        <w:tab/>
        <w:t xml:space="preserve">text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63500</wp:posOffset>
                </wp:positionV>
                <wp:extent cx="590550" cy="25400"/>
                <wp:effectExtent b="0" l="0" r="0" t="0"/>
                <wp:wrapNone/>
                <wp:docPr id="18" name=""/>
                <a:graphic>
                  <a:graphicData uri="http://schemas.microsoft.com/office/word/2010/wordprocessingShape">
                    <wps:wsp>
                      <wps:cNvCnPr/>
                      <wps:spPr>
                        <a:xfrm>
                          <a:off x="5050725" y="3780000"/>
                          <a:ext cx="590550"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63500</wp:posOffset>
                </wp:positionV>
                <wp:extent cx="590550" cy="25400"/>
                <wp:effectExtent b="0" l="0" r="0" t="0"/>
                <wp:wrapNone/>
                <wp:docPr id="18"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5905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590550" cy="25400"/>
                <wp:effectExtent b="0" l="0" r="0" t="0"/>
                <wp:wrapNone/>
                <wp:docPr id="11" name=""/>
                <a:graphic>
                  <a:graphicData uri="http://schemas.microsoft.com/office/word/2010/wordprocessingShape">
                    <wps:wsp>
                      <wps:cNvCnPr/>
                      <wps:spPr>
                        <a:xfrm>
                          <a:off x="5050725" y="3780000"/>
                          <a:ext cx="590550"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590550" cy="25400"/>
                <wp:effectExtent b="0" l="0" r="0" t="0"/>
                <wp:wrapNone/>
                <wp:docPr id="1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90550" cy="25400"/>
                        </a:xfrm>
                        <a:prstGeom prst="rect"/>
                        <a:ln/>
                      </pic:spPr>
                    </pic:pic>
                  </a:graphicData>
                </a:graphic>
              </wp:anchor>
            </w:drawing>
          </mc:Fallback>
        </mc:AlternateConten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Kompozícia je jednej z najúčinnejších prostriedkov súdržnosti a nadväznosti jazykových jednotiek v každom texte, nielen vo vecnom či náučnom.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Vetosled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Poradie rovnocenných viet v zlučovacom priraďovacom súvetí je zameniteľné, záleží na autorovom zámere.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podraďovacom súvetí je zvyčajne na začiatku hlavná veta a po nej vedľajšia veta. Zriedkavejšie je to naopak. Poradie vedľajšia veta – hlavná veta sa využíva ako príznakový výrazový prostriedok na vyjadrenie emócií.</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Konektory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(prostriedky súdržnosti a nadväznosti textu)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Jazykové konektory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zámená, gramatická zhoda napr. medzi podmetom a zhodným prívlastkom, väzba slovesa s podstatným menom v istom páde, synonymá, antonymá, opakovanie slov, pojmov, nevyjadrený podmet...)</w:t>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Obsahové konektory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téma, kompozičné celky (úvod, jadro, záver), časová línia, postupnosť krokov, opakovanie motívu)</w:t>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Mimojazykové konektory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(mimika a gestikulácia, odkaz na predchádzajúcu komunikačnú situáciu...)</w:t>
      </w:r>
    </w:p>
    <w:p w:rsidR="00000000" w:rsidDel="00000000" w:rsidP="00000000" w:rsidRDefault="00000000" w:rsidRPr="00000000" w14:paraId="000000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Retorspektívne konektory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(odkazujú na to, čo už bolo povedané, napísané).</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Čítal, študoval, skúmal.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ho robilo šťastným.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165100</wp:posOffset>
                </wp:positionV>
                <wp:extent cx="25400" cy="161925"/>
                <wp:effectExtent b="0" l="0" r="0" t="0"/>
                <wp:wrapNone/>
                <wp:docPr id="10" name=""/>
                <a:graphic>
                  <a:graphicData uri="http://schemas.microsoft.com/office/word/2010/wordprocessingShape">
                    <wps:wsp>
                      <wps:cNvCnPr/>
                      <wps:spPr>
                        <a:xfrm rot="10800000">
                          <a:off x="5346000" y="3699038"/>
                          <a:ext cx="0" cy="16192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165100</wp:posOffset>
                </wp:positionV>
                <wp:extent cx="25400" cy="161925"/>
                <wp:effectExtent b="0" l="0" r="0" t="0"/>
                <wp:wrapNone/>
                <wp:docPr id="10"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54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330200</wp:posOffset>
                </wp:positionV>
                <wp:extent cx="771525" cy="12700"/>
                <wp:effectExtent b="0" l="0" r="0" t="0"/>
                <wp:wrapNone/>
                <wp:docPr id="13" name=""/>
                <a:graphic>
                  <a:graphicData uri="http://schemas.microsoft.com/office/word/2010/wordprocessingShape">
                    <wps:wsp>
                      <wps:cNvCnPr/>
                      <wps:spPr>
                        <a:xfrm rot="10800000">
                          <a:off x="4960238" y="3780000"/>
                          <a:ext cx="77152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330200</wp:posOffset>
                </wp:positionV>
                <wp:extent cx="771525" cy="12700"/>
                <wp:effectExtent b="0" l="0" r="0" t="0"/>
                <wp:wrapNone/>
                <wp:docPr id="13"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7715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165100</wp:posOffset>
                </wp:positionV>
                <wp:extent cx="12700" cy="161925"/>
                <wp:effectExtent b="0" l="0" r="0" t="0"/>
                <wp:wrapNone/>
                <wp:docPr id="12" name=""/>
                <a:graphic>
                  <a:graphicData uri="http://schemas.microsoft.com/office/word/2010/wordprocessingShape">
                    <wps:wsp>
                      <wps:cNvCnPr/>
                      <wps:spPr>
                        <a:xfrm>
                          <a:off x="5346000" y="3699038"/>
                          <a:ext cx="0" cy="16192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165100</wp:posOffset>
                </wp:positionV>
                <wp:extent cx="12700" cy="161925"/>
                <wp:effectExtent b="0" l="0" r="0" t="0"/>
                <wp:wrapNone/>
                <wp:docPr id="1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2700" cy="161925"/>
                        </a:xfrm>
                        <a:prstGeom prst="rect"/>
                        <a:ln/>
                      </pic:spPr>
                    </pic:pic>
                  </a:graphicData>
                </a:graphic>
              </wp:anchor>
            </w:drawing>
          </mc:Fallback>
        </mc:AlternateConten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Perspektívne konektory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(odkazujú na to (avizujú), o čom sa bude hovoriť, písať).</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Dnes ti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čosi</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prezradím.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Vydám sa za teba.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203200</wp:posOffset>
                </wp:positionV>
                <wp:extent cx="12700" cy="161925"/>
                <wp:effectExtent b="0" l="0" r="0" t="0"/>
                <wp:wrapNone/>
                <wp:docPr id="21" name=""/>
                <a:graphic>
                  <a:graphicData uri="http://schemas.microsoft.com/office/word/2010/wordprocessingShape">
                    <wps:wsp>
                      <wps:cNvCnPr/>
                      <wps:spPr>
                        <a:xfrm>
                          <a:off x="5346000" y="3699038"/>
                          <a:ext cx="0" cy="16192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203200</wp:posOffset>
                </wp:positionV>
                <wp:extent cx="12700" cy="161925"/>
                <wp:effectExtent b="0" l="0" r="0" t="0"/>
                <wp:wrapNone/>
                <wp:docPr id="2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127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203200</wp:posOffset>
                </wp:positionV>
                <wp:extent cx="25400" cy="161925"/>
                <wp:effectExtent b="0" l="0" r="0" t="0"/>
                <wp:wrapNone/>
                <wp:docPr id="9" name=""/>
                <a:graphic>
                  <a:graphicData uri="http://schemas.microsoft.com/office/word/2010/wordprocessingShape">
                    <wps:wsp>
                      <wps:cNvCnPr/>
                      <wps:spPr>
                        <a:xfrm rot="10800000">
                          <a:off x="5346000" y="3699038"/>
                          <a:ext cx="0" cy="16192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203200</wp:posOffset>
                </wp:positionV>
                <wp:extent cx="25400" cy="161925"/>
                <wp:effectExtent b="0" l="0" r="0" t="0"/>
                <wp:wrapNone/>
                <wp:docPr id="9"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2540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355600</wp:posOffset>
                </wp:positionV>
                <wp:extent cx="1371600" cy="12700"/>
                <wp:effectExtent b="0" l="0" r="0" t="0"/>
                <wp:wrapNone/>
                <wp:docPr id="8" name=""/>
                <a:graphic>
                  <a:graphicData uri="http://schemas.microsoft.com/office/word/2010/wordprocessingShape">
                    <wps:wsp>
                      <wps:cNvCnPr/>
                      <wps:spPr>
                        <a:xfrm>
                          <a:off x="4660200" y="3780000"/>
                          <a:ext cx="137160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355600</wp:posOffset>
                </wp:positionV>
                <wp:extent cx="1371600" cy="12700"/>
                <wp:effectExtent b="0" l="0" r="0" t="0"/>
                <wp:wrapNone/>
                <wp:docPr id="8"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371600" cy="12700"/>
                        </a:xfrm>
                        <a:prstGeom prst="rect"/>
                        <a:ln/>
                      </pic:spPr>
                    </pic:pic>
                  </a:graphicData>
                </a:graphic>
              </wp:anchor>
            </w:drawing>
          </mc:Fallback>
        </mc:AlternateConten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Mimotextové,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intertextové nadväzovanie (nadväzovanie na iný text alebo komunikačnú situáciu)</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Krátkom slovníku slovenského jazyka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 našli zdôvodnenie.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Stavba vety </w:t>
        <w:tab/>
        <w:tab/>
        <w:tab/>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Slovosled</w:t>
        <w:tab/>
        <w:tab/>
        <w:tab/>
        <w:tab/>
        <w:tab/>
        <w:tab/>
        <w:tab/>
        <w:tab/>
        <w:tab/>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Aktuálne členenie (východisko, jadro)</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Stavba súvetia</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Vetosled</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Stavba textu (kompozícia)</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Vety</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Odseky</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Kapitoly</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Podkapitoly</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VÝKLADOVÝ SLOHOVÝ POSTUP</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Postupy a formy logického myslenia vo výkladovom slohovom postupe</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náučnom štýle môžeme využiť:</w:t>
      </w:r>
    </w:p>
    <w:p w:rsidR="00000000" w:rsidDel="00000000" w:rsidP="00000000" w:rsidRDefault="00000000" w:rsidRPr="00000000" w14:paraId="000000B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Opisný slohový postup (opis predmetu, osoby, pracovného postupu).</w:t>
      </w:r>
    </w:p>
    <w:p w:rsidR="00000000" w:rsidDel="00000000" w:rsidP="00000000" w:rsidRDefault="00000000" w:rsidRPr="00000000" w14:paraId="000000B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Informačný slohový postup – je často zastúpený v odbornom opise (napr. výpočet častí strojov), prevláda v referáte (odborný referát, školský referát; napr. info o dielach autora, výpočet postáv) a v popularizačnej literatúre.</w:t>
      </w:r>
    </w:p>
    <w:p w:rsidR="00000000" w:rsidDel="00000000" w:rsidP="00000000" w:rsidRDefault="00000000" w:rsidRPr="00000000" w14:paraId="000000B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Rozprávací slohový postup sa používa len v motivačných častiach náučného štýlu pre mladších čitateľov.</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Logické myslenie má svoje zákony, postupy a formy. Jednotlivé postupy a formy logického myslenia sú vzájomne prepojené.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Postupy a formy logického myslenia</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Indukcia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postupujeme od jednotlivostí k zovšeobecneniu, od známych vecí k neznámym, od konkrétnych javov k abstrakcii. Zakončením indukcie môže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syntéza.</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Zovšeobecnenie (generalizácia)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základe opakujúcich sa znakov a vlastností predmetov vytvárame pojmy, ale aj formulujeme výrok, ktorý platí pre celú triedu predmetov.</w:t>
      </w:r>
    </w:p>
    <w:p w:rsidR="00000000" w:rsidDel="00000000" w:rsidP="00000000" w:rsidRDefault="00000000" w:rsidRPr="00000000" w14:paraId="000000B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Dedukcia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postup od všeobecného k jednotlivému, od abstraktného ku konkrétnemu, od neznámeho k známemu.</w:t>
      </w:r>
    </w:p>
    <w:p w:rsidR="00000000" w:rsidDel="00000000" w:rsidP="00000000" w:rsidRDefault="00000000" w:rsidRPr="00000000" w14:paraId="000000B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Komparácia (porovnávanie)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týmto postupom klasifikujeme jednotlivé javy; zisťujeme najprv zhody a potom rozdiely medzi javmi. Využívame analýzu a syntézu.</w:t>
      </w:r>
    </w:p>
    <w:p w:rsidR="00000000" w:rsidDel="00000000" w:rsidP="00000000" w:rsidRDefault="00000000" w:rsidRPr="00000000" w14:paraId="000000B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Konkretizácia (uvedenie príkladu)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prechádzame od všeobecného pojmu ku konkrétnemu príkladu; napr. tvrdenie alebo definíciu aplikujeme na konkrétny príklad.</w:t>
      </w:r>
    </w:p>
    <w:p w:rsidR="00000000" w:rsidDel="00000000" w:rsidP="00000000" w:rsidRDefault="00000000" w:rsidRPr="00000000" w14:paraId="000000B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Triedenie (klasifikácia, kategorizácia)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skupinu pojmov alebo javov delíme na podskupiny podľa rozlišovacích znakov; pri zaraďovaní do podskupín využívame porovnanie jednotlivých javov, ale aj uvedenie príkladov.</w:t>
      </w:r>
    </w:p>
    <w:p w:rsidR="00000000" w:rsidDel="00000000" w:rsidP="00000000" w:rsidRDefault="00000000" w:rsidRPr="00000000" w14:paraId="000000B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Analógia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 preskúmaní podrobností dvoch javov usudzujeme, že aj tretí jav toho istého charakteru bude mať tie isté vlastnosti. Vyslovíme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hypotézu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teda vedecky podložený, ale doteraz definitívne nepotvrdený predpoklad, že je to tak.</w:t>
      </w:r>
    </w:p>
    <w:p w:rsidR="00000000" w:rsidDel="00000000" w:rsidP="00000000" w:rsidRDefault="00000000" w:rsidRPr="00000000" w14:paraId="000000C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Objasňovanie (exemplifikáciu)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pojmov alebo definícií robíme pomocou príkladov.</w:t>
      </w:r>
    </w:p>
    <w:p w:rsidR="00000000" w:rsidDel="00000000" w:rsidP="00000000" w:rsidRDefault="00000000" w:rsidRPr="00000000" w14:paraId="000000C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Interpretácia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úzko súvisí s dedukciou, klasifikáciou a exemplifikáciou. Na rozdiel od iných postupov zahŕňa aj postoje interpretujúceho. Autor si pri detailnom rozbore textu vytvára vlastnú mienku o diele. Texty môžeme interpretovať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súhlasne, kontrastne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polemicky.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Môžeme ho interpretovať celý a všetky jeho stránky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komplexná interpretácia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sa sústredíme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čiastkový problém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Argumentácia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to proces uvažovania, v ktorom sa uplatňuje logika. Na rozdiel od objasňovania však v argumentačnom texte ide aj 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presviedčania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prijímateľa.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Myšlienkový postup pri argumentácii</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Vyslovíme tézu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(téza = tvrdenie, ktoré treba argumentmi dokázať, obhájiť alebo presvedčiť prijímateľa o jeho správnosti);</w:t>
      </w:r>
    </w:p>
    <w:p w:rsidR="00000000" w:rsidDel="00000000" w:rsidP="00000000" w:rsidRDefault="00000000" w:rsidRPr="00000000" w14:paraId="000000C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argumentujeme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(objasňujeme, odôvodňujeme) svoje tvrdenie s využitím argumentu;</w:t>
      </w:r>
    </w:p>
    <w:p w:rsidR="00000000" w:rsidDel="00000000" w:rsidP="00000000" w:rsidRDefault="00000000" w:rsidRPr="00000000" w14:paraId="000000C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 záver zhrnieme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povedané (okrem zhrnutia táto časť argumentácie prináša naznačenie iného riešenia problému alebo výzvu pre prijímateľa, aby vo veci konal).</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Argumenty rozlišujeme: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môžu byť vecne a objektívne opísané javy, ktoré podložia naše tvrdenia (časový údaj, historická udalosť, číselný údaj...), citácia cudzieho textu, obraz alebo graf, prerozprávanie vlastnej alebo cudzej skúsenosti...</w:t>
      </w:r>
    </w:p>
    <w:p w:rsidR="00000000" w:rsidDel="00000000" w:rsidP="00000000" w:rsidRDefault="00000000" w:rsidRPr="00000000" w14:paraId="000000C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nepriame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dôkazy, ku ktorým sme dospeli logickými operáciami.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Rozlišujeme: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Téza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formulovaná myšlienka v argumentačnom texte – tvrdenie.</w:t>
      </w:r>
    </w:p>
    <w:p w:rsidR="00000000" w:rsidDel="00000000" w:rsidP="00000000" w:rsidRDefault="00000000" w:rsidRPr="00000000" w14:paraId="000000D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Hypotéza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vedecky podložený, ale doteraz nepotvrdený predpoklad.</w:t>
      </w:r>
    </w:p>
    <w:p w:rsidR="00000000" w:rsidDel="00000000" w:rsidP="00000000" w:rsidRDefault="00000000" w:rsidRPr="00000000" w14:paraId="000000D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Premisa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výrok, z ktorého vyplýva v úsudku (napr. pri dedukcii) iný výrok či záver.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Chyby v argumentácii</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zneváženie oponenta</w:t>
      </w:r>
    </w:p>
    <w:p w:rsidR="00000000" w:rsidDel="00000000" w:rsidP="00000000" w:rsidRDefault="00000000" w:rsidRPr="00000000" w14:paraId="000000D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nevedecký argument</w:t>
      </w:r>
    </w:p>
    <w:p w:rsidR="00000000" w:rsidDel="00000000" w:rsidP="00000000" w:rsidRDefault="00000000" w:rsidRPr="00000000" w14:paraId="000000D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pôsobenie na city verejnosti</w:t>
      </w:r>
    </w:p>
    <w:p w:rsidR="00000000" w:rsidDel="00000000" w:rsidP="00000000" w:rsidRDefault="00000000" w:rsidRPr="00000000" w14:paraId="000000D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tisíckrát opakovaná lož sa stáva pravdou</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ÚTVARY VYUŽÍVAJÚCE VÝKLADOVÝ SLOHOVÝ POSTUP</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Výklad</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písaný jazykový prejav, s ktorým sa stretávame vo vedeckých publikáciách, v školských učebniciach i v článkoch populárno-vedeckých časopisov. Jeho cieľom je sprístupniť, objektívne vysvetliť vedecké poznatky a poučiť adresáta.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Kompozícia výkladu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spočíva na pevnom obsahovom i grafickom členení na úvod, jadro, záver.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Okrem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výkladového slohového postupu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 výklade tiež využívame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opisný slohový postup.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výkladovom texte pracujeme najmä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pojmami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termínmi.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textu býva pripojený grafický materiál – tabuľky, schémy, obrázky, výpočty... Často ho dopĺňajú aj poznámky pod čiarou a citáty. Východiskom pre analýzu a vysvetlenie javu vo výklade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definícia,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teda vymedzenie pojmu, výklad významu slova (termínu, výrazu) uvedením jeho základných a typických znakov.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Útvary výkladového slohového postupu:</w:t>
      </w:r>
    </w:p>
    <w:p w:rsidR="00000000" w:rsidDel="00000000" w:rsidP="00000000" w:rsidRDefault="00000000" w:rsidRPr="00000000" w14:paraId="0000010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základný útvar: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výklad</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ďalšie útvary: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úvaha, esej</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Podľa použitého myšlienkového postupu rozlišujeme dva základné typy výkladu:</w:t>
      </w:r>
    </w:p>
    <w:p w:rsidR="00000000" w:rsidDel="00000000" w:rsidP="00000000" w:rsidRDefault="00000000" w:rsidRPr="00000000" w14:paraId="0000010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induktívny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postupuje od ľahšieho k náročnejšiemu, od faktu k faktu, od javu k javu a v závere vyslovuje zovšeobecňujúce tvrdenia. </w:t>
      </w:r>
    </w:p>
    <w:p w:rsidR="00000000" w:rsidDel="00000000" w:rsidP="00000000" w:rsidRDefault="00000000" w:rsidRPr="00000000" w14:paraId="0000010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deduktívny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náročnejší pre prijímateľa než výklad s induktívnym postupom. Pomáha nám rozširovať si vedomosti, precvičovať učivo, ktoré sme už zvládli, alebo aplikovať definície na konkrétne javy. Musíme poznať základné pojmy a definície, inak by sme obsahu výkladu nerozumeli.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VÝKLADOVÉ ŽÁNRE V NÁUČNOM ŠTÝLE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Odborný článok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krátky náučný útvar publikovaný vo vedecký alebo odborných časopisoch, prináša základné informácie o čiastkovom probléme, o výsledkoch vedeckého pozorovania alebo výskumu.</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Dizertácia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 – sa môže zaoberať čiastkovým problémom istého vedeckého odboru, vtedy ide 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monografiu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Veľká Morava), alebo spracúva súhrnne celý vedný odbor a vtedy hovoríme 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kompendiu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Dejiny Slovenska). Monografiami sú aj rôzne vedecké práce na získanie vedeckej hodnosti, akademického titulu, napríklad rigorózna práca a habilitačná práca. Kompozícia dizertácie je trojčlenná, charakterizuje ju samostatnosť úvodu a záveru, jadro je vždy členené na kapitoly.</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Štúdia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je kratšia ako dizertácia a dlhšia ako odborný článok, podrobne analyzuje oddelený, čiastkový odborný problém. Formálne i obsahovo je blízka odbornému referátu či prednáške (hlavne v ich publikovanej podobe v zborníkoch z vedeckých konferencií či seminárov):</w:t>
      </w:r>
    </w:p>
    <w:p w:rsidR="00000000" w:rsidDel="00000000" w:rsidP="00000000" w:rsidRDefault="00000000" w:rsidRPr="00000000" w14:paraId="0000012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Úvod štúdie oboznamuje s tým, aká je súčasná situácia v riešení danej odbornej problematiky, odkazuje na príbuznú odbornú literatúru, cituje iných autorov. V tejto časti prevláda informačný a opisný slohový postup.</w:t>
      </w:r>
    </w:p>
    <w:p w:rsidR="00000000" w:rsidDel="00000000" w:rsidP="00000000" w:rsidRDefault="00000000" w:rsidRPr="00000000" w14:paraId="000001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Jadro prináša nové fakty, nový pohľad autora na problematiku doložený dôkazmi a argumentmi. Základom je výkladový slohový postup.</w:t>
      </w:r>
    </w:p>
    <w:p w:rsidR="00000000" w:rsidDel="00000000" w:rsidP="00000000" w:rsidRDefault="00000000" w:rsidRPr="00000000" w14:paraId="0000012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Záver obsahuje hodnotenie výsledkov a prínos práce.</w:t>
      </w:r>
    </w:p>
    <w:p w:rsidR="00000000" w:rsidDel="00000000" w:rsidP="00000000" w:rsidRDefault="00000000" w:rsidRPr="00000000" w14:paraId="000001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Resumé (pokiaľ nie je nahradené abstraktom) stručne zhrnuje obsah štúdie, zvyčajne aj v niektorom zo svetových jazykov. Využíva najmä informačný a opisný slohový postup.</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Prípadová štúdia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máva tieto obsahové a kompozičné časti:</w:t>
      </w:r>
    </w:p>
    <w:p w:rsidR="00000000" w:rsidDel="00000000" w:rsidP="00000000" w:rsidRDefault="00000000" w:rsidRPr="00000000" w14:paraId="000001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Úvod – základné informácie o stave vecí (informačný slohový postup);</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Jadro  - opis prípadovej situácie, definícia problému v súvislostiach (opisný a výkladový slohový postup), analýza prípadu, problému, ciele, vyslovovanie predpokladov, návrh riešenia (výkladový slohový postup);</w:t>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Záver – hodnotenie dosiahnutého pokroku, riešenia, prínos riešenia, odhad využitia získaných skúseností (výkladový slohový postup). Výsledkom takejto štúdie je príklad, ktorý sa dá zovšeobecniť a použiť pre iný prípad.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Referát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poznatky alebo javy detailne nevysvetľuje, iba opisuje a informuje o nich. Je prvotne písaný, vecný, využíva odbornú lexiku, snaží sa byť objektívny a dbá o zreteľnú kompozíciu (aj napriek zložitej téme). Referát predpokladá ústny prednes pred publikom (ústny referát), preto obsahuje znaky, ktoré uľahčujú poslucháčom vnímanie obsahu: jasná a prehľadná kompozícia s úvodom, jadrom a záverom; jednoduchšie a kratšie vety; vecný a objektívny jazyk bez podrobností, jasne formulované myšlienky, krátke vsuvky (skúsenosť) na odľahčenie. Prednášajúci dopĺňa svoj referát rôznymi prostriedkami napr. prezentáciou, posterom, komunikáciou s publikom...</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Poster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vizuálnym prostriedkom prezentácie odborných vedeckých poznatkov. Jeho úlohou je priblížiť podstatné myšlienky práce, získať a udržať pozornosť čitateľov čo najdlhšie a uľahčiť im zapamätávanie kľúčových myšlienok. Poster je spojenie súvislého a nesúvislého textu (grafy, tabuľky, schémy), fotografií, ilustrácií a grafických prostriedkov.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z w:val="22"/>
          <w:szCs w:val="22"/>
        </w:rPr>
        <mc:AlternateContent>
          <mc:Choice Requires="wpg">
            <w:drawing>
              <wp:anchor allowOverlap="1" behindDoc="0" distB="320040" distT="320040" distL="320040" distR="320040" hidden="0" layoutInCell="1" locked="0" relativeHeight="0" simplePos="0">
                <wp:simplePos x="0" y="0"/>
                <wp:positionH relativeFrom="leftMargin">
                  <wp:posOffset>1092237</wp:posOffset>
                </wp:positionH>
                <wp:positionV relativeFrom="topMargin">
                  <wp:posOffset>293467</wp:posOffset>
                </wp:positionV>
                <wp:extent cx="4124960" cy="5542280"/>
                <wp:effectExtent b="0" l="0" r="0" t="0"/>
                <wp:wrapSquare wrapText="bothSides" distB="320040" distT="320040" distL="320040" distR="320040"/>
                <wp:docPr id="6" name=""/>
                <a:graphic>
                  <a:graphicData uri="http://schemas.microsoft.com/office/word/2010/wordprocessingShape">
                    <wps:wsp>
                      <wps:cNvSpPr/>
                      <wps:cNvPr id="7" name="Shape 7"/>
                      <wps:spPr>
                        <a:xfrm>
                          <a:off x="3289870" y="1015210"/>
                          <a:ext cx="4112260" cy="5529580"/>
                        </a:xfrm>
                        <a:prstGeom prst="rect">
                          <a:avLst/>
                        </a:prstGeom>
                        <a:gradFill>
                          <a:gsLst>
                            <a:gs pos="0">
                              <a:srgbClr val="F4B083"/>
                            </a:gs>
                            <a:gs pos="50000">
                              <a:srgbClr val="FBE4D5"/>
                            </a:gs>
                            <a:gs pos="100000">
                              <a:srgbClr val="F4B083"/>
                            </a:gs>
                          </a:gsLst>
                          <a:lin ang="8100000" scaled="0"/>
                        </a:gradFill>
                        <a:ln cap="flat" cmpd="sng" w="12700">
                          <a:solidFill>
                            <a:srgbClr val="F4B083"/>
                          </a:solidFill>
                          <a:prstDash val="solid"/>
                          <a:miter lim="800000"/>
                          <a:headEnd len="sm" w="sm" type="none"/>
                          <a:tailEnd len="sm" w="sm" type="none"/>
                        </a:ln>
                      </wps:spPr>
                      <wps:txbx>
                        <w:txbxContent>
                          <w:p w:rsidR="00000000" w:rsidDel="00000000" w:rsidP="00000000" w:rsidRDefault="00000000" w:rsidRPr="00000000">
                            <w:pPr>
                              <w:spacing w:after="200" w:before="40" w:line="288.0000114440918"/>
                              <w:ind w:left="0" w:right="0" w:firstLine="0"/>
                              <w:jc w:val="center"/>
                              <w:textDirection w:val="btLr"/>
                            </w:pPr>
                            <w:r w:rsidDel="00000000" w:rsidR="00000000" w:rsidRPr="00000000">
                              <w:rPr>
                                <w:rFonts w:ascii="Arial" w:cs="Arial" w:eastAsia="Arial" w:hAnsi="Arial"/>
                                <w:b w:val="1"/>
                                <w:i w:val="0"/>
                                <w:smallCaps w:val="0"/>
                                <w:strike w:val="0"/>
                                <w:color w:val="000000"/>
                                <w:sz w:val="27"/>
                                <w:vertAlign w:val="baseline"/>
                              </w:rPr>
                              <w:t xml:space="preserve">Nadpis, názov práce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262626"/>
                                <w:sz w:val="27"/>
                                <w:vertAlign w:val="baseline"/>
                              </w:rPr>
                            </w:r>
                            <w:r w:rsidDel="00000000" w:rsidR="00000000" w:rsidRPr="00000000">
                              <w:rPr>
                                <w:rFonts w:ascii="Arial" w:cs="Arial" w:eastAsia="Arial" w:hAnsi="Arial"/>
                                <w:b w:val="1"/>
                                <w:i w:val="0"/>
                                <w:smallCaps w:val="0"/>
                                <w:strike w:val="0"/>
                                <w:color w:val="2f5496"/>
                                <w:sz w:val="22"/>
                                <w:vertAlign w:val="baseline"/>
                              </w:rPr>
                              <w:t xml:space="preserve">Autor, pracovisko, škola</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2f5496"/>
                                <w:sz w:val="22"/>
                                <w:vertAlign w:val="baseline"/>
                              </w:rPr>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2f5496"/>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abstrakt </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stručný úvod   </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motivácia  </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definícia problému</w:t>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materiál			</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metódy skúmania                           </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320040" distT="320040" distL="320040" distR="320040" hidden="0" layoutInCell="1" locked="0" relativeHeight="0" simplePos="0">
                <wp:simplePos x="0" y="0"/>
                <wp:positionH relativeFrom="leftMargin">
                  <wp:posOffset>1092237</wp:posOffset>
                </wp:positionH>
                <wp:positionV relativeFrom="topMargin">
                  <wp:posOffset>293467</wp:posOffset>
                </wp:positionV>
                <wp:extent cx="4124960" cy="5542280"/>
                <wp:effectExtent b="0" l="0" r="0" t="0"/>
                <wp:wrapSquare wrapText="bothSides" distB="320040" distT="320040" distL="320040" distR="320040"/>
                <wp:docPr id="6"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4124960" cy="5542280"/>
                        </a:xfrm>
                        <a:prstGeom prst="rect"/>
                        <a:ln/>
                      </pic:spPr>
                    </pic:pic>
                  </a:graphicData>
                </a:graphic>
              </wp:anchor>
            </w:drawing>
          </mc:Fallback>
        </mc:AlternateConten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Návrh grafického usporiadania posteru</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-25399</wp:posOffset>
                </wp:positionV>
                <wp:extent cx="1748790" cy="631825"/>
                <wp:effectExtent b="0" l="0" r="0" t="0"/>
                <wp:wrapNone/>
                <wp:docPr id="16" name=""/>
                <a:graphic>
                  <a:graphicData uri="http://schemas.microsoft.com/office/word/2010/wordprocessingShape">
                    <wps:wsp>
                      <wps:cNvCnPr/>
                      <wps:spPr>
                        <a:xfrm flipH="1">
                          <a:off x="4476368" y="3468850"/>
                          <a:ext cx="1739265" cy="62230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-25399</wp:posOffset>
                </wp:positionV>
                <wp:extent cx="1748790" cy="631825"/>
                <wp:effectExtent b="0" l="0" r="0" t="0"/>
                <wp:wrapNone/>
                <wp:docPr id="16"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1748790" cy="631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4861278</wp:posOffset>
                </wp:positionH>
                <wp:positionV relativeFrom="paragraph">
                  <wp:posOffset>45720</wp:posOffset>
                </wp:positionV>
                <wp:extent cx="1628775" cy="1670685"/>
                <wp:effectExtent b="0" l="0" r="0" t="0"/>
                <wp:wrapSquare wrapText="bothSides" distB="45720" distT="45720" distL="114300" distR="114300"/>
                <wp:docPr id="17" name=""/>
                <a:graphic>
                  <a:graphicData uri="http://schemas.microsoft.com/office/word/2010/wordprocessingShape">
                    <wps:wsp>
                      <wps:cNvSpPr/>
                      <wps:cNvPr id="18" name="Shape 18"/>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Záhlavie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Úvodný nadpis, názov práce, celé meno autora (tímu autorov), názov inštitúcie (pracoviska). Názov práce je vecný a čo najkratší (max. 8 lov, čitateľný zo 4 – 6 m, veľkosť písma 72 – 104 bodov). Niekedy môže byť aj originálny, aby prilákal čitateľov.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4861278</wp:posOffset>
                </wp:positionH>
                <wp:positionV relativeFrom="paragraph">
                  <wp:posOffset>45720</wp:posOffset>
                </wp:positionV>
                <wp:extent cx="1628775" cy="1670685"/>
                <wp:effectExtent b="0" l="0" r="0" t="0"/>
                <wp:wrapSquare wrapText="bothSides" distB="45720" distT="45720" distL="114300" distR="114300"/>
                <wp:docPr id="17"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1628775" cy="1670685"/>
                        </a:xfrm>
                        <a:prstGeom prst="rect"/>
                        <a:ln/>
                      </pic:spPr>
                    </pic:pic>
                  </a:graphicData>
                </a:graphic>
              </wp:anchor>
            </w:drawing>
          </mc:Fallback>
        </mc:AlternateConten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2269623</wp:posOffset>
                </wp:positionH>
                <wp:positionV relativeFrom="paragraph">
                  <wp:posOffset>155655</wp:posOffset>
                </wp:positionV>
                <wp:extent cx="1173480" cy="1091565"/>
                <wp:effectExtent b="0" l="0" r="0" t="0"/>
                <wp:wrapSquare wrapText="bothSides" distB="45720" distT="45720" distL="114300" distR="114300"/>
                <wp:docPr id="19" name=""/>
                <a:graphic>
                  <a:graphicData uri="http://schemas.microsoft.com/office/word/2010/wordprocessingShape">
                    <wps:wsp>
                      <wps:cNvSpPr/>
                      <wps:cNvPr id="20" name="Shape 20"/>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Obrazová časť</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Kvalitné grafy, schémy, ilustrácie a fotografie zavážia viac než vyčerpávajúci vysvetľujúci text.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2269623</wp:posOffset>
                </wp:positionH>
                <wp:positionV relativeFrom="paragraph">
                  <wp:posOffset>155655</wp:posOffset>
                </wp:positionV>
                <wp:extent cx="1173480" cy="1091565"/>
                <wp:effectExtent b="0" l="0" r="0" t="0"/>
                <wp:wrapSquare wrapText="bothSides" distB="45720" distT="45720" distL="114300" distR="114300"/>
                <wp:docPr id="19"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173480" cy="1091565"/>
                        </a:xfrm>
                        <a:prstGeom prst="rect"/>
                        <a:ln/>
                      </pic:spPr>
                    </pic:pic>
                  </a:graphicData>
                </a:graphic>
              </wp:anchor>
            </w:drawing>
          </mc:Fallback>
        </mc:AlternateConten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12700</wp:posOffset>
                </wp:positionV>
                <wp:extent cx="1203960" cy="587375"/>
                <wp:effectExtent b="0" l="0" r="0" t="0"/>
                <wp:wrapNone/>
                <wp:docPr id="3" name=""/>
                <a:graphic>
                  <a:graphicData uri="http://schemas.microsoft.com/office/word/2010/wordprocessingShape">
                    <wps:wsp>
                      <wps:cNvCnPr/>
                      <wps:spPr>
                        <a:xfrm flipH="1">
                          <a:off x="4748783" y="3491075"/>
                          <a:ext cx="1194435" cy="57785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12700</wp:posOffset>
                </wp:positionV>
                <wp:extent cx="1203960" cy="587375"/>
                <wp:effectExtent b="0" l="0" r="0" t="0"/>
                <wp:wrapNone/>
                <wp:docPr id="3"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1203960" cy="587375"/>
                        </a:xfrm>
                        <a:prstGeom prst="rect"/>
                        <a:ln/>
                      </pic:spPr>
                    </pic:pic>
                  </a:graphicData>
                </a:graphic>
              </wp:anchor>
            </w:drawing>
          </mc:Fallback>
        </mc:AlternateConten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1075759</wp:posOffset>
                </wp:positionH>
                <wp:positionV relativeFrom="paragraph">
                  <wp:posOffset>121614</wp:posOffset>
                </wp:positionV>
                <wp:extent cx="1783549" cy="1552575"/>
                <wp:effectExtent b="0" l="0" r="0" t="0"/>
                <wp:wrapNone/>
                <wp:docPr id="2" name=""/>
                <a:graphic>
                  <a:graphicData uri="http://schemas.microsoft.com/office/word/2010/wordprocessingShape">
                    <wps:wsp>
                      <wps:cNvSpPr/>
                      <wps:cNvPr id="3" name="Shape 3"/>
                      <wps:spPr>
                        <a:xfrm>
                          <a:off x="4574158" y="3008158"/>
                          <a:ext cx="1543685" cy="1543685"/>
                        </a:xfrm>
                        <a:prstGeom prst="rect">
                          <a:avLst/>
                        </a:prstGeom>
                        <a:solidFill>
                          <a:srgbClr val="EDEDED"/>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obrazový materiál</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grafy</w:t>
                            </w:r>
                          </w:p>
                          <w:p w:rsidR="00000000" w:rsidDel="00000000" w:rsidP="00000000" w:rsidRDefault="00000000" w:rsidRPr="00000000">
                            <w:pPr>
                              <w:spacing w:after="0" w:before="0" w:line="240"/>
                              <w:ind w:left="5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ilustrácie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1075759</wp:posOffset>
                </wp:positionH>
                <wp:positionV relativeFrom="paragraph">
                  <wp:posOffset>121614</wp:posOffset>
                </wp:positionV>
                <wp:extent cx="1783549" cy="1552575"/>
                <wp:effectExtent b="0" l="0" r="0" t="0"/>
                <wp:wrapNone/>
                <wp:docPr id="2"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1783549" cy="1552575"/>
                        </a:xfrm>
                        <a:prstGeom prst="rect"/>
                        <a:ln/>
                      </pic:spPr>
                    </pic:pic>
                  </a:graphicData>
                </a:graphic>
              </wp:anchor>
            </w:drawing>
          </mc:Fallback>
        </mc:AlternateConten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1320800" cy="389890"/>
                <wp:effectExtent b="0" l="0" r="0" t="0"/>
                <wp:wrapNone/>
                <wp:docPr id="1" name=""/>
                <a:graphic>
                  <a:graphicData uri="http://schemas.microsoft.com/office/word/2010/wordprocessingShape">
                    <wps:wsp>
                      <wps:cNvCnPr/>
                      <wps:spPr>
                        <a:xfrm rot="10800000">
                          <a:off x="4690363" y="3589818"/>
                          <a:ext cx="1311275" cy="38036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1320800" cy="389890"/>
                <wp:effectExtent b="0" l="0" r="0" t="0"/>
                <wp:wrapNone/>
                <wp:docPr id="1"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1320800" cy="389890"/>
                        </a:xfrm>
                        <a:prstGeom prst="rect"/>
                        <a:ln/>
                      </pic:spPr>
                    </pic:pic>
                  </a:graphicData>
                </a:graphic>
              </wp:anchor>
            </w:drawing>
          </mc:Fallback>
        </mc:AlternateConten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-4178299</wp:posOffset>
                </wp:positionH>
                <wp:positionV relativeFrom="paragraph">
                  <wp:posOffset>-1148079</wp:posOffset>
                </wp:positionV>
                <wp:extent cx="1871980" cy="1519555"/>
                <wp:effectExtent b="0" l="0" r="0" t="0"/>
                <wp:wrapSquare wrapText="bothSides" distB="45720" distT="45720" distL="114300" distR="114300"/>
                <wp:docPr id="7" name=""/>
                <a:graphic>
                  <a:graphicData uri="http://schemas.microsoft.com/office/word/2010/wordprocessingShape">
                    <wps:wsp>
                      <wps:cNvSpPr/>
                      <wps:cNvPr id="8" name="Shape 8"/>
                      <wps:spPr>
                        <a:xfrm>
                          <a:off x="4416360" y="3026573"/>
                          <a:ext cx="1859280" cy="1506855"/>
                        </a:xfrm>
                        <a:prstGeom prst="rect">
                          <a:avLst/>
                        </a:prstGeom>
                        <a:gradFill>
                          <a:gsLst>
                            <a:gs pos="0">
                              <a:srgbClr val="FFFFFF"/>
                            </a:gs>
                            <a:gs pos="100000">
                              <a:srgbClr val="FFE599"/>
                            </a:gs>
                          </a:gsLst>
                          <a:lin ang="5400000" scaled="0"/>
                        </a:gradFill>
                        <a:ln cap="flat" cmpd="sng" w="12700">
                          <a:solidFill>
                            <a:srgbClr val="FFD966"/>
                          </a:solidFill>
                          <a:prstDash val="solid"/>
                          <a:miter lim="800000"/>
                          <a:headEnd len="sm" w="sm" type="none"/>
                          <a:tailEnd len="sm" w="sm" type="none"/>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diskusia</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porovnanie s výsledkami iných autorov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-4178299</wp:posOffset>
                </wp:positionH>
                <wp:positionV relativeFrom="paragraph">
                  <wp:posOffset>-1148079</wp:posOffset>
                </wp:positionV>
                <wp:extent cx="1871980" cy="1519555"/>
                <wp:effectExtent b="0" l="0" r="0" t="0"/>
                <wp:wrapSquare wrapText="bothSides" distB="45720" distT="45720" distL="114300" distR="114300"/>
                <wp:docPr id="7"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1871980" cy="1519555"/>
                        </a:xfrm>
                        <a:prstGeom prst="rect"/>
                        <a:ln/>
                      </pic:spPr>
                    </pic:pic>
                  </a:graphicData>
                </a:graphic>
              </wp:anchor>
            </w:drawing>
          </mc:Fallback>
        </mc:AlternateConten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3195554</wp:posOffset>
                </wp:positionH>
                <wp:positionV relativeFrom="paragraph">
                  <wp:posOffset>177583</wp:posOffset>
                </wp:positionV>
                <wp:extent cx="2314627" cy="2190750"/>
                <wp:effectExtent b="0" l="0" r="0" t="0"/>
                <wp:wrapNone/>
                <wp:docPr id="4" name=""/>
                <a:graphic>
                  <a:graphicData uri="http://schemas.microsoft.com/office/word/2010/wordprocessingShape">
                    <wps:wsp>
                      <wps:cNvSpPr/>
                      <wps:cNvPr id="5" name="Shape 5"/>
                      <wps:spPr>
                        <a:xfrm>
                          <a:off x="4548758" y="3030383"/>
                          <a:ext cx="1594485" cy="1499235"/>
                        </a:xfrm>
                        <a:prstGeom prst="rect">
                          <a:avLst/>
                        </a:prstGeom>
                        <a:gradFill>
                          <a:gsLst>
                            <a:gs pos="0">
                              <a:srgbClr val="FFFFFF"/>
                            </a:gs>
                            <a:gs pos="100000">
                              <a:srgbClr val="B4C6E7"/>
                            </a:gs>
                          </a:gsLst>
                          <a:lin ang="5400000" scaled="0"/>
                        </a:gradFill>
                        <a:ln cap="flat" cmpd="sng" w="12700">
                          <a:solidFill>
                            <a:srgbClr val="8EAADB"/>
                          </a:solidFill>
                          <a:prstDash val="solid"/>
                          <a:miter lim="800000"/>
                          <a:headEnd len="sm" w="sm" type="none"/>
                          <a:tailEnd len="sm" w="sm" type="none"/>
                        </a:ln>
                      </wps:spPr>
                      <wps:txbx>
                        <w:txbxContent>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výsledky (prínos práce)</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zhrnutie kľúčových pojmov</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záver</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poďakovanie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3195554</wp:posOffset>
                </wp:positionH>
                <wp:positionV relativeFrom="paragraph">
                  <wp:posOffset>177583</wp:posOffset>
                </wp:positionV>
                <wp:extent cx="2314627" cy="2190750"/>
                <wp:effectExtent b="0" l="0" r="0" t="0"/>
                <wp:wrapNone/>
                <wp:docPr id="4"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2314627" cy="21907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948952</wp:posOffset>
                </wp:positionH>
                <wp:positionV relativeFrom="paragraph">
                  <wp:posOffset>244762</wp:posOffset>
                </wp:positionV>
                <wp:extent cx="2112750" cy="1905000"/>
                <wp:effectExtent b="0" l="0" r="0" t="0"/>
                <wp:wrapSquare wrapText="bothSides" distB="45720" distT="45720" distL="114300" distR="114300"/>
                <wp:docPr id="5"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Textová časť</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Kompozíciou sa podobá na odborný článok (abstrakt, úvod, materiál a metódy skúmania, výsledky, diskusia a záver). Na rozdiel od odborného článku prezentuje len najdôležitejšie informácie.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948952</wp:posOffset>
                </wp:positionH>
                <wp:positionV relativeFrom="paragraph">
                  <wp:posOffset>244762</wp:posOffset>
                </wp:positionV>
                <wp:extent cx="2112750" cy="1905000"/>
                <wp:effectExtent b="0" l="0" r="0" t="0"/>
                <wp:wrapSquare wrapText="bothSides" distB="45720" distT="45720" distL="114300" distR="114300"/>
                <wp:docPr id="5"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2112750" cy="1905000"/>
                        </a:xfrm>
                        <a:prstGeom prst="rect"/>
                        <a:ln/>
                      </pic:spPr>
                    </pic:pic>
                  </a:graphicData>
                </a:graphic>
              </wp:anchor>
            </w:drawing>
          </mc:Fallback>
        </mc:AlternateConten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ROZBOR (analýza) textu</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Nastúpil som do autobusu: ako každý deň. Dvere sa s buchotom zavreli a zastávka od nás splašene odbehla dozadu. Vtom niekto vykríkol, že má vonku ešte decko. Vedľa mňa stála stará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žena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nenávistne pozerala na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chlapca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ktorý sedel pri okne a špárala sa v nose: ťuk, ťuk, zaťukal vždy zobáčik jeho nechta do dierky na dlhom konáriku nosa. Ženin pohľad bol ako malá kvapka žeravého kovu: prepaľoval mu do hlavy ďalšiu dierku pre jeho neskrotného ďatľa. Nakoniec to žena nevydržala, chytila chlapca za ucho a ťahala ho, kým nevstal a potom zrazu nepodrástol, zatancoval na špičkách – a potom ho s veľkým krikom zhodila na schodíky. Buch, buch: na podlahe autobusu zabúchala jeho noha v sadre.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ab/>
        <w:tab/>
        <w:tab/>
        <w:tab/>
        <w:t xml:space="preserve">(autor D. Dušek)</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Čo je hlavnou myšlienkou príbehu z ukážky?</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Ako vstupujeme do príbehu? Aký význam má v texte prvá veta? (vovedie čitateľa priamo do deja – in medias res – oboznamuje ho s časom a priestorom, v ktorom sa príbeh odohráva.</w:t>
      </w:r>
    </w:p>
    <w:p w:rsidR="00000000" w:rsidDel="00000000" w:rsidP="00000000" w:rsidRDefault="00000000" w:rsidRPr="00000000" w14:paraId="0000016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Kto je rozprávačom príbehu? (Typ rozprávača, jeho úloha v texte). (Rozprávač je priamy/subjektívny – ja rozprávanie, je priamym účastníkom deja.</w:t>
      </w:r>
    </w:p>
    <w:p w:rsidR="00000000" w:rsidDel="00000000" w:rsidP="00000000" w:rsidRDefault="00000000" w:rsidRPr="00000000" w14:paraId="0000016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Aké postavy v príbehu vystupuju?</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Čo vieme o čase a priestore, v ktorom sa príbeh odohráva? (plný autobus, nervozita, napätá atmosféra (príslovka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splašene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personifikovaní zastávky; krik; štylistiky príznakové substantívu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decko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zachytenie chvatu a zmätku</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Akú atmosféru autor vyjadril? (Autor vykreslil konfliktnú situáciu v humornej polohe)</w:t>
      </w:r>
    </w:p>
    <w:p w:rsidR="00000000" w:rsidDel="00000000" w:rsidP="00000000" w:rsidRDefault="00000000" w:rsidRPr="00000000" w14:paraId="0000016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Aké jazykové prostriedky pomohli pri vytvorení atmosféry príbehu? (Žena: príslovka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nenávistne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prirovnanie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pohľad ako kvapka žeravého kovu;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agresivita – gradácia slovies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chytila, ťahala...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štylisticky príznakové sláva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krik, zhodila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„tvrdé“ citoslovce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buch-buch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Chlapec: metaforické, obrazné opísanie jeho činnosti; „mäkké“ citoslovce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ťuk-ťuk.</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Sú v príbehu zaujímavé momenty, ktoré by sme si mali všimnúť?</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Čo bolo autorským zámerom? (Autor dosiahol, že čitateľov sympatie patria chlapcovi.</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ÚVAHA</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Úvaha rovnako ako výklad sleduje vzťahy medzi javmi alebo vnútri javov. Autor úvahy však sleduje všeobecne známe javy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subjektívne interpretuje známe fakty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vyvodzuje svoje úsudky a závery, pôsobí na city adresáta, presviedča ho, formuje jeho mienku, chce, aby sa pozrel na známu vec z nového hľadiska.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Východiskom, predmetom interpretácie v úvahe nemusia byť len poznatky, fakty, vedecké objavy, ale aj životné skúsenosti, bezprostredné zážitky či názory autora alebo iných ľudí a pod.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Kompozícia úvahy je voľnejšia ako pri výklade. Zachováva obsahové členenie na úvod, jadro, záver, no hranice týchto častí nie sú výrazné. Aj v kompozícii sa autor usiluje zaujať adresáta originálnosťou, novosťou.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Začiatok úvahy je často iba miestom, z ktorého autor vychádza pri spracovaní témy, nie všeobecným úvodom do problematiky alebo charakteristikou daného javu, ako je to vo výklade. Úvod a záver úvahy sú takmer vždy prepojené, autor často použije prvé slová textu ako refrén a v závere sa k nim vráti. Jednotlivé myšlienkové časti sú graficky vyčlenené samostatnými odsekmi.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Úvaha v jednotlivých jazykových štýloch:</w:t>
      </w:r>
    </w:p>
    <w:p w:rsidR="00000000" w:rsidDel="00000000" w:rsidP="00000000" w:rsidRDefault="00000000" w:rsidRPr="00000000" w14:paraId="0000017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Hovorový štýl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jednoduché krátke zamyslenia, príslovia</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Umelecký 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epika (napr. monologické časti v pásme postáv a rozprávača), lyrika (reflexívna lyrika)</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Publicistický 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úvodník, komentár, editoriál, glosa, stĺpček, úvodný stĺpček</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Náučný 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recenzia, diskusný príspevok, odborné články, populárno-náučné články</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ROZLIŠUJTE!</w:t>
      </w:r>
      <w:r w:rsidDel="00000000" w:rsidR="00000000" w:rsidRPr="00000000">
        <w:rPr>
          <w:rtl w:val="0"/>
        </w:rPr>
      </w:r>
    </w:p>
    <w:tbl>
      <w:tblPr>
        <w:tblStyle w:val="Table2"/>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6"/>
        <w:gridCol w:w="4606"/>
        <w:tblGridChange w:id="0">
          <w:tblGrid>
            <w:gridCol w:w="4606"/>
            <w:gridCol w:w="4606"/>
          </w:tblGrid>
        </w:tblGridChange>
      </w:tblGrid>
      <w:tr>
        <w:trPr>
          <w:cantSplit w:val="0"/>
          <w:tblHeader w:val="0"/>
        </w:trPr>
        <w:tc>
          <w:tcPr>
            <w:shd w:fill="ffff99" w:val="clea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Výklad</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presnosť údajov, čísel, presná citácia</w:t>
            </w:r>
          </w:p>
        </w:tc>
        <w:tc>
          <w:tcPr>
            <w:shd w:fill="ffcc66" w:val="clear"/>
            <w:vAlign w:val="top"/>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Úvaha</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približnosť údajov, čísel, voľná citácia, parafráza</w:t>
            </w:r>
          </w:p>
        </w:tc>
      </w:tr>
      <w:tr>
        <w:trPr>
          <w:cantSplit w:val="0"/>
          <w:tblHeader w:val="0"/>
        </w:trPr>
        <w:tc>
          <w:tcPr>
            <w:shd w:fill="ffff99" w:val="clear"/>
            <w:vAlign w:val="top"/>
          </w:tcPr>
          <w:p w:rsidR="00000000" w:rsidDel="00000000" w:rsidP="00000000" w:rsidRDefault="00000000" w:rsidRPr="00000000" w14:paraId="0000018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zložené súvetia</w:t>
            </w:r>
          </w:p>
          <w:p w:rsidR="00000000" w:rsidDel="00000000" w:rsidP="00000000" w:rsidRDefault="00000000" w:rsidRPr="00000000" w14:paraId="0000018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syntaktické konštrukcie vyjadrujúce logicko-príčinné vzťahy</w:t>
            </w:r>
          </w:p>
          <w:p w:rsidR="00000000" w:rsidDel="00000000" w:rsidP="00000000" w:rsidRDefault="00000000" w:rsidRPr="00000000" w14:paraId="0000018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oznamovacie vety</w:t>
            </w:r>
          </w:p>
          <w:p w:rsidR="00000000" w:rsidDel="00000000" w:rsidP="00000000" w:rsidRDefault="00000000" w:rsidRPr="00000000" w14:paraId="0000018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jednočlenná veta len v nadpise</w:t>
            </w:r>
          </w:p>
          <w:p w:rsidR="00000000" w:rsidDel="00000000" w:rsidP="00000000" w:rsidRDefault="00000000" w:rsidRPr="00000000" w14:paraId="0000018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neutrálne vety</w:t>
            </w:r>
          </w:p>
        </w:tc>
        <w:tc>
          <w:tcPr>
            <w:shd w:fill="ffcc66" w:val="clear"/>
            <w:vAlign w:val="top"/>
          </w:tcPr>
          <w:p w:rsidR="00000000" w:rsidDel="00000000" w:rsidP="00000000" w:rsidRDefault="00000000" w:rsidRPr="00000000" w14:paraId="0000018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menej zložité súvetia</w:t>
            </w:r>
          </w:p>
          <w:p w:rsidR="00000000" w:rsidDel="00000000" w:rsidP="00000000" w:rsidRDefault="00000000" w:rsidRPr="00000000" w14:paraId="0000018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syntaktické konštrukcie vyjadrujúce logicko-príčinné vzťahy</w:t>
            </w:r>
          </w:p>
          <w:p w:rsidR="00000000" w:rsidDel="00000000" w:rsidP="00000000" w:rsidRDefault="00000000" w:rsidRPr="00000000" w14:paraId="0000018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pestrá modalita viet</w:t>
            </w:r>
          </w:p>
          <w:p w:rsidR="00000000" w:rsidDel="00000000" w:rsidP="00000000" w:rsidRDefault="00000000" w:rsidRPr="00000000" w14:paraId="0000018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častá jednočlenná veta</w:t>
            </w:r>
          </w:p>
          <w:p w:rsidR="00000000" w:rsidDel="00000000" w:rsidP="00000000" w:rsidRDefault="00000000" w:rsidRPr="00000000" w14:paraId="0000018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modifikácia vetnej skladby (príznakové konštrukcie)</w:t>
            </w:r>
          </w:p>
        </w:tc>
      </w:tr>
      <w:tr>
        <w:trPr>
          <w:cantSplit w:val="0"/>
          <w:tblHeader w:val="0"/>
        </w:trPr>
        <w:tc>
          <w:tcPr>
            <w:shd w:fill="ffff99" w:val="clear"/>
            <w:vAlign w:val="top"/>
          </w:tcPr>
          <w:p w:rsidR="00000000" w:rsidDel="00000000" w:rsidP="00000000" w:rsidRDefault="00000000" w:rsidRPr="00000000" w14:paraId="0000018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nocionálna lexika</w:t>
            </w:r>
          </w:p>
          <w:p w:rsidR="00000000" w:rsidDel="00000000" w:rsidP="00000000" w:rsidRDefault="00000000" w:rsidRPr="00000000" w14:paraId="0000018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štylisticky príznaková lexika: termíny</w:t>
            </w:r>
          </w:p>
        </w:tc>
        <w:tc>
          <w:tcPr>
            <w:shd w:fill="ffcc66" w:val="clear"/>
            <w:vAlign w:val="top"/>
          </w:tcPr>
          <w:p w:rsidR="00000000" w:rsidDel="00000000" w:rsidP="00000000" w:rsidRDefault="00000000" w:rsidRPr="00000000" w14:paraId="0000019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citovo príznaková (expresívna) lexika: zdrobneniny (umelecký štýl)</w:t>
            </w:r>
          </w:p>
          <w:p w:rsidR="00000000" w:rsidDel="00000000" w:rsidP="00000000" w:rsidRDefault="00000000" w:rsidRPr="00000000" w14:paraId="0000019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štylisticky príznaková lexika (publicistický, hovorový štýl): knižné slová, publicizmy</w:t>
            </w:r>
          </w:p>
        </w:tc>
      </w:tr>
      <w:tr>
        <w:trPr>
          <w:cantSplit w:val="0"/>
          <w:tblHeader w:val="0"/>
        </w:trPr>
        <w:tc>
          <w:tcPr>
            <w:shd w:fill="ffff99" w:val="clear"/>
            <w:vAlign w:val="top"/>
          </w:tcPr>
          <w:p w:rsidR="00000000" w:rsidDel="00000000" w:rsidP="00000000" w:rsidRDefault="00000000" w:rsidRPr="00000000" w14:paraId="0000019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prehľadná (stereotypná) vonkajšia kompozícia:</w:t>
            </w:r>
          </w:p>
          <w:p w:rsidR="00000000" w:rsidDel="00000000" w:rsidP="00000000" w:rsidRDefault="00000000" w:rsidRPr="00000000" w14:paraId="000001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08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kratšie žánre: úvod, jadro, záver</w:t>
            </w:r>
          </w:p>
          <w:p w:rsidR="00000000" w:rsidDel="00000000" w:rsidP="00000000" w:rsidRDefault="00000000" w:rsidRPr="00000000" w14:paraId="000001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08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dlhšie žánre: obsah, abstrakt, úvod (východiská, cieľ), kapitoly (metódy, výsledky), záver (hodnotenie, výzvy), použitá literatúra, registre</w:t>
            </w:r>
          </w:p>
        </w:tc>
        <w:tc>
          <w:tcPr>
            <w:shd w:fill="ffcc66" w:val="clear"/>
            <w:vAlign w:val="top"/>
          </w:tcPr>
          <w:p w:rsidR="00000000" w:rsidDel="00000000" w:rsidP="00000000" w:rsidRDefault="00000000" w:rsidRPr="00000000" w14:paraId="0000019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nezreteľná (originálna) vonkajšia kompozícia (členenie textu)</w:t>
            </w:r>
          </w:p>
          <w:p w:rsidR="00000000" w:rsidDel="00000000" w:rsidP="00000000" w:rsidRDefault="00000000" w:rsidRPr="00000000" w14:paraId="0000019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tematické a myšlienkové členenie na odseky</w:t>
            </w:r>
          </w:p>
          <w:p w:rsidR="00000000" w:rsidDel="00000000" w:rsidP="00000000" w:rsidRDefault="00000000" w:rsidRPr="00000000" w14:paraId="0000019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prepojenosť úvodu a záveru (úvahový oblúk)</w:t>
            </w:r>
          </w:p>
        </w:tc>
      </w:tr>
      <w:tr>
        <w:trPr>
          <w:cantSplit w:val="0"/>
          <w:tblHeader w:val="0"/>
        </w:trPr>
        <w:tc>
          <w:tcPr>
            <w:shd w:fill="ffff99" w:val="clear"/>
            <w:vAlign w:val="top"/>
          </w:tcPr>
          <w:p w:rsidR="00000000" w:rsidDel="00000000" w:rsidP="00000000" w:rsidRDefault="00000000" w:rsidRPr="00000000" w14:paraId="0000019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štruktúrovaný text jadra: kapitoly a podkapitoly, číslované odseky</w:t>
            </w:r>
          </w:p>
          <w:p w:rsidR="00000000" w:rsidDel="00000000" w:rsidP="00000000" w:rsidRDefault="00000000" w:rsidRPr="00000000" w14:paraId="0000019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nesúvislé texty: tabuľky, schémy, obrazové prílohy s popiskami</w:t>
            </w:r>
          </w:p>
        </w:tc>
        <w:tc>
          <w:tcPr>
            <w:shd w:fill="ffcc66" w:val="clear"/>
            <w:vAlign w:val="top"/>
          </w:tcPr>
          <w:p w:rsidR="00000000" w:rsidDel="00000000" w:rsidP="00000000" w:rsidRDefault="00000000" w:rsidRPr="00000000" w14:paraId="0000019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neštruktúrovaný text jadra (len odseky)</w:t>
            </w:r>
          </w:p>
          <w:p w:rsidR="00000000" w:rsidDel="00000000" w:rsidP="00000000" w:rsidRDefault="00000000" w:rsidRPr="00000000" w14:paraId="0000019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subjektívna kompozícia jadra</w:t>
            </w:r>
          </w:p>
        </w:tc>
      </w:tr>
      <w:tr>
        <w:trPr>
          <w:cantSplit w:val="0"/>
          <w:tblHeader w:val="0"/>
        </w:trPr>
        <w:tc>
          <w:tcPr>
            <w:shd w:fill="ffff99" w:val="clear"/>
            <w:vAlign w:val="top"/>
          </w:tcPr>
          <w:p w:rsidR="00000000" w:rsidDel="00000000" w:rsidP="00000000" w:rsidRDefault="00000000" w:rsidRPr="00000000" w14:paraId="0000019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výkladový slohový postup</w:t>
            </w:r>
          </w:p>
          <w:p w:rsidR="00000000" w:rsidDel="00000000" w:rsidP="00000000" w:rsidRDefault="00000000" w:rsidRPr="00000000" w14:paraId="0000019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opisný slohový postup</w:t>
            </w:r>
          </w:p>
          <w:p w:rsidR="00000000" w:rsidDel="00000000" w:rsidP="00000000" w:rsidRDefault="00000000" w:rsidRPr="00000000" w14:paraId="0000019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informačný slohový postup</w:t>
            </w:r>
          </w:p>
        </w:tc>
        <w:tc>
          <w:tcPr>
            <w:shd w:fill="ffcc66" w:val="clear"/>
            <w:vAlign w:val="top"/>
          </w:tcPr>
          <w:p w:rsidR="00000000" w:rsidDel="00000000" w:rsidP="00000000" w:rsidRDefault="00000000" w:rsidRPr="00000000" w14:paraId="0000019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výkladový/úvahový slohový postup</w:t>
            </w:r>
          </w:p>
          <w:p w:rsidR="00000000" w:rsidDel="00000000" w:rsidP="00000000" w:rsidRDefault="00000000" w:rsidRPr="00000000" w14:paraId="000001A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opisný slohový postup</w:t>
            </w:r>
          </w:p>
          <w:p w:rsidR="00000000" w:rsidDel="00000000" w:rsidP="00000000" w:rsidRDefault="00000000" w:rsidRPr="00000000" w14:paraId="000001A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rozprávací slohový postup</w:t>
            </w:r>
          </w:p>
        </w:tc>
      </w:tr>
    </w:tb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DISKUSNÝ PRÍSPEVOK</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monologický prejav, ktorý vychádza z reálnej situácie (reaguje na referát/diskusný príspevok/článok v dennej tlači) alebo z fiktívnej predstavy.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Slohový útvar musí reagovať na kľúčové slová danej témy, musí obsahovať vlastné hodnotenie problému i aktuálne poznatky o danej téme, t. j. syntézu subjektívneho a objektívneho prístupu k nej.</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Kompozícia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Kombinujeme výkladový, opisný a rozprávací slohový postup.</w:t>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Oslovenie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ukončíme výkričníkom alebo čiarkou. Oslovujeme každú skupinu v nasledovnom poradí: oslovenie hosťa, oslovenie človeka funkčne významného, oslovenie ďalších poslucháčov, prednosť dávame dámam pred pánmi.</w:t>
      </w:r>
    </w:p>
    <w:p w:rsidR="00000000" w:rsidDel="00000000" w:rsidP="00000000" w:rsidRDefault="00000000" w:rsidRPr="00000000" w14:paraId="000001A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Úvod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nadviazanie na článok/referát/iné „vytvorenú situáciu“, nadviazanie môže byť súhlasné i nesúhlasné, polemické; treba jasne napísať, o akom probléme budeme hovoriť</w:t>
      </w:r>
    </w:p>
    <w:p w:rsidR="00000000" w:rsidDel="00000000" w:rsidP="00000000" w:rsidRDefault="00000000" w:rsidRPr="00000000" w14:paraId="000001A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Jadro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uvažovanie, vysvetľovanie, predstavenie vlastných názorov, názorov odborníkov; používame 1. osobu sg. (ja si naopak myslím, podľa môjho názoru...), prípadne 1. osobu pl. (tak reprezentujeme názor skupiny)</w:t>
      </w:r>
    </w:p>
    <w:p w:rsidR="00000000" w:rsidDel="00000000" w:rsidP="00000000" w:rsidRDefault="00000000" w:rsidRPr="00000000" w14:paraId="000001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080" w:right="0" w:hanging="360"/>
        <w:jc w:val="both"/>
        <w:rPr>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Treba argumentovať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pomocou citátov, parafrázovaním citátov, osobnej skúsenosti (postrehy, stručné príbehy), presných údajov (dátumy, čísla)</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Záver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treba napísať, k čomu sme dospeli</w:t>
      </w:r>
    </w:p>
    <w:p w:rsidR="00000000" w:rsidDel="00000000" w:rsidP="00000000" w:rsidRDefault="00000000" w:rsidRPr="00000000" w14:paraId="000001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080" w:right="0" w:hanging="360"/>
        <w:jc w:val="both"/>
        <w:rPr>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Nezabudnime 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výzvu, vyslovenie presvedčenia (som si istý/verím, že), ocenenie snahy (treba oceniť výnimočnú snahu tých, ktorí), poďakovanie (dovoľujem si poďakovať/ďakujem za slovo), opätovnú spätnú väzbu (oslovenie poslucháčov</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ESEJ</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Esej – z lat. váženie, uvažovanie, z fr. pokus, skúška, je hybridný žáner, ktorý stojí na rozhraní medzi vedecko-náučnými, populárno-náučnými žánrami a žánrami umeleckého štýlu. Autor v nej neinformuje o nových vedeckých objavoch či poznatkoch, neusiluje sa o systematickú analýzu odborného problému, ale novým originálnym spôsobom interpretuje rozličné spoločenské, filozofické, vedecké či kultúrne javy.</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Esej nemá typický začiatok ani koniec, nemá kompozičnú klenbu – predstavuje ľubovoľný výrez zo skutočnosti, ktorý sa môže náhle začať a náhle skončiť. Autor hneď na začiatku textu vojde in medias res a úvahu často nečakane, prekvapivo, prudko skončí.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Esej v sebe spája znaky náučného a umeleckého štýlu, vecnosť a estetickosť, ale obe zložky musia byť vyvážené.</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Znaky náučného štýlu:</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Odborná problematika</w:t>
      </w:r>
    </w:p>
    <w:p w:rsidR="00000000" w:rsidDel="00000000" w:rsidP="00000000" w:rsidRDefault="00000000" w:rsidRPr="00000000" w14:paraId="000001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Kompozícia výkladových textov</w:t>
      </w:r>
    </w:p>
    <w:p w:rsidR="00000000" w:rsidDel="00000000" w:rsidP="00000000" w:rsidRDefault="00000000" w:rsidRPr="00000000" w14:paraId="000001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Vecnosť, objektívnosť, faktografickosť</w:t>
      </w:r>
    </w:p>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Pojmovosť</w:t>
      </w:r>
    </w:p>
    <w:p w:rsidR="00000000" w:rsidDel="00000000" w:rsidP="00000000" w:rsidRDefault="00000000" w:rsidRPr="00000000" w14:paraId="000001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Vplyv rôznych slohových postupov</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Znaky umeleckého štýlu:</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Subjektívnosť – 1. os. sg. , uvažovanie je motivované osobnými zážitkami autora, jeho pocitmi a náladami. Autor vyjadruje svoj postoj, prináša svoju interpretáciu témy, do popredia vystupuje jeho osobnosť a jeho individuálny štýl.</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Dôraz na vonkajšiu formu spracovania témy.</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Obraznosť, estetickosť, hravosť a variabilnosť. Vo výbere využití výrazových prostriedkov sa uplatňuje originálny štýl autora. Využívajú sa pestré lexikálne prostriedky (expresívne slová, frazeologizmy, zdrobneniny, metafory, osobné, exkluzívne výrazy), rôzna modalita vety, rôzna dĺžka i členitosť vety, uvoľnená kompozícia.</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Úvahovosť, asociatívnosť.</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Metaforickosť.</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Tón eseje môže byť vtipný, ironický, kritický až sarkastický.</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Znaky publicistického štýlu:</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Ohľad na čitateľa (zaujímavá téma, populárna, diskutabilná).</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ZVUKOVÉ JAZYKOVÉ PROSTRIEDKY</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Jazyk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systém, súbor znakov a pravidiel ich používania.</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Reč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ľudská schopnosť tvoriť artikulované zvuky a pomocou nich sa dorozumievať,</w:t>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konkrétne použitie jazyka – rečová činnosť, rozprávanie.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Jazyková komunikácia ľudí má zvukovú aj písanú stránku.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Komunikácia pomocou zvukov a gest patrí k najstarším spôsobom komunikácie ľudí. Zvukom podobne ako napísaným slovom, môžeme vyjadriť nejaký význam.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teda funguje v jazyku ako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znak. </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Zvukovú rovinu jazyka skúmajú jazykovedné disciplíny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fonetika a fonológia.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Predmetom ich skúmania je tvorenie a prijímanie zvuku reči.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Fonetika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jazykovedná disciplína, ktorá opisuje tvorenie zvukov reči rečovými orgánmi (napr. v dutinách – nosová, ústna, hrdlová), hlasovými orgánmi (hrtan, hlasivky), vlastnými artikulačnými orgánmi (jazyk, čeľusť, zuby, podnebia, pery).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Základnou jednotkou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hláska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(najmenšia zvuková jednotka reči).</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Fonológia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všíma si fungovanie zvukov ľudskej reči v praxi pri používaní jazyka. Usiluje sa odhaliť zákonitosti, podľa ktorých sa utvárajú zo zvukov slová a tvary.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Základnou jednotkou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fonéma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(najmenšia uvedomovaná zvuková jednotka, ktorá rozlišuje význam slova v jazyku).</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Časti artikulačnej sústavy</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743200" cy="2129155"/>
            <wp:effectExtent b="0" l="0" r="0" t="0"/>
            <wp:docPr id="2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743200"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Fonetická transkripcia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fonetický zápis textu. Využíva sa najmä pri výučbe cudzích jazykov a obsahu niektoré špeciálne znaky, ktorým prináleží konkrétny zvuk:</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dedina [ďeďina], kyslý [kislí]</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Graféma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písmeno, grafická jednotka, ktorá zaznamenáva hlásku a fonému, napr. V, v, W, w.</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Slabika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najmenšia zvuková jednotka reči, ktorá je nositeľom prozodických vlastností: prízvuku, kvantity, melódie.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ZVUKOVÉ JAVY V REČI</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Hlásky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patria k zvukovým jazykovým prostriedkom, ktoré súvisia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artikuláciou.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 to základné a najmenšie zvukové jednotky, podieľajú sa na výstavbe slabík a slov.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Keď vyslovíme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samohlásku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počujeme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Tón sa vytvára v ústnej rezonančnej dutine tak, že sa do hlasového prúdu (výdychový vzduchový prúd), v ktorom sa rozkmitajú hlasivky, nepostaví ako prekážka žiadny rečový orgán. Rozdiel medzi zvukom jednotlivých samohlások závisí od otvorenosti ústnej dutiny, od polohy jazyka, od trvania vdychového prúdu ap. Výslovnosť dlhej samohlásky trvá približne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dvakrát dlhšie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než krátkej.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Dvojhlásky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správne vyslovujeme kĺzavo: prvú časť vyslovujeme kratšie a druhú výraznejšie. V slovenčine majú z hľadiska dĺžky (kvantity) rovnaké vlastnosti ako dlhé samohlásky.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Všetky samohlásky a dvojhlásky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slabikotvorné.</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vyslovovaní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spoluhlásky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zaznieva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 hlasového prúdu sa postaví ako prekážka artikulačný orgán napr. podnebie a jazyk (ť), pera a zuby (f), jazyk a mäkké podnebie (k). Ak pri tom hlasivky nekmitajú, vznikajú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neznelé spoluhlásky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(šum). Ak sa zapoja hlasivky, vznikajú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znelé spoluhlásky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(šum + tón).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pri výslovnosti spoluhlások zapoja hlasivky intenzívne ako pri samohláskach, znie tón, ktorý výrazne potláča šum. Tak vznikajú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zvučné spoluhlásky (m, n, ň, l, r, j....)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Niektoré sú natoľko zvučné, že dokážu podobne ako samohlásky, vytvárať slabiky –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slabikotvorné (r, l, ŕ, 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Niektoré spoluhlásky sa ozvučujú v nosovej rezonančnej dutine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 n). </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6"/>
        <w:gridCol w:w="4606"/>
        <w:tblGridChange w:id="0">
          <w:tblGrid>
            <w:gridCol w:w="4606"/>
            <w:gridCol w:w="4606"/>
          </w:tblGrid>
        </w:tblGridChange>
      </w:tblGrid>
      <w:tr>
        <w:trPr>
          <w:cantSplit w:val="0"/>
          <w:tblHeader w:val="0"/>
        </w:trPr>
        <w:tc>
          <w:tcPr>
            <w:shd w:fill="ffff00" w:val="clear"/>
            <w:vAlign w:val="top"/>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Diakritické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(rozlišovacie)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znamienka</w:t>
            </w:r>
            <w:r w:rsidDel="00000000" w:rsidR="00000000" w:rsidRPr="00000000">
              <w:rPr>
                <w:rtl w:val="0"/>
              </w:rPr>
            </w:r>
          </w:p>
        </w:tc>
        <w:tc>
          <w:tcPr>
            <w:shd w:fill="ffd85b" w:val="clea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dĺžeň (á)</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mäkčeň (č)</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dve bodky (ä)</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vokáň (ô)</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ffff00" w:val="clear"/>
            <w:vAlign w:val="top"/>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Interpunkčné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(rozdeľovacie)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znamienka</w:t>
            </w:r>
            <w:r w:rsidDel="00000000" w:rsidR="00000000" w:rsidRPr="00000000">
              <w:rPr>
                <w:rtl w:val="0"/>
              </w:rPr>
            </w:r>
          </w:p>
        </w:tc>
        <w:tc>
          <w:tcPr>
            <w:shd w:fill="ffd85b" w:val="clear"/>
            <w:vAlign w:val="top"/>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apostrof</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bodka</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bodkočiarka</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čiarka</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dvojbodka</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lomka</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otáznik</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 bodky</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výkričník</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zátvorky</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pomlčka (medzi dvoma pomenovaniami/vetami)</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spojovník (v rámci jedného pomenovania, spája slová)</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úvodzovky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5"/>
        <w:gridCol w:w="739"/>
        <w:gridCol w:w="926"/>
        <w:gridCol w:w="2975"/>
        <w:gridCol w:w="2163"/>
        <w:tblGridChange w:id="0">
          <w:tblGrid>
            <w:gridCol w:w="2485"/>
            <w:gridCol w:w="739"/>
            <w:gridCol w:w="926"/>
            <w:gridCol w:w="2975"/>
            <w:gridCol w:w="2163"/>
          </w:tblGrid>
        </w:tblGridChange>
      </w:tblGrid>
      <w:tr>
        <w:trPr>
          <w:cantSplit w:val="1"/>
          <w:tblHeader w:val="0"/>
        </w:trPr>
        <w:tc>
          <w:tcPr>
            <w:gridSpan w:val="2"/>
            <w:vMerge w:val="restart"/>
            <w:shd w:fill="ffff00" w:val="clear"/>
            <w:vAlign w:val="cente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Samohlásky</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Všetky samohlásky sú tóny a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slabikotvorné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slove je najmenej toľko slabík, koľko je v ňom samohlások)</w:t>
            </w:r>
          </w:p>
        </w:tc>
        <w:tc>
          <w:tcPr>
            <w:gridSpan w:val="2"/>
            <w:shd w:fill="ffd85b" w:val="clea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krátke</w:t>
            </w:r>
            <w:r w:rsidDel="00000000" w:rsidR="00000000" w:rsidRPr="00000000">
              <w:rPr>
                <w:rtl w:val="0"/>
              </w:rPr>
            </w:r>
          </w:p>
        </w:tc>
        <w:tc>
          <w:tcP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ä, e, i (y), o, u</w:t>
            </w:r>
            <w:r w:rsidDel="00000000" w:rsidR="00000000" w:rsidRPr="00000000">
              <w:rPr>
                <w:rtl w:val="0"/>
              </w:rPr>
            </w:r>
          </w:p>
        </w:tc>
      </w:tr>
      <w:tr>
        <w:trPr>
          <w:cantSplit w:val="1"/>
          <w:tblHeader w:val="0"/>
        </w:trPr>
        <w:tc>
          <w:tcPr>
            <w:gridSpan w:val="2"/>
            <w:vMerge w:val="continue"/>
            <w:shd w:fill="ffff00" w:val="cle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ffd85b" w:val="clear"/>
            <w:vAlign w:val="cente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dlhé</w:t>
            </w:r>
            <w:r w:rsidDel="00000000" w:rsidR="00000000" w:rsidRPr="00000000">
              <w:rPr>
                <w:rtl w:val="0"/>
              </w:rPr>
            </w:r>
          </w:p>
        </w:tc>
        <w:tc>
          <w:tcP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á, é, í (ý), ó, ú</w:t>
            </w:r>
            <w:r w:rsidDel="00000000" w:rsidR="00000000" w:rsidRPr="00000000">
              <w:rPr>
                <w:rtl w:val="0"/>
              </w:rPr>
            </w:r>
          </w:p>
        </w:tc>
      </w:tr>
      <w:tr>
        <w:trPr>
          <w:cantSplit w:val="0"/>
          <w:tblHeader w:val="0"/>
        </w:trPr>
        <w:tc>
          <w:tcPr>
            <w:gridSpan w:val="2"/>
            <w:shd w:fill="ffff00" w:val="clea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Dvojhlásky</w:t>
            </w:r>
            <w:r w:rsidDel="00000000" w:rsidR="00000000" w:rsidRPr="00000000">
              <w:rPr>
                <w:rtl w:val="0"/>
              </w:rPr>
            </w:r>
          </w:p>
        </w:tc>
        <w:tc>
          <w:tcPr>
            <w:gridSpan w:val="3"/>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 ie, iu, ô</w:t>
            </w:r>
            <w:r w:rsidDel="00000000" w:rsidR="00000000" w:rsidRPr="00000000">
              <w:rPr>
                <w:rtl w:val="0"/>
              </w:rPr>
            </w:r>
          </w:p>
        </w:tc>
      </w:tr>
      <w:tr>
        <w:trPr>
          <w:cantSplit w:val="1"/>
          <w:tblHeader w:val="0"/>
        </w:trPr>
        <w:tc>
          <w:tcPr>
            <w:vMerge w:val="restart"/>
            <w:shd w:fill="ffff00" w:val="clear"/>
            <w:vAlign w:val="cente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Spoluhlásky</w:t>
            </w:r>
            <w:r w:rsidDel="00000000" w:rsidR="00000000" w:rsidRPr="00000000">
              <w:rPr>
                <w:rtl w:val="0"/>
              </w:rPr>
            </w:r>
          </w:p>
        </w:tc>
        <w:tc>
          <w:tcPr>
            <w:vMerge w:val="restart"/>
            <w:shd w:fill="ffc000" w:val="clear"/>
            <w:vAlign w:val="top"/>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13" w:right="11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tvrdosti</w:t>
            </w:r>
            <w:r w:rsidDel="00000000" w:rsidR="00000000" w:rsidRPr="00000000">
              <w:rPr>
                <w:rtl w:val="0"/>
              </w:rPr>
            </w:r>
          </w:p>
        </w:tc>
        <w:tc>
          <w:tcPr>
            <w:gridSpan w:val="2"/>
            <w:shd w:fill="ffd85b"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tvrdé</w:t>
            </w:r>
            <w:r w:rsidDel="00000000" w:rsidR="00000000" w:rsidRPr="00000000">
              <w:rPr>
                <w:rtl w:val="0"/>
              </w:rPr>
            </w:r>
          </w:p>
        </w:tc>
        <w:tc>
          <w:tcP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t, n, l, k, g, h, ch</w:t>
            </w:r>
            <w:r w:rsidDel="00000000" w:rsidR="00000000" w:rsidRPr="00000000">
              <w:rPr>
                <w:rtl w:val="0"/>
              </w:rPr>
            </w:r>
          </w:p>
        </w:tc>
      </w:tr>
      <w:tr>
        <w:trPr>
          <w:cantSplit w:val="1"/>
          <w:tblHeader w:val="0"/>
        </w:trPr>
        <w:tc>
          <w:tcPr>
            <w:vMerge w:val="continue"/>
            <w:shd w:fill="ffff00" w:val="cle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ffc000" w:val="cle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ffd85b" w:val="clea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mäkké</w:t>
            </w:r>
            <w:r w:rsidDel="00000000" w:rsidR="00000000" w:rsidRPr="00000000">
              <w:rPr>
                <w:rtl w:val="0"/>
              </w:rPr>
            </w:r>
          </w:p>
        </w:tc>
        <w:tc>
          <w:tcP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ď, ť, ň, ľ, dž, č, ž, š, dz, c, j</w:t>
            </w:r>
            <w:r w:rsidDel="00000000" w:rsidR="00000000" w:rsidRPr="00000000">
              <w:rPr>
                <w:rtl w:val="0"/>
              </w:rPr>
            </w:r>
          </w:p>
        </w:tc>
      </w:tr>
      <w:tr>
        <w:trPr>
          <w:cantSplit w:val="1"/>
          <w:tblHeader w:val="0"/>
        </w:trPr>
        <w:tc>
          <w:tcPr>
            <w:vMerge w:val="continue"/>
            <w:shd w:fill="ffff00" w:val="cle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ffc000" w:val="cle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ffd85b" w:val="clea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obojaké</w:t>
            </w:r>
            <w:r w:rsidDel="00000000" w:rsidR="00000000" w:rsidRPr="00000000">
              <w:rPr>
                <w:rtl w:val="0"/>
              </w:rPr>
            </w:r>
          </w:p>
        </w:tc>
        <w:tc>
          <w:tcP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 m, r, s, v, z, f</w:t>
            </w:r>
            <w:r w:rsidDel="00000000" w:rsidR="00000000" w:rsidRPr="00000000">
              <w:rPr>
                <w:rtl w:val="0"/>
              </w:rPr>
            </w:r>
          </w:p>
        </w:tc>
      </w:tr>
      <w:tr>
        <w:trPr>
          <w:cantSplit w:val="1"/>
          <w:tblHeader w:val="0"/>
        </w:trPr>
        <w:tc>
          <w:tcPr>
            <w:vMerge w:val="continue"/>
            <w:shd w:fill="ffff00" w:val="cle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ffc000" w:val="clear"/>
            <w:vAlign w:val="top"/>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13" w:right="11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znelosti</w:t>
            </w:r>
            <w:r w:rsidDel="00000000" w:rsidR="00000000" w:rsidRPr="00000000">
              <w:rPr>
                <w:rtl w:val="0"/>
              </w:rPr>
            </w:r>
          </w:p>
        </w:tc>
        <w:tc>
          <w:tcPr>
            <w:gridSpan w:val="2"/>
            <w:shd w:fill="ffd85b" w:val="clea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párové</w:t>
            </w:r>
            <w:r w:rsidDel="00000000" w:rsidR="00000000" w:rsidRPr="00000000">
              <w:rPr>
                <w:rtl w:val="0"/>
              </w:rPr>
            </w:r>
          </w:p>
        </w:tc>
        <w:tc>
          <w:tcPr>
            <w:shd w:fill="ffd85b" w:val="clea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nepárové</w:t>
            </w:r>
            <w:r w:rsidDel="00000000" w:rsidR="00000000" w:rsidRPr="00000000">
              <w:rPr>
                <w:rtl w:val="0"/>
              </w:rPr>
            </w:r>
          </w:p>
        </w:tc>
      </w:tr>
      <w:tr>
        <w:trPr>
          <w:cantSplit w:val="1"/>
          <w:tblHeader w:val="0"/>
        </w:trPr>
        <w:tc>
          <w:tcPr>
            <w:vMerge w:val="continue"/>
            <w:shd w:fill="ffff00"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ffc000" w:val="cle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znelé</w:t>
            </w:r>
            <w:r w:rsidDel="00000000" w:rsidR="00000000" w:rsidRPr="00000000">
              <w:rPr>
                <w:rtl w:val="0"/>
              </w:rPr>
            </w:r>
          </w:p>
        </w:tc>
        <w:tc>
          <w:tcP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d,  ď,  g,  dz,  dž,  h,   v,  z,  ž</w:t>
            </w:r>
            <w:r w:rsidDel="00000000" w:rsidR="00000000" w:rsidRPr="00000000">
              <w:rPr>
                <w:rtl w:val="0"/>
              </w:rPr>
            </w:r>
          </w:p>
        </w:tc>
        <w:tc>
          <w:tcPr>
            <w:vMerge w:val="restart"/>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 n, ň, l, ľ, ĺ, r, ŕ, j</w:t>
            </w:r>
            <w:r w:rsidDel="00000000" w:rsidR="00000000" w:rsidRPr="00000000">
              <w:rPr>
                <w:rtl w:val="0"/>
              </w:rPr>
            </w:r>
          </w:p>
        </w:tc>
      </w:tr>
      <w:tr>
        <w:trPr>
          <w:cantSplit w:val="1"/>
          <w:tblHeader w:val="0"/>
        </w:trPr>
        <w:tc>
          <w:tcPr>
            <w:vMerge w:val="continue"/>
            <w:shd w:fill="ffff00"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ffc000" w:val="cle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neznelé</w:t>
            </w:r>
            <w:r w:rsidDel="00000000" w:rsidR="00000000" w:rsidRPr="00000000">
              <w:rPr>
                <w:rtl w:val="0"/>
              </w:rPr>
            </w:r>
          </w:p>
        </w:tc>
        <w:tc>
          <w:tcP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  t,   ť,   k,    c,   č,   ch,  f,   s, š</w:t>
            </w:r>
            <w:r w:rsidDel="00000000" w:rsidR="00000000" w:rsidRPr="00000000">
              <w:rPr>
                <w:rtl w:val="0"/>
              </w:rPr>
            </w:r>
          </w:p>
        </w:tc>
        <w:tc>
          <w:tcPr>
            <w:vMerge w:val="continue"/>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SPODOBOVANIE</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Výslovnosť a písanie znelých a neznelých spoluhlások v susedstve iných hlások sa mení, nastáva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znelostná asimilácia spoluhlások (spodobovanie).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Zásady spodobovania</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stretnú vedľa seba dve spoluhlásky, z ktorých prvá je znelá a druhá neznelá, znelá spoluhláska sa zvukovo prispôsobí neznelej.</w:t>
      </w:r>
    </w:p>
    <w:tbl>
      <w:tblPr>
        <w:tblStyle w:val="Table5"/>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7261"/>
        <w:tblGridChange w:id="0">
          <w:tblGrid>
            <w:gridCol w:w="1951"/>
            <w:gridCol w:w="7261"/>
          </w:tblGrid>
        </w:tblGridChange>
      </w:tblGrid>
      <w:tr>
        <w:trPr>
          <w:cantSplit w:val="0"/>
          <w:tblHeader w:val="0"/>
        </w:trPr>
        <w:tc>
          <w:tcPr>
            <w:shd w:fill="ffff00" w:val="clear"/>
            <w:vAlign w:val="top"/>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Píšeme</w:t>
            </w:r>
            <w:r w:rsidDel="00000000" w:rsidR="00000000" w:rsidRPr="00000000">
              <w:rPr>
                <w:rtl w:val="0"/>
              </w:rPr>
            </w:r>
          </w:p>
        </w:tc>
        <w:tc>
          <w:tcPr>
            <w:shd w:fill="ffff99" w:val="clear"/>
            <w:vAlign w:val="top"/>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Vyslovujeme</w:t>
            </w: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znelá + neznelá</w:t>
            </w:r>
          </w:p>
        </w:tc>
        <w:tc>
          <w:tcPr>
            <w:vMerge w:val="restart"/>
            <w:shd w:fill="ffff99"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pis)</w:t>
            </w:r>
          </w:p>
        </w:tc>
      </w:tr>
      <w:tr>
        <w:trPr>
          <w:cantSplit w:val="1"/>
          <w:tblHeader w:val="0"/>
        </w:trPr>
        <w:tc>
          <w:tcPr>
            <w:shd w:fill="ffff00" w:val="clear"/>
            <w:vAlign w:val="top"/>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 p</w:t>
            </w:r>
          </w:p>
        </w:tc>
        <w:tc>
          <w:tcPr>
            <w:vMerge w:val="continue"/>
            <w:shd w:fill="ffff99" w:val="cle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pis</w:t>
            </w:r>
          </w:p>
        </w:tc>
        <w:tc>
          <w:tcPr>
            <w:vMerge w:val="continue"/>
            <w:shd w:fill="ffff99" w:val="cle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stretnú vedľa seba dve spoluhlásky, z ktorých prvá je neznelá a druhá znelá, neznelá spoluhláska sa zvukovo prispôsobí znelej.</w:t>
      </w:r>
    </w:p>
    <w:tbl>
      <w:tblPr>
        <w:tblStyle w:val="Table6"/>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7261"/>
        <w:tblGridChange w:id="0">
          <w:tblGrid>
            <w:gridCol w:w="1951"/>
            <w:gridCol w:w="7261"/>
          </w:tblGrid>
        </w:tblGridChange>
      </w:tblGrid>
      <w:tr>
        <w:trPr>
          <w:cantSplit w:val="0"/>
          <w:tblHeader w:val="0"/>
        </w:trPr>
        <w:tc>
          <w:tcPr>
            <w:shd w:fill="ffff00" w:val="clear"/>
            <w:vAlign w:val="top"/>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Píšeme</w:t>
            </w:r>
            <w:r w:rsidDel="00000000" w:rsidR="00000000" w:rsidRPr="00000000">
              <w:rPr>
                <w:rtl w:val="0"/>
              </w:rPr>
            </w:r>
          </w:p>
        </w:tc>
        <w:tc>
          <w:tcPr>
            <w:shd w:fill="ffff99" w:val="clear"/>
            <w:vAlign w:val="top"/>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Vyslovujeme</w:t>
            </w: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neznelá + znelá</w:t>
            </w:r>
          </w:p>
        </w:tc>
        <w:tc>
          <w:tcPr>
            <w:vMerge w:val="restart"/>
            <w:shd w:fill="ffff99" w:val="cle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r>
      <w:tr>
        <w:trPr>
          <w:cantSplit w:val="1"/>
          <w:tblHeader w:val="0"/>
        </w:trPr>
        <w:tc>
          <w:tcPr>
            <w:shd w:fill="ffff00" w:val="clear"/>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b</w:t>
            </w:r>
          </w:p>
        </w:tc>
        <w:tc>
          <w:tcPr>
            <w:vMerge w:val="continue"/>
            <w:shd w:fill="ffff99" w:val="cle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vMerge w:val="continue"/>
            <w:shd w:fill="ffff99" w:val="cle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jedno slovo končí neznelou spoluhláskou a druhé sa začína znelou spoluhláskou alebo samohláskou, neznelá spoluhláska sa zvukovo prispôsobí znelej. </w:t>
      </w:r>
    </w:p>
    <w:tbl>
      <w:tblPr>
        <w:tblStyle w:val="Table7"/>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7261"/>
        <w:tblGridChange w:id="0">
          <w:tblGrid>
            <w:gridCol w:w="1951"/>
            <w:gridCol w:w="7261"/>
          </w:tblGrid>
        </w:tblGridChange>
      </w:tblGrid>
      <w:tr>
        <w:trPr>
          <w:cantSplit w:val="0"/>
          <w:tblHeader w:val="0"/>
        </w:trPr>
        <w:tc>
          <w:tcPr>
            <w:shd w:fill="ffff00" w:val="clear"/>
            <w:vAlign w:val="top"/>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Píšeme</w:t>
            </w:r>
            <w:r w:rsidDel="00000000" w:rsidR="00000000" w:rsidRPr="00000000">
              <w:rPr>
                <w:rtl w:val="0"/>
              </w:rPr>
            </w:r>
          </w:p>
        </w:tc>
        <w:tc>
          <w:tcPr>
            <w:shd w:fill="ffff99" w:val="clear"/>
            <w:vAlign w:val="top"/>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Vyslovujeme</w:t>
            </w: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neznelá → zne-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lá/samohláska</w:t>
            </w:r>
          </w:p>
        </w:tc>
        <w:tc>
          <w:tcPr>
            <w:vMerge w:val="restart"/>
            <w:shd w:fill="ffff99" w:val="cle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vrčí)</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1"/>
          <w:tblHeader w:val="0"/>
        </w:trPr>
        <w:tc>
          <w:tcPr>
            <w:shd w:fill="ffff00" w:val="clea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v</w:t>
            </w:r>
          </w:p>
        </w:tc>
        <w:tc>
          <w:tcPr>
            <w:vMerge w:val="continue"/>
            <w:shd w:fill="ffff99" w:val="cle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vrčí</w:t>
            </w:r>
          </w:p>
        </w:tc>
        <w:tc>
          <w:tcPr>
            <w:vMerge w:val="continue"/>
            <w:shd w:fill="ffff99" w:val="cle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jedno slovo končí znelou spoluhláskou a druhé sa začína neznelou spoluhláskou, znelá spoluhláska sa zvukovo prispôsobí neznelej. </w:t>
      </w:r>
    </w:p>
    <w:tbl>
      <w:tblPr>
        <w:tblStyle w:val="Table8"/>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7261"/>
        <w:tblGridChange w:id="0">
          <w:tblGrid>
            <w:gridCol w:w="1951"/>
            <w:gridCol w:w="7261"/>
          </w:tblGrid>
        </w:tblGridChange>
      </w:tblGrid>
      <w:tr>
        <w:trPr>
          <w:cantSplit w:val="0"/>
          <w:tblHeader w:val="0"/>
        </w:trPr>
        <w:tc>
          <w:tcPr>
            <w:shd w:fill="ffff00" w:val="clear"/>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Píšeme</w:t>
            </w:r>
            <w:r w:rsidDel="00000000" w:rsidR="00000000" w:rsidRPr="00000000">
              <w:rPr>
                <w:rtl w:val="0"/>
              </w:rPr>
            </w:r>
          </w:p>
        </w:tc>
        <w:tc>
          <w:tcPr>
            <w:shd w:fill="ffff99" w:val="clear"/>
            <w:vAlign w:val="top"/>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Vyslovujeme</w:t>
            </w: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znelá → neznelá</w:t>
            </w:r>
          </w:p>
        </w:tc>
        <w:tc>
          <w:tcPr>
            <w:vMerge w:val="restart"/>
            <w:shd w:fill="ffff99" w:val="clear"/>
            <w:vAlign w:val="cente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spí)</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1"/>
          <w:tblHeader w:val="0"/>
        </w:trPr>
        <w:tc>
          <w:tcPr>
            <w:shd w:fill="ffff00" w:val="clear"/>
            <w:vAlign w:val="top"/>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 + s</w:t>
            </w:r>
          </w:p>
        </w:tc>
        <w:tc>
          <w:tcPr>
            <w:vMerge w:val="continue"/>
            <w:shd w:fill="ffff99" w:val="cle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1"/>
          <w:tblHeader w:val="0"/>
        </w:trPr>
        <w:tc>
          <w:tcPr>
            <w:shd w:fill="ffff00" w:val="clear"/>
            <w:vAlign w:val="top"/>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spí</w:t>
            </w:r>
          </w:p>
        </w:tc>
        <w:tc>
          <w:tcPr>
            <w:vMerge w:val="continue"/>
            <w:shd w:fill="ffff99" w:val="cle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Zdvojené spoluhlásky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dd, kk, nn, rr, šš, tt, zz....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vyslovujeme ako jednu dlhšiu spoluhlásku.</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Ako zdvojené spoluhlásky &gt;c, &gt;č sa vyslovujú spoluhláskové skupiny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ts, ds, tc, dc, tč, ťč, dč, čš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(Bytča – biča)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Spoluhláskové skupiny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stn, stň, zdn, zdň, šdn, žtn, stl, stk, tkn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vyslovujú tak, ako sa píšu (šťastný, prázdniny...).</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po spoluhláskovej skupine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ds, ts, zs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nasleduje spoluhláska, vyslovujeme jednoduché c, s (kamarácki, ľuckí).</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PROZODICKÉ VLASTNOSTI REČI</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Hlásky vznikajú pohybmi rečových orgánov – artikuláciou. Sú to malé časti jazykového prejavu, ktoré v reči nefungujú samostatne (segmenty), ale sa spájajú a vytvárajú väčšie celky (suprasegmenty): slabiky, slová, slovné spojenia, výpovede. Zvukové javy reči sa teda prejavujú nielen na hláskach, ale aj väčších celkoch (suprasegmentoch). Podieľajú sa na komplexnej výstavbe súvislej reči. Nazývajú sa suprasegmentálne javy alebo prozodické vlastnosti reči, alebo jednoducho intonácia reči. Najmenšou intonačnou jednotkou je slabika. Zvukové javy reči vznikajú moduláciou, úpravou artikulačného prúdu a to zmenou sily hlasu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(silová modulácia),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doby trvania javu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(časová modulácia)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zmenou výšky tónu hlasu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(tónová modulácia),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 kvalitou hlasu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(kvantitatívna modulácia)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Tónová modulácia reči</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Hlasový register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vzniká nasadením hlasu do istej výšky, výšky tónu hlasu. Spôsobuje ju rozličná stavba hlasiviek a rôzna frekvencia kmitania hlasiviek (frekvencia uvádzaná v hertzoch).</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Melódia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tónové vlnenie slabík vetného úseku, striedanie výšky hlasu. Na základe melódie v slovenčine rozlišujeme typy viet podľa obsahu (či modálnosti), napr. oznamovacie, opytovacie, želacie, zvolacie...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Melódia signalizuje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ukončenosť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(uspokojivo ohlási koniec celej vety) 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neukončenosť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výpovede (neuspokojivo naznačuje koniec jedného vetného úseku – veta bude mať pokračovanie).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Klesavá melódia/kadencia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využíva sa v oznamovacích, rozkazovacích, želacích a zvolacích vetách a doplňovacích otázkach (na ich začiatku stojí opytovacie zámeno, napr. Kto rozbil okno?).</w:t>
      </w:r>
    </w:p>
    <w:p w:rsidR="00000000" w:rsidDel="00000000" w:rsidP="00000000" w:rsidRDefault="00000000" w:rsidRPr="00000000" w14:paraId="000002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Stúpavá melódia/antikadencia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nachádza sa v zisťovacích a opytovacích vetách; na konci vety hlas stúpa. (napr. Páčil sa ti ten nový film?)</w:t>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Polokadencia/semikadencia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je neuspokojívá nekončiaca melódia, naznačuje, že výpoveď sa ešte neskončila (neukončené výpovede).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Silová modulácia reči</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Prízvuk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slovenčine sa ustálil na prvej slabike, patrí k nepohyblivým, stálym prízvukom. Vzniká tak, že hovoriaci silou hlasu zdôrazňuje určitú slabiku slova. Tento zvukový jav nezáleží od vôle hovoriaceho.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prízvukom súvisí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rytmus reči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Vetný prízvuk (dôraz)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intonačné vyzdvihnutie jadra výpovede (vo vete zdôrazním to slovo, ktoré považujem za dôležité). Dôraz na najdôležitejšie slovo nám pomáha významovo, rytmicky a melodicky členiť vetu. Pomocou neho prejavujeme svoj osobný postoj k obsahu jazykového prejavu. Od polohy dôrazu závisí zmysel celej vety.</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pokojnej reči sa nachádza na poslednom slove vety, vo vzrušenej reči je umiestnený podľa uváženia hovoriaceho (citový, príznakový dôraz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emfáza).</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Časová modulácia reči</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Dĺžka času, za ktorý sa realizuje zvukový jav reči.</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Tempo reči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definujeme ako množstvo slabík (alebo slov) vypovedaných za časovú jednotku. Tempo reči je súčasťou individuálnej charakteristiky človeka, závisí od temperamentu a od osobného postoja k obsahu jazykového prejavu, ale aj obsahovej nasýtenosti textu (ak je text bohatý na termíny a pojmy, hovoríme pomalšie).</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 REČI teda ovplyvňuje: obsah jazykového prejavu, dĺžka slov, autorova osobnosť, autorský zámer, komunikačnú situácia.</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Rytmus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vzniká pravidelný striedaním toho istého akustického prvku, napr. prízvuku.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Prestávka (pauza)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prerušenie rečového prúdu na určitý čas. Prestávkami členíme reč na kratšie alebo dlhšie vetné úseky (frázovanie), pričom dbáme na to, aby sme neoddelili časti textu, ktoré významovo súvisia. </w:t>
      </w:r>
    </w:p>
    <w:p w:rsidR="00000000" w:rsidDel="00000000" w:rsidP="00000000" w:rsidRDefault="00000000" w:rsidRPr="00000000" w14:paraId="000002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Fyziologická prestávka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nastáva tam, kde sa hovoriaci potrebuje nadýchnuť.</w:t>
      </w:r>
    </w:p>
    <w:p w:rsidR="00000000" w:rsidDel="00000000" w:rsidP="00000000" w:rsidRDefault="00000000" w:rsidRPr="00000000" w14:paraId="000002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Významová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ohraničuje vo výpovedi logické úseky.</w:t>
      </w:r>
    </w:p>
    <w:p w:rsidR="00000000" w:rsidDel="00000000" w:rsidP="00000000" w:rsidRDefault="00000000" w:rsidRPr="00000000" w14:paraId="000002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Umelecká (dramatická)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druh významovej pauzy, vytvára napätie vo vnútri textu.</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ŠTYLISTICKÉ VYUŽITIE ZVUKOVEJ STRÁNKY SLOV</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Rým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zvuková zhoda slabík na konci veršov.</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Základné druhy rýmov: združený, striedavý, obkročný, prerývaný, postupný.</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Zvukomaľba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napodobňuje napr. zvuky prírody a pracovné zvuky. Autor sa snaží výberom „zvukov“ zachytiť atmosféru či zvuk zobrazovaného javu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Duní Dunaj a luna za lunou sa valí...)</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Paronomázia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opakovanie slovných základov v odvodených slovách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 my, vlastenci a bratrové,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slav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slav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ně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sláv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Sláv</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ů</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sláv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ných...).</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Aliterácia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zvukovú zhodu na začiatku slov – autor vyberá slová s rovnakými začiatočnými hláskami alebo hláskovými skupinami (napr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ykrádači 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ydridusi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ydierali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ynikajúceho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ynálezcu,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incenta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ydru, ktorý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ymyslel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yskovýkonný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ysávač 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ýfukom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Eufónia (ľubozvučnosť)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zakladá sa na zámernom využívaní a organizácii zvukových vlastností hlások a skupín hlások, čím sa dosahuje emocionálnosť a expresívnosť textu.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Ulica usína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eufóniu vyvoláva pravidelné opakovanie samohlások u-i/í-a).</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niektorých prípadoch môže zvukové usporiadanie hlások a skupín hlások vyvolať dojem, ktorý je opakom ľubozvučnosti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kakofónia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ORTOEPIA – správna výslovnosť</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Ortoepia – zaoberá sa zvukovými normami, podľa ktorých sa tvoria hovorené spisovné jazykové prejavy (komunikáty).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Správnu výslovnosť určuje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ortoepická norma.</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rámci výslovnosti rozoznávame tri výslovnostné štýly.</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Vysoký štýl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sa vo verejnom oficiálnom prostredí, pri recitácii umeleckých textov, v slávnostných prejavoch; komunikanti využívajú spisovnú slovenčinu.</w:t>
      </w:r>
    </w:p>
    <w:p w:rsidR="00000000" w:rsidDel="00000000" w:rsidP="00000000" w:rsidRDefault="00000000" w:rsidRPr="00000000" w14:paraId="000002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Neutrálny 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najčastejšia podoba hovorenej spisovnej slovenčiny. Využíva sa v súkromnom aj pracovnom styku. Ak je medzi komunikantmi spoločenský odstup (starší/mladší, podriadení/nadriadení, prostredie školy, úradu...), tak využívajú spisovný jazyk.</w:t>
      </w:r>
    </w:p>
    <w:p w:rsidR="00000000" w:rsidDel="00000000" w:rsidP="00000000" w:rsidRDefault="00000000" w:rsidRPr="00000000" w14:paraId="000002E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Nižší 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využíva sa v súkromnom aj verejnom prostredí, všade tam, kde je medzi komunikantmi neoficiálny alebo priateľský vzťah. Vyskytujú sa v ňom odchýlky od výslovnostnej normy, prejavuje sa napr. vplyv miestneho dialekt</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ORTOGRAFIA – pravopis</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Pravopis slovenčiny sa formoval celé stáročia a tento proces a nikdy neskončí. Pravopisné pravidlá, podľa ktorých píšeme, nazývame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pravopisná norma.</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Pravopisné princípy:</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Fonematický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pravopisný princíp je určený tým, že sa jedna a tá istá fonéma, schopná rozlišovať význam slov a tvarov, píše jedným a tým istým písmenom. V slovenčine sa nedodržiava dôsledne. Napr. jedna fonéma, schopná rozlišovať význam slov a tvarov sa nepíše jedným a tým istým písmenom: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ľ</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leto – ľahko; jedna fonéma (jeden zvuk) sa označuje dvoma písmenami: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(chlap).</w:t>
      </w:r>
    </w:p>
    <w:p w:rsidR="00000000" w:rsidDel="00000000" w:rsidP="00000000" w:rsidRDefault="00000000" w:rsidRPr="00000000" w14:paraId="000002F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Morfematický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princíp pravopisu zabezpečuje, že sa zachováva jednotná podoba napísaných slov, aj keď sa pri výslovnosti niektoré hlásky menia zo znelých na neznelé alebo opačne, napr. had syčí (na konci slova a pred neznelou s vyslovíme „t“), pod plotom (d pred neznelou p vyslovíme „t“).</w:t>
      </w:r>
    </w:p>
    <w:p w:rsidR="00000000" w:rsidDel="00000000" w:rsidP="00000000" w:rsidRDefault="00000000" w:rsidRPr="00000000" w14:paraId="000002F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Etymologický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(vývinový) princíp prihliada na to, akú podobu mali slová v staršej podobe jazyka, prejavuje sa pri písaní písmen i, í, y, ý (napr. biť palicou, byť (existovať)).</w:t>
      </w:r>
    </w:p>
    <w:p w:rsidR="00000000" w:rsidDel="00000000" w:rsidP="00000000" w:rsidRDefault="00000000" w:rsidRPr="00000000" w14:paraId="000002F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princíp pravopisu určuje, že sa napr. píše rovnako N prídavných mien vzoru pekný a iných slovných druhov, ktoré sa skloňujú podľa tohto vzoru, napr. pekní chlapci, akísi lovci, prví bežci.</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Kodifikácia A. Bernoláka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prevláda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fonematický princíp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pravopisu (nemá y, označuje mäkkosť spoluhlásky: ďeťi).</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Kodifikácia Ľ. Štúra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prevláda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fonematický princíp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pravopisu (nemá ľ, y, označuje mäkkosť spoluhlásky: ďeťi).</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Úprava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Hodžovsko-Hattalovská reforma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posilnil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etymologický princíp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pravopisu (rozlišuje i/y; e, i zmäkčuje predchádzajúcu spoluhlásku: deti)</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29"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0"/>
      <w:numFmt w:val="bullet"/>
      <w:lvlText w:val="-"/>
      <w:lvlJc w:val="left"/>
      <w:pPr>
        <w:ind w:left="1080" w:hanging="360"/>
      </w:pPr>
      <w:rPr>
        <w:rFonts w:ascii="Calibri" w:cs="Calibri" w:eastAsia="Calibri" w:hAnsi="Calibri"/>
        <w:b w:val="0"/>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5">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3"/>
      <w:numFmt w:val="upperRoman"/>
      <w:lvlText w:val="%1."/>
      <w:lvlJc w:val="left"/>
      <w:pPr>
        <w:ind w:left="3240" w:hanging="1080"/>
      </w:pPr>
      <w:rPr>
        <w:vertAlign w:val="baseline"/>
      </w:rPr>
    </w:lvl>
    <w:lvl w:ilvl="1">
      <w:start w:val="1"/>
      <w:numFmt w:val="lowerLetter"/>
      <w:lvlText w:val="%2."/>
      <w:lvlJc w:val="left"/>
      <w:pPr>
        <w:ind w:left="3240" w:hanging="360"/>
      </w:pPr>
      <w:rPr>
        <w:vertAlign w:val="baseline"/>
      </w:rPr>
    </w:lvl>
    <w:lvl w:ilvl="2">
      <w:start w:val="1"/>
      <w:numFmt w:val="lowerRoman"/>
      <w:lvlText w:val="%3."/>
      <w:lvlJc w:val="right"/>
      <w:pPr>
        <w:ind w:left="3960" w:hanging="180"/>
      </w:pPr>
      <w:rPr>
        <w:vertAlign w:val="baseline"/>
      </w:rPr>
    </w:lvl>
    <w:lvl w:ilvl="3">
      <w:start w:val="1"/>
      <w:numFmt w:val="decimal"/>
      <w:lvlText w:val="%4."/>
      <w:lvlJc w:val="left"/>
      <w:pPr>
        <w:ind w:left="4680" w:hanging="360"/>
      </w:pPr>
      <w:rPr>
        <w:vertAlign w:val="baseline"/>
      </w:rPr>
    </w:lvl>
    <w:lvl w:ilvl="4">
      <w:start w:val="1"/>
      <w:numFmt w:val="lowerLetter"/>
      <w:lvlText w:val="%5."/>
      <w:lvlJc w:val="left"/>
      <w:pPr>
        <w:ind w:left="5400" w:hanging="360"/>
      </w:pPr>
      <w:rPr>
        <w:vertAlign w:val="baseline"/>
      </w:rPr>
    </w:lvl>
    <w:lvl w:ilvl="5">
      <w:start w:val="1"/>
      <w:numFmt w:val="lowerRoman"/>
      <w:lvlText w:val="%6."/>
      <w:lvlJc w:val="right"/>
      <w:pPr>
        <w:ind w:left="6120" w:hanging="180"/>
      </w:pPr>
      <w:rPr>
        <w:vertAlign w:val="baseline"/>
      </w:rPr>
    </w:lvl>
    <w:lvl w:ilvl="6">
      <w:start w:val="1"/>
      <w:numFmt w:val="decimal"/>
      <w:lvlText w:val="%7."/>
      <w:lvlJc w:val="left"/>
      <w:pPr>
        <w:ind w:left="6840" w:hanging="360"/>
      </w:pPr>
      <w:rPr>
        <w:vertAlign w:val="baseline"/>
      </w:rPr>
    </w:lvl>
    <w:lvl w:ilvl="7">
      <w:start w:val="1"/>
      <w:numFmt w:val="lowerLetter"/>
      <w:lvlText w:val="%8."/>
      <w:lvlJc w:val="left"/>
      <w:pPr>
        <w:ind w:left="7560" w:hanging="360"/>
      </w:pPr>
      <w:rPr>
        <w:vertAlign w:val="baseline"/>
      </w:rPr>
    </w:lvl>
    <w:lvl w:ilvl="8">
      <w:start w:val="1"/>
      <w:numFmt w:val="lowerRoman"/>
      <w:lvlText w:val="%9."/>
      <w:lvlJc w:val="right"/>
      <w:pPr>
        <w:ind w:left="8280" w:hanging="180"/>
      </w:pPr>
      <w:rPr>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0"/>
      <w:numFmt w:val="bullet"/>
      <w:lvlText w:val="-"/>
      <w:lvlJc w:val="left"/>
      <w:pPr>
        <w:ind w:left="1080" w:hanging="360"/>
      </w:pPr>
      <w:rPr>
        <w:rFonts w:ascii="Calibri" w:cs="Calibri" w:eastAsia="Calibri" w:hAnsi="Calibri"/>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sk-S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