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251719A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w:t>
      </w:r>
      <w:r w:rsidR="00282282">
        <w:rPr>
          <w:rFonts w:ascii="Times New Roman" w:hAnsi="Times New Roman" w:cs="Times New Roman"/>
          <w:sz w:val="28"/>
          <w:szCs w:val="28"/>
        </w:rPr>
        <w:t>i</w:t>
      </w:r>
      <w:r w:rsidRPr="00C023E8">
        <w:rPr>
          <w:rFonts w:ascii="Times New Roman" w:hAnsi="Times New Roman" w:cs="Times New Roman"/>
          <w:sz w:val="28"/>
          <w:szCs w:val="28"/>
        </w:rPr>
        <w:t>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0E0D770B"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w:t>
      </w:r>
      <w:r w:rsidR="00282282">
        <w:rPr>
          <w:rFonts w:ascii="Times New Roman" w:hAnsi="Times New Roman" w:cs="Times New Roman"/>
          <w:sz w:val="28"/>
          <w:szCs w:val="28"/>
        </w:rPr>
        <w:t>b</w:t>
      </w:r>
      <w:r>
        <w:rPr>
          <w:rFonts w:ascii="Times New Roman" w:hAnsi="Times New Roman" w:cs="Times New Roman"/>
          <w:sz w:val="28"/>
          <w:szCs w:val="28"/>
        </w:rPr>
        <w:t>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2FF42F1A"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45BFC62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69216124"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w:t>
      </w:r>
      <w:r w:rsidR="00487408">
        <w:rPr>
          <w:rFonts w:ascii="Times New Roman" w:hAnsi="Times New Roman" w:cs="Times New Roman"/>
          <w:sz w:val="28"/>
          <w:szCs w:val="28"/>
        </w:rPr>
        <w:t>t</w:t>
      </w:r>
      <w:r w:rsidRPr="007326FC">
        <w:rPr>
          <w:rFonts w:ascii="Times New Roman" w:hAnsi="Times New Roman" w:cs="Times New Roman"/>
          <w:sz w:val="28"/>
          <w:szCs w:val="28"/>
        </w:rPr>
        <w:t>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2CB610F5"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úra za spotrebovanú ele</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4C11D2FC"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w:t>
      </w:r>
      <w:r w:rsidR="00487408">
        <w:rPr>
          <w:rFonts w:ascii="Times New Roman" w:eastAsia="Times New Roman" w:hAnsi="Times New Roman" w:cs="Times New Roman"/>
          <w:color w:val="000000"/>
          <w:kern w:val="0"/>
          <w:sz w:val="28"/>
          <w:szCs w:val="28"/>
          <w:lang w:eastAsia="sk-SK"/>
          <w14:ligatures w14:val="none"/>
        </w:rPr>
        <w:t>ý</w:t>
      </w:r>
      <w:r>
        <w:rPr>
          <w:rFonts w:ascii="Times New Roman" w:eastAsia="Times New Roman" w:hAnsi="Times New Roman" w:cs="Times New Roman"/>
          <w:color w:val="000000"/>
          <w:kern w:val="0"/>
          <w:sz w:val="28"/>
          <w:szCs w:val="28"/>
          <w:lang w:eastAsia="sk-SK"/>
          <w14:ligatures w14:val="none"/>
        </w:rPr>
        <w:t>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0A4AD327"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w:t>
      </w:r>
      <w:r w:rsidR="00C6191B">
        <w:rPr>
          <w:sz w:val="28"/>
          <w:szCs w:val="28"/>
        </w:rPr>
        <w:t>y</w:t>
      </w:r>
      <w:r>
        <w:rPr>
          <w:sz w:val="28"/>
          <w:szCs w:val="28"/>
        </w:rPr>
        <w:t xml:space="preserve">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11D9FB5C" w:rsidR="00C70FFB" w:rsidRDefault="00C70FFB" w:rsidP="00C70FFB">
      <w:pPr>
        <w:pStyle w:val="Normlnywebov"/>
        <w:numPr>
          <w:ilvl w:val="1"/>
          <w:numId w:val="35"/>
        </w:numPr>
        <w:spacing w:before="0" w:beforeAutospacing="0" w:after="0" w:afterAutospacing="0"/>
        <w:rPr>
          <w:sz w:val="28"/>
          <w:szCs w:val="28"/>
        </w:rPr>
      </w:pPr>
      <w:r>
        <w:rPr>
          <w:sz w:val="28"/>
          <w:szCs w:val="28"/>
        </w:rPr>
        <w:t> Preuk</w:t>
      </w:r>
      <w:r w:rsidR="00487408">
        <w:rPr>
          <w:sz w:val="28"/>
          <w:szCs w:val="28"/>
        </w:rPr>
        <w:t>á</w:t>
      </w:r>
      <w:r>
        <w:rPr>
          <w:sz w:val="28"/>
          <w:szCs w:val="28"/>
        </w:rPr>
        <w:t>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728CC4E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w:t>
      </w:r>
      <w:r w:rsidR="00487408">
        <w:rPr>
          <w:sz w:val="28"/>
          <w:szCs w:val="28"/>
        </w:rPr>
        <w:t>z</w:t>
      </w:r>
      <w:r>
        <w:rPr>
          <w:sz w:val="28"/>
          <w:szCs w:val="28"/>
        </w:rPr>
        <w:t>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3FA879F1" w:rsidR="00574D2D" w:rsidRDefault="00574D2D" w:rsidP="00574D2D">
      <w:pPr>
        <w:pStyle w:val="Normlnywebov"/>
        <w:numPr>
          <w:ilvl w:val="2"/>
          <w:numId w:val="35"/>
        </w:numPr>
        <w:spacing w:before="0" w:beforeAutospacing="0" w:after="0" w:afterAutospacing="0"/>
        <w:rPr>
          <w:sz w:val="28"/>
          <w:szCs w:val="28"/>
        </w:rPr>
      </w:pPr>
      <w:r>
        <w:rPr>
          <w:sz w:val="28"/>
          <w:szCs w:val="28"/>
        </w:rPr>
        <w:t xml:space="preserve">Je preukázateľný účtovný doklad, na základe ktorého sa </w:t>
      </w:r>
      <w:r w:rsidR="00487408">
        <w:rPr>
          <w:sz w:val="28"/>
          <w:szCs w:val="28"/>
        </w:rPr>
        <w:t>u</w:t>
      </w:r>
      <w:r>
        <w:rPr>
          <w:sz w:val="28"/>
          <w:szCs w:val="28"/>
        </w:rPr>
        <w:t>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69934BAF" w:rsidR="000D346E" w:rsidRDefault="000D346E" w:rsidP="000D346E">
      <w:pPr>
        <w:pStyle w:val="Normlnywebov"/>
        <w:numPr>
          <w:ilvl w:val="3"/>
          <w:numId w:val="35"/>
        </w:numPr>
        <w:spacing w:before="0" w:beforeAutospacing="0" w:after="0" w:afterAutospacing="0"/>
        <w:rPr>
          <w:sz w:val="28"/>
          <w:szCs w:val="28"/>
        </w:rPr>
      </w:pPr>
      <w:r>
        <w:rPr>
          <w:sz w:val="28"/>
          <w:szCs w:val="28"/>
        </w:rPr>
        <w:t>Pr</w:t>
      </w:r>
      <w:r w:rsidR="00487408">
        <w:rPr>
          <w:sz w:val="28"/>
          <w:szCs w:val="28"/>
        </w:rPr>
        <w:t>í</w:t>
      </w:r>
      <w:r>
        <w:rPr>
          <w:sz w:val="28"/>
          <w:szCs w:val="28"/>
        </w:rPr>
        <w:t>jmovy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74E400EF" w:rsidR="000D346E" w:rsidRDefault="000D346E" w:rsidP="000D346E">
      <w:pPr>
        <w:pStyle w:val="Normlnywebov"/>
        <w:numPr>
          <w:ilvl w:val="3"/>
          <w:numId w:val="35"/>
        </w:numPr>
        <w:spacing w:before="0" w:beforeAutospacing="0" w:after="0" w:afterAutospacing="0"/>
        <w:rPr>
          <w:sz w:val="28"/>
          <w:szCs w:val="28"/>
        </w:rPr>
      </w:pPr>
      <w:r>
        <w:rPr>
          <w:sz w:val="28"/>
          <w:szCs w:val="28"/>
        </w:rPr>
        <w:t xml:space="preserve">Odoslané dobropisy </w:t>
      </w:r>
      <w:r w:rsidR="00385698">
        <w:rPr>
          <w:sz w:val="28"/>
          <w:szCs w:val="28"/>
        </w:rPr>
        <w:t>–</w:t>
      </w:r>
      <w:r>
        <w:rPr>
          <w:sz w:val="28"/>
          <w:szCs w:val="28"/>
        </w:rPr>
        <w:t xml:space="preserve"> OD</w:t>
      </w:r>
    </w:p>
    <w:p w14:paraId="6B519057" w14:textId="331B3AF0" w:rsidR="00385698" w:rsidRPr="005504FD" w:rsidRDefault="005504FD" w:rsidP="005504FD">
      <w:pPr>
        <w:rPr>
          <w:rFonts w:ascii="Times New Roman" w:eastAsia="Times New Roman" w:hAnsi="Times New Roman" w:cs="Times New Roman"/>
          <w:kern w:val="0"/>
          <w:sz w:val="28"/>
          <w:szCs w:val="28"/>
          <w:lang w:eastAsia="sk-SK"/>
          <w14:ligatures w14:val="none"/>
        </w:rPr>
      </w:pPr>
      <w:r>
        <w:rPr>
          <w:sz w:val="28"/>
          <w:szCs w:val="28"/>
        </w:rPr>
        <w:br w:type="page"/>
      </w:r>
    </w:p>
    <w:p w14:paraId="534188FB" w14:textId="05DCF606" w:rsidR="00385698" w:rsidRDefault="00385698" w:rsidP="00385698">
      <w:pPr>
        <w:pStyle w:val="Normlnywebov"/>
        <w:spacing w:before="0" w:beforeAutospacing="0" w:after="0" w:afterAutospacing="0"/>
        <w:jc w:val="center"/>
        <w:rPr>
          <w:sz w:val="36"/>
          <w:szCs w:val="36"/>
        </w:rPr>
      </w:pPr>
      <w:r>
        <w:rPr>
          <w:sz w:val="36"/>
          <w:szCs w:val="36"/>
        </w:rPr>
        <w:lastRenderedPageBreak/>
        <w:t>3.5.2 Funkcie a druhy účtovných dokladov</w:t>
      </w:r>
    </w:p>
    <w:p w14:paraId="4AC59E27" w14:textId="77777777" w:rsidR="00385698" w:rsidRDefault="00385698" w:rsidP="00385698">
      <w:pPr>
        <w:pStyle w:val="Normlnywebov"/>
        <w:spacing w:before="0" w:beforeAutospacing="0" w:after="0" w:afterAutospacing="0"/>
        <w:jc w:val="center"/>
        <w:rPr>
          <w:sz w:val="36"/>
          <w:szCs w:val="36"/>
        </w:rPr>
      </w:pPr>
    </w:p>
    <w:p w14:paraId="31CB50A7" w14:textId="7A32A8FB" w:rsidR="00385698" w:rsidRDefault="00385698" w:rsidP="00385698">
      <w:pPr>
        <w:pStyle w:val="Normlnywebov"/>
        <w:numPr>
          <w:ilvl w:val="0"/>
          <w:numId w:val="38"/>
        </w:numPr>
        <w:spacing w:before="0" w:beforeAutospacing="0" w:after="0" w:afterAutospacing="0"/>
        <w:rPr>
          <w:sz w:val="28"/>
          <w:szCs w:val="28"/>
        </w:rPr>
      </w:pPr>
      <w:r>
        <w:rPr>
          <w:sz w:val="28"/>
          <w:szCs w:val="28"/>
        </w:rPr>
        <w:t>Účtovné doklady majú dve základné funkcie:</w:t>
      </w:r>
    </w:p>
    <w:p w14:paraId="2BFA2269" w14:textId="161E24B5" w:rsidR="00385698" w:rsidRDefault="00385698" w:rsidP="00385698">
      <w:pPr>
        <w:pStyle w:val="Normlnywebov"/>
        <w:numPr>
          <w:ilvl w:val="1"/>
          <w:numId w:val="38"/>
        </w:numPr>
        <w:spacing w:before="0" w:beforeAutospacing="0" w:after="0" w:afterAutospacing="0"/>
        <w:rPr>
          <w:sz w:val="28"/>
          <w:szCs w:val="28"/>
        </w:rPr>
      </w:pPr>
      <w:r>
        <w:rPr>
          <w:sz w:val="28"/>
          <w:szCs w:val="28"/>
        </w:rPr>
        <w:t> Dokladujú účtovné zápisy</w:t>
      </w:r>
    </w:p>
    <w:p w14:paraId="5D2EA7D1" w14:textId="73349DF1" w:rsidR="00385698" w:rsidRDefault="00385698" w:rsidP="00385698">
      <w:pPr>
        <w:pStyle w:val="Normlnywebov"/>
        <w:numPr>
          <w:ilvl w:val="1"/>
          <w:numId w:val="38"/>
        </w:numPr>
        <w:spacing w:before="0" w:beforeAutospacing="0" w:after="0" w:afterAutospacing="0"/>
        <w:rPr>
          <w:sz w:val="28"/>
          <w:szCs w:val="28"/>
        </w:rPr>
      </w:pPr>
      <w:r>
        <w:rPr>
          <w:sz w:val="28"/>
          <w:szCs w:val="28"/>
        </w:rPr>
        <w:t> Sú prostriedkom na overenie správnosti zaúčtovania účtovných prípadov</w:t>
      </w:r>
    </w:p>
    <w:p w14:paraId="1555BA45" w14:textId="4C144DF4" w:rsidR="00385698" w:rsidRPr="00385698" w:rsidRDefault="005504FD" w:rsidP="00385698">
      <w:pPr>
        <w:pStyle w:val="Normlnywebov"/>
        <w:numPr>
          <w:ilvl w:val="0"/>
          <w:numId w:val="38"/>
        </w:numPr>
        <w:spacing w:before="0" w:beforeAutospacing="0" w:after="0" w:afterAutospacing="0"/>
        <w:rPr>
          <w:sz w:val="28"/>
          <w:szCs w:val="28"/>
        </w:rPr>
      </w:pPr>
      <w:r w:rsidRPr="005504FD">
        <w:rPr>
          <w:noProof/>
          <w:sz w:val="28"/>
          <w:szCs w:val="28"/>
        </w:rPr>
        <w:drawing>
          <wp:anchor distT="0" distB="0" distL="114300" distR="114300" simplePos="0" relativeHeight="251700224" behindDoc="1" locked="0" layoutInCell="1" allowOverlap="1" wp14:anchorId="29E2204A" wp14:editId="494B9A42">
            <wp:simplePos x="0" y="0"/>
            <wp:positionH relativeFrom="column">
              <wp:posOffset>-273166</wp:posOffset>
            </wp:positionH>
            <wp:positionV relativeFrom="paragraph">
              <wp:posOffset>566420</wp:posOffset>
            </wp:positionV>
            <wp:extent cx="6920179" cy="5269766"/>
            <wp:effectExtent l="0" t="0" r="0" b="7620"/>
            <wp:wrapTight wrapText="bothSides">
              <wp:wrapPolygon edited="0">
                <wp:start x="0" y="0"/>
                <wp:lineTo x="0" y="21553"/>
                <wp:lineTo x="21527" y="21553"/>
                <wp:lineTo x="21527" y="0"/>
                <wp:lineTo x="0" y="0"/>
              </wp:wrapPolygon>
            </wp:wrapTight>
            <wp:docPr id="1115208750"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8750" name="Obrázok 1" descr="Obrázok, na ktorom je text, diagram, snímka obrazovky, písmo&#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6920179" cy="5269766"/>
                    </a:xfrm>
                    <a:prstGeom prst="rect">
                      <a:avLst/>
                    </a:prstGeom>
                  </pic:spPr>
                </pic:pic>
              </a:graphicData>
            </a:graphic>
            <wp14:sizeRelH relativeFrom="page">
              <wp14:pctWidth>0</wp14:pctWidth>
            </wp14:sizeRelH>
            <wp14:sizeRelV relativeFrom="page">
              <wp14:pctHeight>0</wp14:pctHeight>
            </wp14:sizeRelV>
          </wp:anchor>
        </w:drawing>
      </w:r>
      <w:r w:rsidR="00385698">
        <w:rPr>
          <w:sz w:val="28"/>
          <w:szCs w:val="28"/>
        </w:rPr>
        <w:t>Bez účtovného dokladu nemožno urobiť žiaden účtovný zápis a teda každý účtovný zápis musí byť doložený účtovným dokladom</w:t>
      </w:r>
    </w:p>
    <w:p w14:paraId="729D004B" w14:textId="1C303C8C" w:rsidR="00574D2D" w:rsidRDefault="005504FD" w:rsidP="005504FD">
      <w:pPr>
        <w:pStyle w:val="Normlnywebov"/>
        <w:numPr>
          <w:ilvl w:val="0"/>
          <w:numId w:val="38"/>
        </w:numPr>
        <w:spacing w:before="0" w:beforeAutospacing="0" w:after="0" w:afterAutospacing="0"/>
        <w:rPr>
          <w:sz w:val="28"/>
          <w:szCs w:val="28"/>
        </w:rPr>
      </w:pPr>
      <w:r>
        <w:rPr>
          <w:sz w:val="28"/>
          <w:szCs w:val="28"/>
        </w:rPr>
        <w:t>V</w:t>
      </w:r>
      <w:r w:rsidRPr="005504FD">
        <w:rPr>
          <w:sz w:val="28"/>
          <w:szCs w:val="28"/>
        </w:rPr>
        <w:t> podniku sa stretávame s rôznymi druhmi účtovných dokladov. Niektoré prichádzajú zvonka, iné odchádzajú z podniku.</w:t>
      </w:r>
    </w:p>
    <w:p w14:paraId="79017F27" w14:textId="18AFC759" w:rsidR="005504FD" w:rsidRDefault="005504FD" w:rsidP="005504FD">
      <w:pPr>
        <w:pStyle w:val="Normlnywebov"/>
        <w:numPr>
          <w:ilvl w:val="0"/>
          <w:numId w:val="38"/>
        </w:numPr>
        <w:spacing w:before="0" w:beforeAutospacing="0" w:after="0" w:afterAutospacing="0"/>
        <w:rPr>
          <w:sz w:val="28"/>
          <w:szCs w:val="28"/>
        </w:rPr>
      </w:pPr>
      <w:r>
        <w:rPr>
          <w:sz w:val="28"/>
          <w:szCs w:val="28"/>
        </w:rPr>
        <w:t>Tieto doklady môžeme deliť na druhy účtovných dokladov podľa vecného obsahu</w:t>
      </w:r>
    </w:p>
    <w:p w14:paraId="73D3C4A0" w14:textId="77777777" w:rsidR="005504FD" w:rsidRDefault="005504FD" w:rsidP="005504FD">
      <w:pPr>
        <w:pStyle w:val="Normlnywebov"/>
        <w:spacing w:before="0" w:beforeAutospacing="0" w:after="0" w:afterAutospacing="0"/>
        <w:rPr>
          <w:sz w:val="28"/>
          <w:szCs w:val="28"/>
        </w:rPr>
      </w:pPr>
    </w:p>
    <w:p w14:paraId="76CE7E97" w14:textId="77777777" w:rsidR="005504FD" w:rsidRDefault="005504FD" w:rsidP="005504FD">
      <w:pPr>
        <w:pStyle w:val="Normlnywebov"/>
        <w:spacing w:before="0" w:beforeAutospacing="0" w:after="0" w:afterAutospacing="0"/>
        <w:rPr>
          <w:sz w:val="28"/>
          <w:szCs w:val="28"/>
        </w:rPr>
      </w:pPr>
    </w:p>
    <w:p w14:paraId="642261A3" w14:textId="77777777" w:rsidR="005504FD" w:rsidRDefault="005504FD" w:rsidP="005504FD">
      <w:pPr>
        <w:pStyle w:val="Normlnywebov"/>
        <w:spacing w:before="0" w:beforeAutospacing="0" w:after="0" w:afterAutospacing="0"/>
        <w:rPr>
          <w:sz w:val="28"/>
          <w:szCs w:val="28"/>
        </w:rPr>
      </w:pPr>
    </w:p>
    <w:p w14:paraId="635C751D" w14:textId="063BC646" w:rsidR="005504FD" w:rsidRDefault="008275D8" w:rsidP="008275D8">
      <w:pPr>
        <w:pStyle w:val="Normlnywebov"/>
        <w:numPr>
          <w:ilvl w:val="0"/>
          <w:numId w:val="38"/>
        </w:numPr>
        <w:spacing w:before="0" w:beforeAutospacing="0" w:after="0" w:afterAutospacing="0"/>
        <w:rPr>
          <w:sz w:val="28"/>
          <w:szCs w:val="28"/>
        </w:rPr>
      </w:pPr>
      <w:r w:rsidRPr="008275D8">
        <w:rPr>
          <w:noProof/>
          <w:sz w:val="28"/>
          <w:szCs w:val="28"/>
        </w:rPr>
        <w:lastRenderedPageBreak/>
        <w:drawing>
          <wp:anchor distT="0" distB="0" distL="114300" distR="114300" simplePos="0" relativeHeight="251701248" behindDoc="1" locked="0" layoutInCell="1" allowOverlap="1" wp14:anchorId="61F2CF09" wp14:editId="3F7FAA68">
            <wp:simplePos x="0" y="0"/>
            <wp:positionH relativeFrom="column">
              <wp:posOffset>-638175</wp:posOffset>
            </wp:positionH>
            <wp:positionV relativeFrom="paragraph">
              <wp:posOffset>132</wp:posOffset>
            </wp:positionV>
            <wp:extent cx="6990415" cy="4811816"/>
            <wp:effectExtent l="0" t="0" r="1270" b="8255"/>
            <wp:wrapTight wrapText="bothSides">
              <wp:wrapPolygon edited="0">
                <wp:start x="0" y="0"/>
                <wp:lineTo x="0" y="21552"/>
                <wp:lineTo x="21545" y="21552"/>
                <wp:lineTo x="21545" y="0"/>
                <wp:lineTo x="0" y="0"/>
              </wp:wrapPolygon>
            </wp:wrapTight>
            <wp:docPr id="433581478"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1478" name="Obrázok 1" descr="Obrázok, na ktorom je text, diagram, snímka obrazovky, písmo&#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6990415" cy="481181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Vonkajšie účtovné doklady vznikajú pri styku účtovnej jednotky s vonkajším okolím.</w:t>
      </w:r>
    </w:p>
    <w:p w14:paraId="22B908E3" w14:textId="438667CA" w:rsidR="008275D8" w:rsidRDefault="008275D8" w:rsidP="008275D8">
      <w:pPr>
        <w:pStyle w:val="Normlnywebov"/>
        <w:numPr>
          <w:ilvl w:val="0"/>
          <w:numId w:val="38"/>
        </w:numPr>
        <w:spacing w:before="0" w:beforeAutospacing="0" w:after="0" w:afterAutospacing="0"/>
        <w:rPr>
          <w:sz w:val="28"/>
          <w:szCs w:val="28"/>
        </w:rPr>
      </w:pPr>
      <w:r>
        <w:rPr>
          <w:sz w:val="28"/>
          <w:szCs w:val="28"/>
        </w:rPr>
        <w:t>Každý podnik si ich môže kúpiť ako predtlačený formulár, alebo si ich vytlačiť priamo z počítača.</w:t>
      </w:r>
    </w:p>
    <w:p w14:paraId="7675CF30" w14:textId="3052DAAF" w:rsidR="008275D8" w:rsidRDefault="008275D8" w:rsidP="008275D8">
      <w:pPr>
        <w:pStyle w:val="Normlnywebov"/>
        <w:numPr>
          <w:ilvl w:val="0"/>
          <w:numId w:val="38"/>
        </w:numPr>
        <w:spacing w:before="0" w:beforeAutospacing="0" w:after="0" w:afterAutospacing="0"/>
        <w:rPr>
          <w:sz w:val="28"/>
          <w:szCs w:val="28"/>
        </w:rPr>
      </w:pPr>
      <w:r>
        <w:rPr>
          <w:sz w:val="28"/>
          <w:szCs w:val="28"/>
        </w:rPr>
        <w:t>Ide hlavne o faktúry.</w:t>
      </w:r>
    </w:p>
    <w:p w14:paraId="4DBAF6AB" w14:textId="74E35C26" w:rsidR="008275D8" w:rsidRDefault="008275D8" w:rsidP="008275D8">
      <w:pPr>
        <w:pStyle w:val="Normlnywebov"/>
        <w:numPr>
          <w:ilvl w:val="0"/>
          <w:numId w:val="38"/>
        </w:numPr>
        <w:spacing w:before="0" w:beforeAutospacing="0" w:after="0" w:afterAutospacing="0"/>
        <w:rPr>
          <w:sz w:val="28"/>
          <w:szCs w:val="28"/>
        </w:rPr>
      </w:pPr>
      <w:r>
        <w:rPr>
          <w:sz w:val="28"/>
          <w:szCs w:val="28"/>
        </w:rPr>
        <w:t>Osobitné postavenie v tejto skupine majú výpisy z bankového účtu podniku. Bez neho by nikdy nebolo možné účtovať na účte s názvom Bankové účty</w:t>
      </w:r>
    </w:p>
    <w:p w14:paraId="7CE10267" w14:textId="209B6622" w:rsidR="008275D8" w:rsidRDefault="008275D8" w:rsidP="008275D8">
      <w:pPr>
        <w:pStyle w:val="Normlnywebov"/>
        <w:spacing w:before="0" w:beforeAutospacing="0" w:after="0" w:afterAutospacing="0"/>
        <w:ind w:left="720"/>
        <w:rPr>
          <w:sz w:val="28"/>
          <w:szCs w:val="28"/>
        </w:rPr>
      </w:pPr>
    </w:p>
    <w:p w14:paraId="416AF14F" w14:textId="43830FB4" w:rsidR="008275D8" w:rsidRPr="008275D8" w:rsidRDefault="008275D8" w:rsidP="008275D8">
      <w:pPr>
        <w:pStyle w:val="Normlnywebov"/>
        <w:numPr>
          <w:ilvl w:val="0"/>
          <w:numId w:val="38"/>
        </w:numPr>
        <w:spacing w:before="0" w:beforeAutospacing="0" w:after="0" w:afterAutospacing="0"/>
        <w:rPr>
          <w:sz w:val="28"/>
          <w:szCs w:val="28"/>
        </w:rPr>
      </w:pPr>
      <w:r>
        <w:rPr>
          <w:sz w:val="28"/>
          <w:szCs w:val="28"/>
        </w:rPr>
        <w:t>Vnútorné účtovné doklady vyplývajú z vnútornej činnosti podniku a môžu byť dvojaké:</w:t>
      </w:r>
    </w:p>
    <w:p w14:paraId="2EFF4157" w14:textId="7058388E" w:rsidR="003774FE" w:rsidRDefault="008275D8" w:rsidP="003774FE">
      <w:pPr>
        <w:pStyle w:val="Normlnywebov"/>
        <w:numPr>
          <w:ilvl w:val="1"/>
          <w:numId w:val="38"/>
        </w:numPr>
        <w:spacing w:before="0" w:beforeAutospacing="0" w:after="0" w:afterAutospacing="0"/>
        <w:rPr>
          <w:sz w:val="28"/>
          <w:szCs w:val="28"/>
        </w:rPr>
      </w:pPr>
      <w:r>
        <w:rPr>
          <w:sz w:val="28"/>
          <w:szCs w:val="28"/>
        </w:rPr>
        <w:t> Také, z ktorých názvu je zrejmé, pre aký účtovný prípad sa vystavujú</w:t>
      </w:r>
      <w:r w:rsidR="003774FE">
        <w:rPr>
          <w:sz w:val="28"/>
          <w:szCs w:val="28"/>
        </w:rPr>
        <w:t>.</w:t>
      </w:r>
    </w:p>
    <w:p w14:paraId="2C79F20F" w14:textId="05679A63" w:rsidR="003774FE" w:rsidRDefault="003774FE" w:rsidP="003774FE">
      <w:pPr>
        <w:pStyle w:val="Normlnywebov"/>
        <w:numPr>
          <w:ilvl w:val="2"/>
          <w:numId w:val="38"/>
        </w:numPr>
        <w:spacing w:before="0" w:beforeAutospacing="0" w:after="0" w:afterAutospacing="0"/>
        <w:rPr>
          <w:sz w:val="28"/>
          <w:szCs w:val="28"/>
        </w:rPr>
      </w:pPr>
      <w:r>
        <w:rPr>
          <w:sz w:val="28"/>
          <w:szCs w:val="28"/>
        </w:rPr>
        <w:t>Pokladničné doklady, príjemka, výdajka</w:t>
      </w:r>
    </w:p>
    <w:p w14:paraId="2BBDACE1" w14:textId="461BB229" w:rsidR="003774FE" w:rsidRDefault="003774FE" w:rsidP="003774FE">
      <w:pPr>
        <w:pStyle w:val="Normlnywebov"/>
        <w:numPr>
          <w:ilvl w:val="2"/>
          <w:numId w:val="38"/>
        </w:numPr>
        <w:spacing w:before="0" w:beforeAutospacing="0" w:after="0" w:afterAutospacing="0"/>
        <w:rPr>
          <w:sz w:val="28"/>
          <w:szCs w:val="28"/>
        </w:rPr>
      </w:pPr>
      <w:r>
        <w:rPr>
          <w:sz w:val="28"/>
          <w:szCs w:val="28"/>
        </w:rPr>
        <w:t>Možno ich kúpiť ako predtlačený formulár, alebo si ich podnik tlačí priamo z počítača.</w:t>
      </w:r>
    </w:p>
    <w:p w14:paraId="40AA6D90" w14:textId="77777777" w:rsidR="003774FE" w:rsidRDefault="003774FE" w:rsidP="003774FE">
      <w:pPr>
        <w:pStyle w:val="Normlnywebov"/>
        <w:spacing w:before="0" w:beforeAutospacing="0" w:after="0" w:afterAutospacing="0"/>
        <w:rPr>
          <w:sz w:val="28"/>
          <w:szCs w:val="28"/>
        </w:rPr>
      </w:pPr>
    </w:p>
    <w:p w14:paraId="10DA6FBA" w14:textId="08CDB773" w:rsidR="003774FE" w:rsidRDefault="003774FE" w:rsidP="003774FE">
      <w:pPr>
        <w:pStyle w:val="Normlnywebov"/>
        <w:numPr>
          <w:ilvl w:val="1"/>
          <w:numId w:val="38"/>
        </w:numPr>
        <w:spacing w:before="0" w:beforeAutospacing="0" w:after="0" w:afterAutospacing="0"/>
        <w:rPr>
          <w:sz w:val="28"/>
          <w:szCs w:val="28"/>
        </w:rPr>
      </w:pPr>
      <w:r>
        <w:rPr>
          <w:sz w:val="28"/>
          <w:szCs w:val="28"/>
        </w:rPr>
        <w:lastRenderedPageBreak/>
        <w:t> Také, ktoré majú všeobecný tvar a podnik si ich obsah naplní podľa potreby.</w:t>
      </w:r>
    </w:p>
    <w:p w14:paraId="396EED05" w14:textId="5FF9DD97" w:rsidR="003774FE" w:rsidRDefault="003774FE" w:rsidP="003774FE">
      <w:pPr>
        <w:pStyle w:val="Normlnywebov"/>
        <w:numPr>
          <w:ilvl w:val="2"/>
          <w:numId w:val="38"/>
        </w:numPr>
        <w:spacing w:before="0" w:beforeAutospacing="0" w:after="0" w:afterAutospacing="0"/>
        <w:rPr>
          <w:sz w:val="28"/>
          <w:szCs w:val="28"/>
        </w:rPr>
      </w:pPr>
      <w:r>
        <w:rPr>
          <w:sz w:val="28"/>
          <w:szCs w:val="28"/>
        </w:rPr>
        <w:t>Na základe nich sa účtuj</w:t>
      </w:r>
      <w:r w:rsidR="00487408">
        <w:rPr>
          <w:sz w:val="28"/>
          <w:szCs w:val="28"/>
        </w:rPr>
        <w:t>ú</w:t>
      </w:r>
      <w:r>
        <w:rPr>
          <w:sz w:val="28"/>
          <w:szCs w:val="28"/>
        </w:rPr>
        <w:t xml:space="preserve"> prípady, pre ktoré nie je osobitný druh dokladu.</w:t>
      </w:r>
    </w:p>
    <w:p w14:paraId="2F98D5B5" w14:textId="39D83D95" w:rsidR="003774FE" w:rsidRDefault="003774FE" w:rsidP="003774FE">
      <w:pPr>
        <w:pStyle w:val="Normlnywebov"/>
        <w:numPr>
          <w:ilvl w:val="2"/>
          <w:numId w:val="38"/>
        </w:numPr>
        <w:spacing w:before="0" w:beforeAutospacing="0" w:after="0" w:afterAutospacing="0"/>
        <w:rPr>
          <w:sz w:val="28"/>
          <w:szCs w:val="28"/>
        </w:rPr>
      </w:pPr>
      <w:r>
        <w:rPr>
          <w:sz w:val="28"/>
          <w:szCs w:val="28"/>
        </w:rPr>
        <w:t>Odpisy dlhodobého majetku, rozdelenie výsledku hospodárenia, oprava chybných účtovných zápisov, uzavieranie/otváranie účtovných kníh</w:t>
      </w:r>
    </w:p>
    <w:p w14:paraId="5DC5108C" w14:textId="77777777" w:rsidR="001E6E07" w:rsidRDefault="001E6E07" w:rsidP="001E6E07">
      <w:pPr>
        <w:pStyle w:val="Normlnywebov"/>
        <w:spacing w:before="0" w:beforeAutospacing="0" w:after="0" w:afterAutospacing="0"/>
        <w:rPr>
          <w:sz w:val="28"/>
          <w:szCs w:val="28"/>
        </w:rPr>
      </w:pPr>
    </w:p>
    <w:p w14:paraId="4EC52380" w14:textId="184C42DD" w:rsidR="001E6E07" w:rsidRDefault="001E6E07" w:rsidP="001E6E07">
      <w:pPr>
        <w:pStyle w:val="Normlnywebov"/>
        <w:numPr>
          <w:ilvl w:val="0"/>
          <w:numId w:val="39"/>
        </w:numPr>
        <w:spacing w:before="0" w:beforeAutospacing="0" w:after="0" w:afterAutospacing="0"/>
        <w:rPr>
          <w:sz w:val="28"/>
          <w:szCs w:val="28"/>
        </w:rPr>
      </w:pPr>
      <w:r>
        <w:rPr>
          <w:sz w:val="28"/>
          <w:szCs w:val="28"/>
        </w:rPr>
        <w:t>Podľa počtu zachytených účtovných prípadov sa účtovné doklady členia na jednotlivé a zberné:</w:t>
      </w:r>
    </w:p>
    <w:p w14:paraId="5B851446" w14:textId="0AAAEF47" w:rsidR="001E6E07" w:rsidRDefault="001E6E07" w:rsidP="001E6E07">
      <w:pPr>
        <w:pStyle w:val="Normlnywebov"/>
        <w:numPr>
          <w:ilvl w:val="1"/>
          <w:numId w:val="39"/>
        </w:numPr>
        <w:spacing w:before="0" w:beforeAutospacing="0" w:after="0" w:afterAutospacing="0"/>
        <w:rPr>
          <w:sz w:val="28"/>
          <w:szCs w:val="28"/>
        </w:rPr>
      </w:pPr>
      <w:r>
        <w:rPr>
          <w:sz w:val="28"/>
          <w:szCs w:val="28"/>
        </w:rPr>
        <w:t> Jednotlivé účtovné doklady slúžia na zaúčtovanie jedného účtovného prípadu. Napríklad: faktúra od dodávateľa, príjmový/výdavkový pokladničný blok.</w:t>
      </w:r>
    </w:p>
    <w:p w14:paraId="4F2413B8" w14:textId="3CBAA9E9" w:rsidR="001E6E07" w:rsidRDefault="001E6E07" w:rsidP="001E6E07">
      <w:pPr>
        <w:pStyle w:val="Normlnywebov"/>
        <w:numPr>
          <w:ilvl w:val="1"/>
          <w:numId w:val="39"/>
        </w:numPr>
        <w:spacing w:before="0" w:beforeAutospacing="0" w:after="0" w:afterAutospacing="0"/>
        <w:rPr>
          <w:sz w:val="28"/>
          <w:szCs w:val="28"/>
        </w:rPr>
      </w:pPr>
      <w:r>
        <w:rPr>
          <w:sz w:val="28"/>
          <w:szCs w:val="28"/>
        </w:rPr>
        <w:t> Zberné účtovné doklady vznikajú zhrnutím viacerých dokladov rovnakého typu do jedného zberného účtovného dokladu. Spájajú rovnaké hospodárske operácie tak, aby sa mohli zaúčtovať jedným účtovným zápisom. Zberný účtovný doklad sa môže vystavovať za každý deň alebo za dlhšie obdobie (max. jeden mesiac)</w:t>
      </w:r>
    </w:p>
    <w:p w14:paraId="12CB95D4" w14:textId="77777777" w:rsidR="00344985" w:rsidRDefault="00344985" w:rsidP="00344985">
      <w:pPr>
        <w:pStyle w:val="Normlnywebov"/>
        <w:spacing w:before="0" w:beforeAutospacing="0" w:after="0" w:afterAutospacing="0"/>
        <w:rPr>
          <w:sz w:val="28"/>
          <w:szCs w:val="28"/>
        </w:rPr>
      </w:pPr>
    </w:p>
    <w:p w14:paraId="4DC80A41" w14:textId="6D6B3CB9" w:rsidR="00344985" w:rsidRDefault="00344985" w:rsidP="00344985">
      <w:pPr>
        <w:pStyle w:val="Normlnywebov"/>
        <w:spacing w:before="0" w:beforeAutospacing="0" w:after="0" w:afterAutospacing="0"/>
        <w:jc w:val="center"/>
        <w:rPr>
          <w:sz w:val="36"/>
          <w:szCs w:val="36"/>
        </w:rPr>
      </w:pPr>
      <w:r>
        <w:rPr>
          <w:sz w:val="36"/>
          <w:szCs w:val="36"/>
        </w:rPr>
        <w:t>3.5.3 Náležitosti účtovných dokladov</w:t>
      </w:r>
    </w:p>
    <w:p w14:paraId="582A54F3" w14:textId="77777777" w:rsidR="00344985" w:rsidRDefault="00344985" w:rsidP="00344985">
      <w:pPr>
        <w:pStyle w:val="Normlnywebov"/>
        <w:spacing w:before="0" w:beforeAutospacing="0" w:after="0" w:afterAutospacing="0"/>
        <w:jc w:val="center"/>
        <w:rPr>
          <w:sz w:val="36"/>
          <w:szCs w:val="36"/>
        </w:rPr>
      </w:pPr>
    </w:p>
    <w:p w14:paraId="71B953C8" w14:textId="6DD14CC2" w:rsidR="00344985" w:rsidRDefault="00344985" w:rsidP="00344985">
      <w:pPr>
        <w:pStyle w:val="Normlnywebov"/>
        <w:numPr>
          <w:ilvl w:val="0"/>
          <w:numId w:val="39"/>
        </w:numPr>
        <w:spacing w:before="0" w:beforeAutospacing="0" w:after="0" w:afterAutospacing="0"/>
        <w:rPr>
          <w:sz w:val="28"/>
          <w:szCs w:val="28"/>
        </w:rPr>
      </w:pPr>
      <w:r>
        <w:rPr>
          <w:sz w:val="28"/>
          <w:szCs w:val="28"/>
        </w:rPr>
        <w:t>Všetky doklady musia obsahovať údaje stanovené zákonom o účtovníctve, ktoré sa označujú ako náležitosti účtovných dokladov.</w:t>
      </w:r>
    </w:p>
    <w:p w14:paraId="26B7E722" w14:textId="0D69FB43" w:rsidR="00344985" w:rsidRDefault="00344985" w:rsidP="00344985">
      <w:pPr>
        <w:pStyle w:val="Normlnywebov"/>
        <w:numPr>
          <w:ilvl w:val="0"/>
          <w:numId w:val="39"/>
        </w:numPr>
        <w:spacing w:before="0" w:beforeAutospacing="0" w:after="0" w:afterAutospacing="0"/>
        <w:rPr>
          <w:sz w:val="28"/>
          <w:szCs w:val="28"/>
        </w:rPr>
      </w:pPr>
      <w:r>
        <w:rPr>
          <w:sz w:val="28"/>
          <w:szCs w:val="28"/>
        </w:rPr>
        <w:t>Náležitosti účtovného dokladu sa môžu umiestniť len na účtovnom doklade</w:t>
      </w:r>
    </w:p>
    <w:p w14:paraId="3360A1E5" w14:textId="6C42C1FA" w:rsidR="00344985" w:rsidRDefault="00344985" w:rsidP="00344985">
      <w:pPr>
        <w:pStyle w:val="Normlnywebov"/>
        <w:numPr>
          <w:ilvl w:val="0"/>
          <w:numId w:val="39"/>
        </w:numPr>
        <w:spacing w:before="0" w:beforeAutospacing="0" w:after="0" w:afterAutospacing="0"/>
        <w:rPr>
          <w:sz w:val="28"/>
          <w:szCs w:val="28"/>
        </w:rPr>
      </w:pPr>
      <w:r>
        <w:rPr>
          <w:sz w:val="28"/>
          <w:szCs w:val="28"/>
        </w:rPr>
        <w:t>Účtovné doklady sú zároveň aj daňovými dokladmi, preto sa niektoré z nich dopĺňajú aj náležitosťami daňových dokladov, napríklad: IČO – identifikačné číslo organizácie, DIČ – daňové identifikačné číslo</w:t>
      </w:r>
    </w:p>
    <w:p w14:paraId="3147DDF9" w14:textId="7C1AA646" w:rsidR="000D71E4" w:rsidRDefault="000D71E4" w:rsidP="00344985">
      <w:pPr>
        <w:pStyle w:val="Normlnywebov"/>
        <w:numPr>
          <w:ilvl w:val="0"/>
          <w:numId w:val="39"/>
        </w:numPr>
        <w:spacing w:before="0" w:beforeAutospacing="0" w:after="0" w:afterAutospacing="0"/>
        <w:rPr>
          <w:sz w:val="28"/>
          <w:szCs w:val="28"/>
        </w:rPr>
      </w:pPr>
      <w:r>
        <w:rPr>
          <w:sz w:val="28"/>
          <w:szCs w:val="28"/>
        </w:rPr>
        <w:t>Aktuálne náležitosti:</w:t>
      </w:r>
    </w:p>
    <w:p w14:paraId="20C7A633" w14:textId="77777777" w:rsidR="000D71E4" w:rsidRDefault="000D71E4" w:rsidP="000D71E4">
      <w:pPr>
        <w:pStyle w:val="Normlnywebov"/>
        <w:spacing w:before="0" w:beforeAutospacing="0" w:after="0" w:afterAutospacing="0"/>
        <w:rPr>
          <w:sz w:val="28"/>
          <w:szCs w:val="28"/>
        </w:rPr>
      </w:pPr>
    </w:p>
    <w:p w14:paraId="77C10D21" w14:textId="77777777" w:rsidR="000D71E4" w:rsidRDefault="000D71E4" w:rsidP="000D71E4">
      <w:pPr>
        <w:pStyle w:val="Normlnywebov"/>
        <w:spacing w:before="0" w:beforeAutospacing="0" w:after="0" w:afterAutospacing="0"/>
        <w:rPr>
          <w:sz w:val="28"/>
          <w:szCs w:val="28"/>
        </w:rPr>
      </w:pPr>
    </w:p>
    <w:p w14:paraId="59191AE9" w14:textId="60AC833F" w:rsidR="000D71E4" w:rsidRPr="000D71E4" w:rsidRDefault="000D71E4" w:rsidP="000D71E4">
      <w:pPr>
        <w:pStyle w:val="Normlnywebov"/>
        <w:spacing w:before="0" w:beforeAutospacing="0" w:after="0" w:afterAutospacing="0"/>
        <w:jc w:val="center"/>
        <w:rPr>
          <w:color w:val="BFBFBF" w:themeColor="background1" w:themeShade="BF"/>
          <w:sz w:val="28"/>
          <w:szCs w:val="28"/>
        </w:rPr>
      </w:pPr>
      <w:r>
        <w:rPr>
          <w:color w:val="BFBFBF" w:themeColor="background1" w:themeShade="BF"/>
          <w:sz w:val="28"/>
          <w:szCs w:val="28"/>
        </w:rPr>
        <w:t>Nalepiť papier od Krížovej</w:t>
      </w:r>
    </w:p>
    <w:sectPr w:rsidR="000D71E4" w:rsidRPr="000D71E4" w:rsidSect="007E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18"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4272227"/>
    <w:multiLevelType w:val="hybridMultilevel"/>
    <w:tmpl w:val="D48A5C5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84E25E8"/>
    <w:multiLevelType w:val="hybridMultilevel"/>
    <w:tmpl w:val="F62206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8"/>
  </w:num>
  <w:num w:numId="2" w16cid:durableId="566380635">
    <w:abstractNumId w:val="3"/>
  </w:num>
  <w:num w:numId="3" w16cid:durableId="501357192">
    <w:abstractNumId w:val="2"/>
  </w:num>
  <w:num w:numId="4" w16cid:durableId="1951545110">
    <w:abstractNumId w:val="6"/>
  </w:num>
  <w:num w:numId="5" w16cid:durableId="520365428">
    <w:abstractNumId w:val="37"/>
  </w:num>
  <w:num w:numId="6" w16cid:durableId="1458832693">
    <w:abstractNumId w:val="31"/>
  </w:num>
  <w:num w:numId="7" w16cid:durableId="1803887548">
    <w:abstractNumId w:val="10"/>
  </w:num>
  <w:num w:numId="8" w16cid:durableId="753475714">
    <w:abstractNumId w:val="28"/>
  </w:num>
  <w:num w:numId="9" w16cid:durableId="293633714">
    <w:abstractNumId w:val="22"/>
  </w:num>
  <w:num w:numId="10" w16cid:durableId="1488279199">
    <w:abstractNumId w:val="26"/>
  </w:num>
  <w:num w:numId="11" w16cid:durableId="324403300">
    <w:abstractNumId w:val="11"/>
  </w:num>
  <w:num w:numId="12" w16cid:durableId="1097362109">
    <w:abstractNumId w:val="15"/>
  </w:num>
  <w:num w:numId="13" w16cid:durableId="1863399784">
    <w:abstractNumId w:val="19"/>
  </w:num>
  <w:num w:numId="14" w16cid:durableId="514802809">
    <w:abstractNumId w:val="1"/>
  </w:num>
  <w:num w:numId="15" w16cid:durableId="581522598">
    <w:abstractNumId w:val="12"/>
  </w:num>
  <w:num w:numId="16" w16cid:durableId="1704281196">
    <w:abstractNumId w:val="5"/>
  </w:num>
  <w:num w:numId="17" w16cid:durableId="271403447">
    <w:abstractNumId w:val="17"/>
  </w:num>
  <w:num w:numId="18" w16cid:durableId="2055805835">
    <w:abstractNumId w:val="30"/>
  </w:num>
  <w:num w:numId="19" w16cid:durableId="369885513">
    <w:abstractNumId w:val="35"/>
  </w:num>
  <w:num w:numId="20" w16cid:durableId="595479797">
    <w:abstractNumId w:val="4"/>
  </w:num>
  <w:num w:numId="21" w16cid:durableId="1215309297">
    <w:abstractNumId w:val="18"/>
  </w:num>
  <w:num w:numId="22" w16cid:durableId="1139375377">
    <w:abstractNumId w:val="24"/>
  </w:num>
  <w:num w:numId="23" w16cid:durableId="391083298">
    <w:abstractNumId w:val="25"/>
  </w:num>
  <w:num w:numId="24" w16cid:durableId="602958452">
    <w:abstractNumId w:val="13"/>
  </w:num>
  <w:num w:numId="25" w16cid:durableId="2069063729">
    <w:abstractNumId w:val="34"/>
  </w:num>
  <w:num w:numId="26" w16cid:durableId="431048806">
    <w:abstractNumId w:val="14"/>
  </w:num>
  <w:num w:numId="27" w16cid:durableId="188686619">
    <w:abstractNumId w:val="20"/>
  </w:num>
  <w:num w:numId="28" w16cid:durableId="551817815">
    <w:abstractNumId w:val="21"/>
  </w:num>
  <w:num w:numId="29" w16cid:durableId="1783449665">
    <w:abstractNumId w:val="16"/>
  </w:num>
  <w:num w:numId="30" w16cid:durableId="2072843665">
    <w:abstractNumId w:val="38"/>
  </w:num>
  <w:num w:numId="31" w16cid:durableId="746533406">
    <w:abstractNumId w:val="29"/>
  </w:num>
  <w:num w:numId="32" w16cid:durableId="507519777">
    <w:abstractNumId w:val="33"/>
  </w:num>
  <w:num w:numId="33" w16cid:durableId="983238158">
    <w:abstractNumId w:val="32"/>
  </w:num>
  <w:num w:numId="34" w16cid:durableId="1629429922">
    <w:abstractNumId w:val="9"/>
  </w:num>
  <w:num w:numId="35" w16cid:durableId="1226406515">
    <w:abstractNumId w:val="27"/>
  </w:num>
  <w:num w:numId="36" w16cid:durableId="1823616930">
    <w:abstractNumId w:val="0"/>
  </w:num>
  <w:num w:numId="37" w16cid:durableId="884147236">
    <w:abstractNumId w:val="7"/>
  </w:num>
  <w:num w:numId="38" w16cid:durableId="1664434666">
    <w:abstractNumId w:val="36"/>
  </w:num>
  <w:num w:numId="39" w16cid:durableId="1573544998">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D346E"/>
    <w:rsid w:val="000D71E4"/>
    <w:rsid w:val="000E533F"/>
    <w:rsid w:val="000E6324"/>
    <w:rsid w:val="00101ED8"/>
    <w:rsid w:val="001B5FE1"/>
    <w:rsid w:val="001E6E07"/>
    <w:rsid w:val="00271678"/>
    <w:rsid w:val="00282282"/>
    <w:rsid w:val="00293BD5"/>
    <w:rsid w:val="00326B57"/>
    <w:rsid w:val="00344985"/>
    <w:rsid w:val="0034577A"/>
    <w:rsid w:val="003774FE"/>
    <w:rsid w:val="003817CB"/>
    <w:rsid w:val="00385698"/>
    <w:rsid w:val="003B4DF3"/>
    <w:rsid w:val="003E2160"/>
    <w:rsid w:val="00412DF9"/>
    <w:rsid w:val="0048377B"/>
    <w:rsid w:val="00487408"/>
    <w:rsid w:val="004A0FF5"/>
    <w:rsid w:val="004D127B"/>
    <w:rsid w:val="005504FD"/>
    <w:rsid w:val="00556256"/>
    <w:rsid w:val="005649F5"/>
    <w:rsid w:val="0057328B"/>
    <w:rsid w:val="00574D2D"/>
    <w:rsid w:val="00595F4A"/>
    <w:rsid w:val="00635C60"/>
    <w:rsid w:val="00654A76"/>
    <w:rsid w:val="006810F1"/>
    <w:rsid w:val="00732385"/>
    <w:rsid w:val="007326FC"/>
    <w:rsid w:val="00746169"/>
    <w:rsid w:val="007E2F47"/>
    <w:rsid w:val="00811028"/>
    <w:rsid w:val="008275D8"/>
    <w:rsid w:val="00833A70"/>
    <w:rsid w:val="009571BE"/>
    <w:rsid w:val="00957CB0"/>
    <w:rsid w:val="009A5F57"/>
    <w:rsid w:val="009D3530"/>
    <w:rsid w:val="00A47D4B"/>
    <w:rsid w:val="00AD7640"/>
    <w:rsid w:val="00BB2A1B"/>
    <w:rsid w:val="00BD4C91"/>
    <w:rsid w:val="00BE1635"/>
    <w:rsid w:val="00BE2548"/>
    <w:rsid w:val="00C003CC"/>
    <w:rsid w:val="00C023E8"/>
    <w:rsid w:val="00C6191B"/>
    <w:rsid w:val="00C70FFB"/>
    <w:rsid w:val="00CF4502"/>
    <w:rsid w:val="00D55B70"/>
    <w:rsid w:val="00E62EFA"/>
    <w:rsid w:val="00E72619"/>
    <w:rsid w:val="00EA6422"/>
    <w:rsid w:val="00F22359"/>
    <w:rsid w:val="00FB5881"/>
    <w:rsid w:val="00FD2622"/>
    <w:rsid w:val="00FE2F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28</Pages>
  <Words>4071</Words>
  <Characters>23210</Characters>
  <Application>Microsoft Office Word</Application>
  <DocSecurity>0</DocSecurity>
  <Lines>193</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34</cp:revision>
  <cp:lastPrinted>2023-09-18T15:51:00Z</cp:lastPrinted>
  <dcterms:created xsi:type="dcterms:W3CDTF">2023-09-13T17:22:00Z</dcterms:created>
  <dcterms:modified xsi:type="dcterms:W3CDTF">2024-01-10T17:41:00Z</dcterms:modified>
</cp:coreProperties>
</file>