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22724" w14:textId="77777777" w:rsidR="00003683" w:rsidRPr="00003683" w:rsidRDefault="00003683" w:rsidP="00003683">
      <w:pPr>
        <w:spacing w:line="259" w:lineRule="auto"/>
        <w:jc w:val="center"/>
        <w:rPr>
          <w:rFonts w:ascii="Times New Roman" w:eastAsia="Calibri" w:hAnsi="Times New Roman" w:cs="Times New Roman"/>
          <w:sz w:val="160"/>
          <w:szCs w:val="160"/>
        </w:rPr>
      </w:pPr>
    </w:p>
    <w:p w14:paraId="6044802B" w14:textId="6791659D" w:rsidR="00003683" w:rsidRPr="00003683" w:rsidRDefault="00003683" w:rsidP="00003683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sz w:val="144"/>
          <w:szCs w:val="144"/>
        </w:rPr>
      </w:pPr>
      <w:r w:rsidRPr="00003683">
        <w:rPr>
          <w:rFonts w:ascii="Times New Roman" w:eastAsia="Calibri" w:hAnsi="Times New Roman" w:cs="Times New Roman"/>
          <w:b/>
          <w:bCs/>
          <w:sz w:val="144"/>
          <w:szCs w:val="144"/>
        </w:rPr>
        <w:t>Účtovníctvo 2</w:t>
      </w:r>
    </w:p>
    <w:p w14:paraId="3A7B7758" w14:textId="2D9E4555" w:rsidR="004238B2" w:rsidRDefault="00003683" w:rsidP="004238B2">
      <w:pPr>
        <w:spacing w:line="259" w:lineRule="auto"/>
        <w:jc w:val="center"/>
        <w:rPr>
          <w:rFonts w:ascii="Times New Roman" w:eastAsia="Calibri" w:hAnsi="Times New Roman" w:cs="Times New Roman"/>
          <w:sz w:val="72"/>
          <w:szCs w:val="72"/>
        </w:rPr>
      </w:pPr>
      <w:r w:rsidRPr="00003683">
        <w:rPr>
          <w:rFonts w:ascii="Times New Roman" w:eastAsia="Calibri" w:hAnsi="Times New Roman" w:cs="Times New Roman"/>
          <w:sz w:val="72"/>
          <w:szCs w:val="72"/>
        </w:rPr>
        <w:t xml:space="preserve">Pavol Drozdík </w:t>
      </w:r>
      <w:r>
        <w:rPr>
          <w:rFonts w:ascii="Times New Roman" w:eastAsia="Calibri" w:hAnsi="Times New Roman" w:cs="Times New Roman"/>
          <w:sz w:val="72"/>
          <w:szCs w:val="72"/>
        </w:rPr>
        <w:t>4</w:t>
      </w:r>
      <w:r w:rsidRPr="00003683">
        <w:rPr>
          <w:rFonts w:ascii="Times New Roman" w:eastAsia="Calibri" w:hAnsi="Times New Roman" w:cs="Times New Roman"/>
          <w:sz w:val="72"/>
          <w:szCs w:val="72"/>
        </w:rPr>
        <w:t>.H</w:t>
      </w:r>
    </w:p>
    <w:p w14:paraId="65434BA2" w14:textId="61B97D10" w:rsidR="004238B2" w:rsidRDefault="004238B2">
      <w:pPr>
        <w:rPr>
          <w:rFonts w:ascii="Times New Roman" w:eastAsia="Calibri" w:hAnsi="Times New Roman" w:cs="Times New Roman"/>
          <w:sz w:val="72"/>
          <w:szCs w:val="72"/>
        </w:rPr>
      </w:pPr>
      <w:r>
        <w:rPr>
          <w:rFonts w:ascii="Times New Roman" w:eastAsia="Calibri" w:hAnsi="Times New Roman" w:cs="Times New Roman"/>
          <w:sz w:val="72"/>
          <w:szCs w:val="72"/>
        </w:rPr>
        <w:br w:type="page"/>
      </w:r>
    </w:p>
    <w:p w14:paraId="56C81FEC" w14:textId="057539F4" w:rsidR="00EA1689" w:rsidRPr="00EA1689" w:rsidRDefault="00EA1689" w:rsidP="00EA1689">
      <w:pPr>
        <w:spacing w:after="0" w:line="259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EA1689">
        <w:rPr>
          <w:rFonts w:ascii="Times New Roman" w:eastAsia="Calibri" w:hAnsi="Times New Roman" w:cs="Times New Roman"/>
          <w:sz w:val="52"/>
          <w:szCs w:val="52"/>
        </w:rPr>
        <w:lastRenderedPageBreak/>
        <w:t>1.</w:t>
      </w:r>
      <w:r>
        <w:rPr>
          <w:rFonts w:ascii="Times New Roman" w:eastAsia="Calibri" w:hAnsi="Times New Roman" w:cs="Times New Roman"/>
          <w:sz w:val="52"/>
          <w:szCs w:val="52"/>
        </w:rPr>
        <w:t xml:space="preserve"> </w:t>
      </w:r>
      <w:r w:rsidR="004238B2" w:rsidRPr="00EA1689">
        <w:rPr>
          <w:rFonts w:ascii="Times New Roman" w:eastAsia="Calibri" w:hAnsi="Times New Roman" w:cs="Times New Roman"/>
          <w:sz w:val="52"/>
          <w:szCs w:val="52"/>
        </w:rPr>
        <w:t>Finančné účty</w:t>
      </w:r>
    </w:p>
    <w:p w14:paraId="01559E25" w14:textId="4CF464DA" w:rsidR="004238B2" w:rsidRDefault="00EA1689" w:rsidP="00EA1689">
      <w:pPr>
        <w:spacing w:after="0" w:line="259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1.1 </w:t>
      </w:r>
      <w:r w:rsidR="004238B2" w:rsidRPr="00EA1689">
        <w:rPr>
          <w:rFonts w:ascii="Times New Roman" w:eastAsia="Calibri" w:hAnsi="Times New Roman" w:cs="Times New Roman"/>
          <w:sz w:val="36"/>
          <w:szCs w:val="36"/>
        </w:rPr>
        <w:t>Podstata finančných účtov</w:t>
      </w:r>
    </w:p>
    <w:p w14:paraId="6E852AEC" w14:textId="77777777" w:rsidR="00EA1689" w:rsidRDefault="00EA1689" w:rsidP="00EA16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</w:p>
    <w:p w14:paraId="5CE46F02" w14:textId="73EB9B4D" w:rsidR="00EA1689" w:rsidRPr="00EA1689" w:rsidRDefault="00EA1689" w:rsidP="00EA16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Ú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čtuje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sa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o krátkodobom finančnom majetku a krátkodobých finančných zdrojoch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.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. </w:t>
      </w:r>
    </w:p>
    <w:p w14:paraId="4BCF7F56" w14:textId="77777777" w:rsidR="00EA1689" w:rsidRPr="00EA1689" w:rsidRDefault="00EA1689" w:rsidP="00EA16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Krátkodobým finančným majetkom sú: </w:t>
      </w:r>
    </w:p>
    <w:p w14:paraId="1713B1BF" w14:textId="3734540C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eňažné hotovosti účtovnej jednotky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a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ekvivalenty peňažných hotovostí</w:t>
      </w:r>
    </w:p>
    <w:p w14:paraId="6996B25E" w14:textId="1623F61C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Ú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čty v bankách,</w:t>
      </w:r>
    </w:p>
    <w:p w14:paraId="5545B303" w14:textId="2563FEB9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M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ajetok účtovaný v účtovej skupine 25 - Krátkodobý finančný majetok </w:t>
      </w:r>
    </w:p>
    <w:p w14:paraId="0C5914DB" w14:textId="2C3FAD8E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eniaze na ceste účtované na účte 261 - Peniaze na ceste.</w:t>
      </w:r>
    </w:p>
    <w:p w14:paraId="60CB6500" w14:textId="29DC87F9" w:rsidR="00EA1689" w:rsidRPr="00EA1689" w:rsidRDefault="00EA1689" w:rsidP="00EA16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Charakteristickými črtami krátkodobého finančného majetku teda sú:</w:t>
      </w:r>
    </w:p>
    <w:p w14:paraId="75EE8956" w14:textId="5EE7697F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redpokladaná držba alebo dohodnutá splatnosť do jedného roka,</w:t>
      </w:r>
    </w:p>
    <w:p w14:paraId="5B17AE5D" w14:textId="68B90492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V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ysoká likvidnosť,</w:t>
      </w:r>
    </w:p>
    <w:p w14:paraId="1FD594F1" w14:textId="10CAF162" w:rsidR="00EB1B3F" w:rsidRPr="00EB1B3F" w:rsidRDefault="00EA1689" w:rsidP="00EB1B3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Be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zprostredná obchodovateľnosť.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2819"/>
        <w:gridCol w:w="6095"/>
      </w:tblGrid>
      <w:tr w:rsidR="00EB1B3F" w14:paraId="7B10B681" w14:textId="77777777" w:rsidTr="00EB1B3F">
        <w:tc>
          <w:tcPr>
            <w:tcW w:w="2819" w:type="dxa"/>
          </w:tcPr>
          <w:p w14:paraId="4FA8F2D6" w14:textId="6963DAE1" w:rsid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  <w:t>Účtová trieda</w:t>
            </w:r>
          </w:p>
        </w:tc>
        <w:tc>
          <w:tcPr>
            <w:tcW w:w="6095" w:type="dxa"/>
          </w:tcPr>
          <w:p w14:paraId="1F78DF06" w14:textId="1739AF49" w:rsid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sk-SK"/>
                <w14:ligatures w14:val="none"/>
              </w:rPr>
              <w:t>Obsahové zameranie</w:t>
            </w:r>
          </w:p>
        </w:tc>
      </w:tr>
      <w:tr w:rsidR="00EB1B3F" w14:paraId="283680B5" w14:textId="77777777" w:rsidTr="00EB1B3F">
        <w:tc>
          <w:tcPr>
            <w:tcW w:w="2819" w:type="dxa"/>
          </w:tcPr>
          <w:p w14:paraId="4B365E16" w14:textId="35A8AD8E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21 – Peniaze</w:t>
            </w:r>
          </w:p>
        </w:tc>
        <w:tc>
          <w:tcPr>
            <w:tcW w:w="6095" w:type="dxa"/>
          </w:tcPr>
          <w:p w14:paraId="5753EE98" w14:textId="50348634" w:rsidR="00EB1B3F" w:rsidRPr="00EB1B3F" w:rsidRDefault="00EB1B3F" w:rsidP="00EB1B3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Peniaze v hotovosti v eurách a v cudzej mene,</w:t>
            </w:r>
          </w:p>
          <w:p w14:paraId="73E8DEE7" w14:textId="26357590" w:rsidR="00EB1B3F" w:rsidRPr="00EB1B3F" w:rsidRDefault="00EB1B3F" w:rsidP="00EB1B3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Šeky,  poukážky na zúčtovanie</w:t>
            </w:r>
          </w:p>
          <w:p w14:paraId="1C027CA1" w14:textId="6B029937" w:rsidR="00EB1B3F" w:rsidRPr="00EB1B3F" w:rsidRDefault="00EB1B3F" w:rsidP="00EB1B3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Poštové známky,  kolky, telefónne a ostatné karty s hodnotou</w:t>
            </w:r>
          </w:p>
          <w:p w14:paraId="7FC44921" w14:textId="24A8FC46" w:rsidR="00EB1B3F" w:rsidRPr="00EB1B3F" w:rsidRDefault="00EB1B3F" w:rsidP="00EB1B3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</w:t>
            </w: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Stravné lístky verejného stravovania a pod.</w:t>
            </w:r>
          </w:p>
        </w:tc>
      </w:tr>
      <w:tr w:rsidR="00EB1B3F" w14:paraId="35277517" w14:textId="77777777" w:rsidTr="00EB1B3F">
        <w:tc>
          <w:tcPr>
            <w:tcW w:w="2819" w:type="dxa"/>
          </w:tcPr>
          <w:p w14:paraId="4DF47433" w14:textId="7A4573E4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22 – Účty v bankách</w:t>
            </w:r>
          </w:p>
        </w:tc>
        <w:tc>
          <w:tcPr>
            <w:tcW w:w="6095" w:type="dxa"/>
          </w:tcPr>
          <w:p w14:paraId="361A9734" w14:textId="026C04CD" w:rsidR="00EB1B3F" w:rsidRPr="00EB1B3F" w:rsidRDefault="00EB1B3F" w:rsidP="00EB1B3F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 w:rsidRPr="00EB1B3F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 Bežné, vkladové a devízové účty v bankách</w:t>
            </w:r>
          </w:p>
        </w:tc>
      </w:tr>
      <w:tr w:rsidR="00EB1B3F" w14:paraId="72895575" w14:textId="77777777" w:rsidTr="00EB1B3F">
        <w:tc>
          <w:tcPr>
            <w:tcW w:w="2819" w:type="dxa"/>
          </w:tcPr>
          <w:p w14:paraId="45C3CCF8" w14:textId="4A4FFDE7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23 – Bežné bankové úvery</w:t>
            </w:r>
          </w:p>
        </w:tc>
        <w:tc>
          <w:tcPr>
            <w:tcW w:w="6095" w:type="dxa"/>
          </w:tcPr>
          <w:p w14:paraId="5756B3E1" w14:textId="77777777" w:rsid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Krátkodobé bankové úvery s dobou splatnosti najviac jeden rok</w:t>
            </w:r>
          </w:p>
          <w:p w14:paraId="039B293A" w14:textId="5E2DEB31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Eskontné úvery poskytnuté bankou na eskontné zmenky, príp.   iné cenné papiere, ktoré do času ich splatnosti prevzala banka na inkaso</w:t>
            </w:r>
          </w:p>
        </w:tc>
      </w:tr>
      <w:tr w:rsidR="00EB1B3F" w14:paraId="0F1DBB73" w14:textId="77777777" w:rsidTr="00EB1B3F">
        <w:tc>
          <w:tcPr>
            <w:tcW w:w="2819" w:type="dxa"/>
          </w:tcPr>
          <w:p w14:paraId="19A05CF9" w14:textId="2299BA36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24 – Iné krátkodobé finančné výpomoci</w:t>
            </w:r>
          </w:p>
        </w:tc>
        <w:tc>
          <w:tcPr>
            <w:tcW w:w="6095" w:type="dxa"/>
          </w:tcPr>
          <w:p w14:paraId="040F66A3" w14:textId="77777777" w:rsid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Záväzky z vydaných krátkodobých dlhopisov,</w:t>
            </w:r>
          </w:p>
          <w:p w14:paraId="381B6C7D" w14:textId="1859B03B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Iné záväzky, napr. z poskytnutej pôžičky od iných osôb (nie banky)</w:t>
            </w:r>
          </w:p>
        </w:tc>
      </w:tr>
      <w:tr w:rsidR="00EB1B3F" w14:paraId="253D26D9" w14:textId="77777777" w:rsidTr="00EB1B3F">
        <w:tc>
          <w:tcPr>
            <w:tcW w:w="2819" w:type="dxa"/>
          </w:tcPr>
          <w:p w14:paraId="02ACDB8F" w14:textId="0A37F9B9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25 – Krátkodobý finančný majetok</w:t>
            </w:r>
          </w:p>
        </w:tc>
        <w:tc>
          <w:tcPr>
            <w:tcW w:w="6095" w:type="dxa"/>
          </w:tcPr>
          <w:p w14:paraId="0EE15313" w14:textId="77777777" w:rsid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Majetkové cenné papiere určené na predaj</w:t>
            </w:r>
          </w:p>
          <w:p w14:paraId="1425D92C" w14:textId="77777777" w:rsid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Vlastné akcie a vlastné obchodné podiely, ktoré účtovná jednotka dočasne podržala</w:t>
            </w:r>
          </w:p>
          <w:p w14:paraId="0DE366FC" w14:textId="5E08874C" w:rsid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Dlhové cenné papiere úverového charakteru s cieľom obchodovania s nimi</w:t>
            </w:r>
          </w:p>
          <w:p w14:paraId="3C6FB9F1" w14:textId="3007D9F3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Vlastné dlhopisy, ktoré môže mať účtovná jednotka v držbe v súlade s právnymi predpismi</w:t>
            </w:r>
          </w:p>
        </w:tc>
      </w:tr>
      <w:tr w:rsidR="00EB1B3F" w14:paraId="6BDB06FB" w14:textId="77777777" w:rsidTr="00EB1B3F">
        <w:tc>
          <w:tcPr>
            <w:tcW w:w="2819" w:type="dxa"/>
          </w:tcPr>
          <w:p w14:paraId="36082A93" w14:textId="02B0F1D5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26 – Prevody medzi účtami</w:t>
            </w:r>
          </w:p>
        </w:tc>
        <w:tc>
          <w:tcPr>
            <w:tcW w:w="6095" w:type="dxa"/>
          </w:tcPr>
          <w:p w14:paraId="725617C6" w14:textId="5D89F11E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- Účtovanie na účte 261 – Peniaze na ceste s cieľom preklenúť časový nesúlad medzi výpismi z jednotlivých finančných účtov</w:t>
            </w:r>
          </w:p>
        </w:tc>
      </w:tr>
      <w:tr w:rsidR="00EB1B3F" w14:paraId="6FBD989E" w14:textId="77777777" w:rsidTr="00EB1B3F">
        <w:tc>
          <w:tcPr>
            <w:tcW w:w="2819" w:type="dxa"/>
          </w:tcPr>
          <w:p w14:paraId="4CA7B55B" w14:textId="365F806B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29 -  Opravné položky ku krátkodobému finančnému majetku</w:t>
            </w:r>
          </w:p>
        </w:tc>
        <w:tc>
          <w:tcPr>
            <w:tcW w:w="6095" w:type="dxa"/>
          </w:tcPr>
          <w:p w14:paraId="58E54CBB" w14:textId="5987D67F" w:rsidR="00EB1B3F" w:rsidRPr="00EB1B3F" w:rsidRDefault="00EB1B3F" w:rsidP="00EA1689">
            <w:pPr>
              <w:pStyle w:val="ListParagraph"/>
              <w:ind w:left="0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 xml:space="preserve">- Účtovanie opravných položiek k majetkovým cenným papierom a dlhovým cenným papierom </w:t>
            </w:r>
            <w:r w:rsidR="00EB406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sk-SK"/>
                <w14:ligatures w14:val="none"/>
              </w:rPr>
              <w:t>(nie však vlastným) v prípade ak predpokladané budúce ekonomické úžitky z toho majetku sú nižšie ako ich ocenenie v účtovníctve</w:t>
            </w:r>
          </w:p>
        </w:tc>
      </w:tr>
    </w:tbl>
    <w:p w14:paraId="03767AA8" w14:textId="77777777" w:rsidR="00EB1B3F" w:rsidRPr="00EA1689" w:rsidRDefault="00EB1B3F" w:rsidP="00EA1689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</w:p>
    <w:p w14:paraId="6642F2E3" w14:textId="77777777" w:rsidR="00EA1689" w:rsidRPr="00EA1689" w:rsidRDefault="00EA1689" w:rsidP="00EA16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V súlade so zákonom o účtovníctve sa krátkodobý finančný majetok a krátkodobé finančné záväzky oceňujú takto:</w:t>
      </w:r>
    </w:p>
    <w:p w14:paraId="316CED65" w14:textId="3884E14E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eňažné prostriedky a ceniny v € - menovitými hodnotami,</w:t>
      </w:r>
    </w:p>
    <w:p w14:paraId="3ADC09FE" w14:textId="6E369A2F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lastRenderedPageBreak/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eňažné prostriedky v cudzej mene (CM) sa prepočítavajú kurzom podľa platného kurzového lístka Európskej centrálnej banky (ECB) alebo Národnej banky Slovenska (NBS), a to:</w:t>
      </w:r>
    </w:p>
    <w:p w14:paraId="267827FF" w14:textId="5D9C3FC3" w:rsidR="00EA1689" w:rsidRPr="00EA1689" w:rsidRDefault="00EA1689" w:rsidP="00EA168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u dňu uskutočnenia účtovného prípadu,</w:t>
      </w:r>
    </w:p>
    <w:p w14:paraId="3AF79F22" w14:textId="163D0401" w:rsidR="00EA1689" w:rsidRPr="00EA1689" w:rsidRDefault="00EA1689" w:rsidP="00EA168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ku dňu, ku ktorému sa zostavuje účtovná závierka, t. j. k poslednému dňu príslušného účtovného obdobia,</w:t>
      </w:r>
    </w:p>
    <w:p w14:paraId="72EA0BE7" w14:textId="6383B4D7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P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ri kúpe a predaji cudzej meny za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euro menu sa použije kurz, za ktorý boli tieto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 xml:space="preserve"> 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hodnoty nakúpené alebo predané, t. j. kurz komerčnej banky</w:t>
      </w:r>
    </w:p>
    <w:p w14:paraId="17D78452" w14:textId="06BA79CB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M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ajetkové cenné papiere (MCP) a dlhové cenné papiere (DCP) - obstarávacími cenami a pri predaji alebo inom úbytku ich možno oceniť aj cenou zistenou VAP alebo metódou FIFO (len ak ide o rovnaké druhy CP, v rovnakej mene a od rovnakých emitentov),</w:t>
      </w:r>
    </w:p>
    <w:p w14:paraId="41FC0ABE" w14:textId="59999EE2" w:rsidR="00EA1689" w:rsidRPr="00EA1689" w:rsidRDefault="00EA1689" w:rsidP="00EA168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sk-SK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K</w:t>
      </w:r>
      <w:r w:rsidRPr="00EA168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sk-SK"/>
          <w14:ligatures w14:val="none"/>
        </w:rPr>
        <w:t>rátkodobé finančné záväzky - menovitými hodnotami.</w:t>
      </w:r>
    </w:p>
    <w:p w14:paraId="28CCB8B0" w14:textId="77777777" w:rsidR="00EA1689" w:rsidRPr="00EA1689" w:rsidRDefault="00EA1689" w:rsidP="00EA1689">
      <w:pPr>
        <w:spacing w:line="259" w:lineRule="auto"/>
        <w:jc w:val="center"/>
        <w:rPr>
          <w:rFonts w:ascii="Times New Roman" w:eastAsia="Calibri" w:hAnsi="Times New Roman" w:cs="Times New Roman"/>
          <w:sz w:val="52"/>
          <w:szCs w:val="52"/>
        </w:rPr>
      </w:pPr>
    </w:p>
    <w:sectPr w:rsidR="00EA1689" w:rsidRPr="00EA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34C2"/>
    <w:multiLevelType w:val="hybridMultilevel"/>
    <w:tmpl w:val="E43090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74D54E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73A8"/>
    <w:multiLevelType w:val="hybridMultilevel"/>
    <w:tmpl w:val="6DCEE99C"/>
    <w:lvl w:ilvl="0" w:tplc="4F168F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B4E0F"/>
    <w:multiLevelType w:val="hybridMultilevel"/>
    <w:tmpl w:val="15C6B9D4"/>
    <w:lvl w:ilvl="0" w:tplc="A6188C84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A651A"/>
    <w:multiLevelType w:val="hybridMultilevel"/>
    <w:tmpl w:val="97C050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756EA"/>
    <w:multiLevelType w:val="multilevel"/>
    <w:tmpl w:val="E7B482F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5" w15:restartNumberingAfterBreak="0">
    <w:nsid w:val="3CDB4E26"/>
    <w:multiLevelType w:val="hybridMultilevel"/>
    <w:tmpl w:val="23D8801C"/>
    <w:lvl w:ilvl="0" w:tplc="ABC096E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772BD"/>
    <w:multiLevelType w:val="hybridMultilevel"/>
    <w:tmpl w:val="157218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F11C6"/>
    <w:multiLevelType w:val="multilevel"/>
    <w:tmpl w:val="AEB83FFA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  <w:rPr>
        <w:rFonts w:hint="default"/>
      </w:rPr>
    </w:lvl>
  </w:abstractNum>
  <w:abstractNum w:abstractNumId="8" w15:restartNumberingAfterBreak="0">
    <w:nsid w:val="45330302"/>
    <w:multiLevelType w:val="hybridMultilevel"/>
    <w:tmpl w:val="C010988C"/>
    <w:lvl w:ilvl="0" w:tplc="95CE7212">
      <w:start w:val="2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70EAA"/>
    <w:multiLevelType w:val="hybridMultilevel"/>
    <w:tmpl w:val="89FAB56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80F93"/>
    <w:multiLevelType w:val="hybridMultilevel"/>
    <w:tmpl w:val="CC205EAA"/>
    <w:lvl w:ilvl="0" w:tplc="A886CD0C">
      <w:start w:val="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D513F"/>
    <w:multiLevelType w:val="hybridMultilevel"/>
    <w:tmpl w:val="FCD8B4FA"/>
    <w:lvl w:ilvl="0" w:tplc="A6EAFA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001098">
    <w:abstractNumId w:val="4"/>
  </w:num>
  <w:num w:numId="2" w16cid:durableId="53552306">
    <w:abstractNumId w:val="7"/>
  </w:num>
  <w:num w:numId="3" w16cid:durableId="1747217883">
    <w:abstractNumId w:val="1"/>
  </w:num>
  <w:num w:numId="4" w16cid:durableId="1429892243">
    <w:abstractNumId w:val="0"/>
  </w:num>
  <w:num w:numId="5" w16cid:durableId="79376642">
    <w:abstractNumId w:val="11"/>
  </w:num>
  <w:num w:numId="6" w16cid:durableId="779103570">
    <w:abstractNumId w:val="5"/>
  </w:num>
  <w:num w:numId="7" w16cid:durableId="166673550">
    <w:abstractNumId w:val="9"/>
  </w:num>
  <w:num w:numId="8" w16cid:durableId="687023013">
    <w:abstractNumId w:val="3"/>
  </w:num>
  <w:num w:numId="9" w16cid:durableId="1027877348">
    <w:abstractNumId w:val="6"/>
  </w:num>
  <w:num w:numId="10" w16cid:durableId="1573152876">
    <w:abstractNumId w:val="10"/>
  </w:num>
  <w:num w:numId="11" w16cid:durableId="1216967042">
    <w:abstractNumId w:val="2"/>
  </w:num>
  <w:num w:numId="12" w16cid:durableId="1126510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72"/>
    <w:rsid w:val="00003683"/>
    <w:rsid w:val="002C3972"/>
    <w:rsid w:val="004238B2"/>
    <w:rsid w:val="00521D58"/>
    <w:rsid w:val="005F2787"/>
    <w:rsid w:val="00EA1689"/>
    <w:rsid w:val="00EB1B3F"/>
    <w:rsid w:val="00EB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1A8B"/>
  <w15:chartTrackingRefBased/>
  <w15:docId w15:val="{A115234D-C923-43CB-B1CD-22DB340D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3</cp:revision>
  <dcterms:created xsi:type="dcterms:W3CDTF">2024-09-09T02:42:00Z</dcterms:created>
  <dcterms:modified xsi:type="dcterms:W3CDTF">2024-09-12T17:19:00Z</dcterms:modified>
</cp:coreProperties>
</file>