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Data-Driven Identification of High-Value Customers and Payment Optimization Opportunities in an Indonesian E-Commerce Marketplace</w:t>
      </w:r>
    </w:p>
    <w:p>
      <w:pPr>
        <w:spacing w:after="20"/>
        <w:jc w:val="center"/>
      </w:pPr>
      <w:r>
        <w:rPr>
          <w:rFonts w:ascii="Times New Roman" w:cs="Times New Roman" w:eastAsia="Times New Roman" w:hAnsi="Times New Roman"/>
          <w:sz w:val="22"/>
          <w:szCs w:val="22"/>
        </w:rPr>
        <w:t xml:space="preserve">Finance Analytics Team</w:t>
      </w:r>
    </w:p>
    <w:p>
      <w:pPr>
        <w:spacing w:after="20"/>
        <w:jc w:val="center"/>
      </w:pPr>
      <w:r>
        <w:rPr>
          <w:rFonts w:ascii="Times New Roman" w:cs="Times New Roman" w:eastAsia="Times New Roman" w:hAnsi="Times New Roman"/>
          <w:sz w:val="20"/>
          <w:szCs w:val="20"/>
        </w:rPr>
        <w:t xml:space="preserve">DustiniaDelixia Groceria — Final Project Lab MCI 2026</w:t>
      </w:r>
    </w:p>
    <w:p>
      <w:pPr>
        <w:spacing w:after="20"/>
        <w:jc w:val="center"/>
      </w:pPr>
      <w:r>
        <w:rPr>
          <w:rFonts w:ascii="Times New Roman" w:cs="Times New Roman" w:eastAsia="Times New Roman" w:hAnsi="Times New Roman"/>
          <w:sz w:val="22"/>
          <w:szCs w:val="22"/>
        </w:rPr>
        <w:t xml:space="preserve">Surabaya, Indonesia</w:t>
      </w:r>
    </w:p>
    <w:p>
      <w:pPr>
        <w:spacing w:after="120"/>
      </w:pPr>
    </w:p>
    <w:p>
      <w:pPr>
        <w:sectPr>
          <w:type w:val="continuous"/>
          <w:pgSz w:w="12240" w:h="15840" w:orient="portrait"/>
          <w:pgMar w:top="1080" w:right="1080" w:bottom="1080" w:left="1080" w:header="708" w:footer="708" w:gutter="0"/>
          <w:pgNumType/>
          <w:cols w:num="1"/>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DustiniaDelixia Groceria, a fast-growing Indonesian e-commerce marketplace, has accumulated large volumes of transactional data that remain under-utilised for decision making. This work addresses the Finance area: identifying high-value customers (HVCs), characterising their payment behaviour and geographic distribution, and quantifying revenue currently lost through sub-optimal payment options. We implement a reproducible end-to-end pipeline using Apache Airflow for orchestration, ClickHouse as the analytical warehouse, and Metabase for executive reporting. Analysis of approximately 96 thousand customers and 99 thousand orders shows that the top decile of customers by lifetime spend account for a disproportionate share of revenue, spending roughly 5.6 times more per order than the remaining base. Installment-based orders carry a 64% higher average order value (AOV) than single-payment orders. A conservative uplift model projects recoverable annual revenue on the order of tens of thousands of reais from broadening installment availability. We additionally contribute an interactive revenue simulator that turns the static finding into a tunable, defensible business case.</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e-commerce analytics, customer segmentation, payment behaviour, data pipeline, ClickHouse, Airflow, business intelligence</w:t>
      </w:r>
    </w:p>
    <w:p>
      <w:pPr>
        <w:spacing w:after="80" w:before="160"/>
        <w:jc w:val="left"/>
      </w:pPr>
      <w:r>
        <w:rPr>
          <w:rFonts w:ascii="Times New Roman" w:cs="Times New Roman" w:eastAsia="Times New Roman" w:hAnsi="Times New Roman"/>
          <w:caps/>
          <w:sz w:val="20"/>
          <w:szCs w:val="20"/>
        </w:rPr>
        <w:t xml:space="preserve">I. Introduction</w:t>
      </w:r>
    </w:p>
    <w:p>
      <w:pPr>
        <w:spacing w:after="80"/>
        <w:ind w:firstLine="220"/>
        <w:jc w:val="both"/>
      </w:pPr>
      <w:r>
        <w:rPr>
          <w:rFonts w:ascii="Times New Roman" w:cs="Times New Roman" w:eastAsia="Times New Roman" w:hAnsi="Times New Roman"/>
          <w:sz w:val="20"/>
          <w:szCs w:val="20"/>
        </w:rPr>
        <w:t xml:space="preserve">DustiniaDelixia Groceria connects thousands of small and medium enterprise (SME) sellers with millions of buyers across the archipelago. Four years of rapid growth have produced operational data spanning payments, shipping history, and customer reviews. As competition intensifies and leadership demands investment efficiency, intuition-based decisions are no longer sufficient; data analysis is required to surface missed revenue opportunities.</w:t>
      </w:r>
    </w:p>
    <w:p>
      <w:pPr>
        <w:spacing w:after="80"/>
        <w:ind w:firstLine="220"/>
        <w:jc w:val="both"/>
      </w:pPr>
      <w:r>
        <w:rPr>
          <w:rFonts w:ascii="Times New Roman" w:cs="Times New Roman" w:eastAsia="Times New Roman" w:hAnsi="Times New Roman"/>
          <w:sz w:val="20"/>
          <w:szCs w:val="20"/>
        </w:rPr>
        <w:t xml:space="preserve">This paper focuses on the Finance perspective. A quarterly review revealed a significant gap in average basket value: most customers transact within a normal range, but a distinct segment spends far above average. This high-value segment had never been analysed from the payment angle. Our objectives are to determine who these customers are, what their payment preferences are, where they are located, and where the company forfeits potential profit through unoptimised payment options.</w:t>
      </w:r>
    </w:p>
    <w:p>
      <w:pPr>
        <w:spacing w:after="80" w:before="160"/>
        <w:jc w:val="left"/>
      </w:pPr>
      <w:r>
        <w:rPr>
          <w:rFonts w:ascii="Times New Roman" w:cs="Times New Roman" w:eastAsia="Times New Roman" w:hAnsi="Times New Roman"/>
          <w:caps/>
          <w:sz w:val="20"/>
          <w:szCs w:val="20"/>
        </w:rPr>
        <w:t xml:space="preserve">II. Related Background</w:t>
      </w:r>
    </w:p>
    <w:p>
      <w:pPr>
        <w:spacing w:after="80"/>
        <w:ind w:firstLine="220"/>
        <w:jc w:val="both"/>
      </w:pPr>
      <w:r>
        <w:rPr>
          <w:rFonts w:ascii="Times New Roman" w:cs="Times New Roman" w:eastAsia="Times New Roman" w:hAnsi="Times New Roman"/>
          <w:sz w:val="20"/>
          <w:szCs w:val="20"/>
        </w:rPr>
        <w:t xml:space="preserve">The dataset is adapted from the publicly available Brazilian E-Commerce and Marketing Funnel data published by Olist, restructured for the DustiniaDelixia case study. Customer value segmentation commonly relies on RFM (Recency, Frequency, Monetary) analysis, which ranks customers by purchasing behaviour. Payment flexibility, particularly installment plans, is widely associated with higher willingness to spend, motivating our focus on the relationship between payment method and order value.</w:t>
      </w:r>
    </w:p>
    <w:p>
      <w:pPr>
        <w:spacing w:after="80" w:before="160"/>
        <w:jc w:val="left"/>
      </w:pPr>
      <w:r>
        <w:rPr>
          <w:rFonts w:ascii="Times New Roman" w:cs="Times New Roman" w:eastAsia="Times New Roman" w:hAnsi="Times New Roman"/>
          <w:caps/>
          <w:sz w:val="20"/>
          <w:szCs w:val="20"/>
        </w:rPr>
        <w:t xml:space="preserve">III. Methodology</w:t>
      </w:r>
    </w:p>
    <w:p>
      <w:pPr>
        <w:spacing w:after="60" w:before="100"/>
      </w:pPr>
      <w:r>
        <w:rPr>
          <w:rFonts w:ascii="Times New Roman" w:cs="Times New Roman" w:eastAsia="Times New Roman" w:hAnsi="Times New Roman"/>
          <w:i/>
          <w:iCs/>
          <w:sz w:val="20"/>
          <w:szCs w:val="20"/>
        </w:rPr>
        <w:t xml:space="preserve">A. Pipeline Architecture</w:t>
      </w:r>
    </w:p>
    <w:p>
      <w:pPr>
        <w:spacing w:after="80"/>
        <w:ind w:firstLine="220"/>
        <w:jc w:val="both"/>
      </w:pPr>
      <w:r>
        <w:rPr>
          <w:rFonts w:ascii="Times New Roman" w:cs="Times New Roman" w:eastAsia="Times New Roman" w:hAnsi="Times New Roman"/>
          <w:sz w:val="20"/>
          <w:szCs w:val="20"/>
        </w:rPr>
        <w:t xml:space="preserve">We adopt a layered Extract-Load-Transform (ELT) design. Apache Airflow orchestrates an idempotent directed acyclic graph (DAG). Source CSV files are validated and bulk-loaded into a ClickHouse staging schema (dustinia_raw). Dimensional and aggregate models are then materialised into an analytics schema (dustinia_marts). Two hard data-quality gates protect the warehouse: a staging gate enforcing minimum row counts and orphan-record checks, and a marts gate validating that the HVC share falls within an expected band and that no negative order values exist. Metabase connects directly to the marts schema for reporting.</w:t>
      </w:r>
    </w:p>
    <w:p>
      <w:pPr>
        <w:spacing w:after="60" w:before="100"/>
      </w:pPr>
      <w:r>
        <w:rPr>
          <w:rFonts w:ascii="Times New Roman" w:cs="Times New Roman" w:eastAsia="Times New Roman" w:hAnsi="Times New Roman"/>
          <w:i/>
          <w:iCs/>
          <w:sz w:val="20"/>
          <w:szCs w:val="20"/>
        </w:rPr>
        <w:t xml:space="preserve">B. Dimensional Model</w:t>
      </w:r>
    </w:p>
    <w:p>
      <w:pPr>
        <w:spacing w:after="80"/>
        <w:ind w:firstLine="220"/>
        <w:jc w:val="both"/>
      </w:pPr>
      <w:r>
        <w:rPr>
          <w:rFonts w:ascii="Times New Roman" w:cs="Times New Roman" w:eastAsia="Times New Roman" w:hAnsi="Times New Roman"/>
          <w:sz w:val="20"/>
          <w:szCs w:val="20"/>
        </w:rPr>
        <w:t xml:space="preserve">The fact table fct_order_payments is grained at one row per order, rolling up payment sequences into a primary payment method, maximum installment count, and an installment-usage flag. The dimension dim_customer aggregates orders to the customer level, computing RFM measures and assigning a value segment. High-value customers are defined as the top decile by lifetime monetary value, with a further top-5% Whale tier.</w:t>
      </w:r>
    </w:p>
    <w:p>
      <w:pPr>
        <w:spacing w:after="60" w:before="100"/>
      </w:pPr>
      <w:r>
        <w:rPr>
          <w:rFonts w:ascii="Times New Roman" w:cs="Times New Roman" w:eastAsia="Times New Roman" w:hAnsi="Times New Roman"/>
          <w:i/>
          <w:iCs/>
          <w:sz w:val="20"/>
          <w:szCs w:val="20"/>
        </w:rPr>
        <w:t xml:space="preserve">C. Value-Add: Payment Uplift Model</w:t>
      </w:r>
    </w:p>
    <w:p>
      <w:pPr>
        <w:spacing w:after="80"/>
        <w:ind w:firstLine="220"/>
        <w:jc w:val="both"/>
      </w:pPr>
      <w:r>
        <w:rPr>
          <w:rFonts w:ascii="Times New Roman" w:cs="Times New Roman" w:eastAsia="Times New Roman" w:hAnsi="Times New Roman"/>
          <w:sz w:val="20"/>
          <w:szCs w:val="20"/>
        </w:rPr>
        <w:t xml:space="preserve">For each value segment we compare the AOV of installment orders against non-installment orders. The addressable population is credit-card orders that did not use installments. The projected uplift assumes a conservative adoption rate applied to the observed AOV gap, exposed through an interactive simulator allowing finance stakeholders to vary both the adoption rate and the fraction of the AOV gap realised.</w:t>
      </w:r>
    </w:p>
    <w:p>
      <w:pPr>
        <w:spacing w:after="80" w:before="160"/>
        <w:jc w:val="left"/>
      </w:pPr>
      <w:r>
        <w:rPr>
          <w:rFonts w:ascii="Times New Roman" w:cs="Times New Roman" w:eastAsia="Times New Roman" w:hAnsi="Times New Roman"/>
          <w:caps/>
          <w:sz w:val="20"/>
          <w:szCs w:val="20"/>
        </w:rPr>
        <w:t xml:space="preserve">IV. Results</w:t>
      </w:r>
    </w:p>
    <w:p>
      <w:pPr>
        <w:spacing w:after="80"/>
        <w:ind w:firstLine="220"/>
        <w:jc w:val="both"/>
      </w:pPr>
      <w:r>
        <w:rPr>
          <w:rFonts w:ascii="Times New Roman" w:cs="Times New Roman" w:eastAsia="Times New Roman" w:hAnsi="Times New Roman"/>
          <w:sz w:val="20"/>
          <w:szCs w:val="20"/>
        </w:rPr>
        <w:t xml:space="preserve">After excluding cancelled orders, the cleaned dataset comprises 95,559 unique customers. The top decile (9,563 customers) constitutes the high-value segment. These customers exhibit a mean lifetime spend of R$637 and an AOV of approximately R$607, against R$112 for the remaining base, a ratio of roughly 5.6 to 1.</w:t>
      </w:r>
    </w:p>
    <w:p>
      <w:pPr>
        <w:spacing w:before="80"/>
        <w:jc w:val="center"/>
      </w:pPr>
      <w:r>
        <w:drawing>
          <wp:inline distT="0" distB="0" distL="0" distR="0">
            <wp:extent cx="2190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54305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 Average lifetime spend by customer value segment.</w:t>
      </w:r>
    </w:p>
    <w:p>
      <w:pPr>
        <w:spacing w:after="80"/>
        <w:ind w:firstLine="220"/>
        <w:jc w:val="both"/>
      </w:pPr>
      <w:r>
        <w:rPr>
          <w:rFonts w:ascii="Times New Roman" w:cs="Times New Roman" w:eastAsia="Times New Roman" w:hAnsi="Times New Roman"/>
          <w:sz w:val="20"/>
          <w:szCs w:val="20"/>
        </w:rPr>
        <w:t xml:space="preserve">Payment method composition within the HVC segment is dominated by credit card, which accounts for approximately 82% of HVC revenue, followed by boleto (bank transfer). Voucher and debit card contribute marginally.</w:t>
      </w:r>
    </w:p>
    <w:p>
      <w:pPr>
        <w:spacing w:before="80"/>
        <w:jc w:val="center"/>
      </w:pPr>
      <w:r>
        <w:drawing>
          <wp:inline distT="0" distB="0" distL="0" distR="0">
            <wp:extent cx="2190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54305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2. High-value customer revenue share by primary payment method.</w:t>
      </w:r>
    </w:p>
    <w:p>
      <w:pPr>
        <w:spacing w:after="80"/>
        <w:ind w:firstLine="220"/>
        <w:jc w:val="both"/>
      </w:pPr>
      <w:r>
        <w:rPr>
          <w:rFonts w:ascii="Times New Roman" w:cs="Times New Roman" w:eastAsia="Times New Roman" w:hAnsi="Times New Roman"/>
          <w:sz w:val="20"/>
          <w:szCs w:val="20"/>
        </w:rPr>
        <w:t xml:space="preserve">The central finding for Finance concerns installments. Orders that used installments have an AOV of R$198, versus R$121 for single-payment orders, a 64% uplift. This relationship strengthens the case for proactively surfacing installment options at checkout.</w:t>
      </w:r>
    </w:p>
    <w:p>
      <w:pPr>
        <w:spacing w:before="80"/>
        <w:jc w:val="center"/>
      </w:pPr>
      <w:r>
        <w:drawing>
          <wp:inline distT="0" distB="0" distL="0" distR="0">
            <wp:extent cx="2190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4305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3. Average order value: installment versus non-installment orders.</w:t>
      </w:r>
    </w:p>
    <w:p>
      <w:pPr>
        <w:spacing w:after="80"/>
        <w:ind w:firstLine="220"/>
        <w:jc w:val="both"/>
      </w:pPr>
      <w:r>
        <w:rPr>
          <w:rFonts w:ascii="Times New Roman" w:cs="Times New Roman" w:eastAsia="Times New Roman" w:hAnsi="Times New Roman"/>
          <w:sz w:val="20"/>
          <w:szCs w:val="20"/>
        </w:rPr>
        <w:t xml:space="preserve">Geographically, HVC revenue concentrates in the states of SP, RJ, and MG. However, HVC penetration (the share of customers within a state that are high-value) is higher in states such as RS and RJ at above 10%, indicating attractive expansion targets distinct from raw revenue leaders.</w:t>
      </w:r>
    </w:p>
    <w:p>
      <w:pPr>
        <w:spacing w:after="80"/>
        <w:ind w:firstLine="220"/>
        <w:jc w:val="both"/>
      </w:pPr>
      <w:r>
        <w:rPr>
          <w:rFonts w:ascii="Times New Roman" w:cs="Times New Roman" w:eastAsia="Times New Roman" w:hAnsi="Times New Roman"/>
          <w:sz w:val="20"/>
          <w:szCs w:val="20"/>
        </w:rPr>
        <w:t xml:space="preserve">Applying a conservative model, in which 30% of addressable non-installment credit-card orders adopt installments and realise the full segment AOV gap, yields a projected annual uplift of approximately R$84,000. The Standard and Mid-Value segments hold the largest absolute opportunity due to order volume, despite smaller per-order gaps than the Whale tier.</w:t>
      </w:r>
    </w:p>
    <w:p>
      <w:pPr>
        <w:spacing w:after="80" w:before="160"/>
        <w:jc w:val="left"/>
      </w:pPr>
      <w:r>
        <w:rPr>
          <w:rFonts w:ascii="Times New Roman" w:cs="Times New Roman" w:eastAsia="Times New Roman" w:hAnsi="Times New Roman"/>
          <w:caps/>
          <w:sz w:val="20"/>
          <w:szCs w:val="20"/>
        </w:rPr>
        <w:t xml:space="preserve">V. Discussion</w:t>
      </w:r>
    </w:p>
    <w:p>
      <w:pPr>
        <w:spacing w:after="80"/>
        <w:ind w:firstLine="220"/>
        <w:jc w:val="both"/>
      </w:pPr>
      <w:r>
        <w:rPr>
          <w:rFonts w:ascii="Times New Roman" w:cs="Times New Roman" w:eastAsia="Times New Roman" w:hAnsi="Times New Roman"/>
          <w:sz w:val="20"/>
          <w:szCs w:val="20"/>
        </w:rPr>
        <w:t xml:space="preserve">The results challenge the internal assumption that payment behaviour is uniform across the customer base. High-value customers are not only bigger spenders but also heavier users of installment facilities, and the correlation between installment usage and order value suggests payment flexibility is a lever rather than a passive attribute. Because the uplift estimate depends on an adoption assumption, the accompanying simulator is important: it lets decision makers stress-test the figure rather than accept a single point estimate.</w:t>
      </w:r>
    </w:p>
    <w:p>
      <w:pPr>
        <w:spacing w:after="80"/>
        <w:ind w:firstLine="220"/>
        <w:jc w:val="both"/>
      </w:pPr>
      <w:r>
        <w:rPr>
          <w:rFonts w:ascii="Times New Roman" w:cs="Times New Roman" w:eastAsia="Times New Roman" w:hAnsi="Times New Roman"/>
          <w:sz w:val="20"/>
          <w:szCs w:val="20"/>
        </w:rPr>
        <w:t xml:space="preserve">Threats to validity include the correlational nature of the AOV gap; installment users may differ systematically from non-users. The projection should therefore be treated as an upper-bounded hypothesis to be confirmed through a controlled rollout or A/B test.</w:t>
      </w:r>
    </w:p>
    <w:p>
      <w:pPr>
        <w:spacing w:after="80" w:before="160"/>
        <w:jc w:val="left"/>
      </w:pPr>
      <w:r>
        <w:rPr>
          <w:rFonts w:ascii="Times New Roman" w:cs="Times New Roman" w:eastAsia="Times New Roman" w:hAnsi="Times New Roman"/>
          <w:caps/>
          <w:sz w:val="20"/>
          <w:szCs w:val="20"/>
        </w:rPr>
        <w:t xml:space="preserve">VI. Conclusion</w:t>
      </w:r>
    </w:p>
    <w:p>
      <w:pPr>
        <w:spacing w:after="80"/>
        <w:ind w:firstLine="220"/>
        <w:jc w:val="both"/>
      </w:pPr>
      <w:r>
        <w:rPr>
          <w:rFonts w:ascii="Times New Roman" w:cs="Times New Roman" w:eastAsia="Times New Roman" w:hAnsi="Times New Roman"/>
          <w:sz w:val="20"/>
          <w:szCs w:val="20"/>
        </w:rPr>
        <w:t xml:space="preserve">We delivered a reproducible, containerised analytics pipeline that identifies high-value customers, characterises their payment behaviour and location, and quantifies a concrete payment-optimisation opportunity for DustiniaDelixia Groceria. The recommended action is to broaden and more prominently surface installment options for credit-card customers, prioritising high-volume segments, and to validate the projected uplift through a measured experiment. Future work includes incorporating delivery experience and review data to model the full customer lifetime value.</w:t>
      </w:r>
    </w:p>
    <w:p>
      <w:pPr>
        <w:spacing w:after="80" w:before="160"/>
        <w:jc w:val="left"/>
      </w:pPr>
      <w:r>
        <w:rPr>
          <w:rFonts w:ascii="Times New Roman" w:cs="Times New Roman" w:eastAsia="Times New Roman" w:hAnsi="Times New Roman"/>
          <w:caps/>
          <w:sz w:val="20"/>
          <w:szCs w:val="20"/>
        </w:rPr>
        <w:t xml:space="preserve">. References</w:t>
      </w:r>
    </w:p>
    <w:p>
      <w:pPr>
        <w:spacing w:after="30"/>
        <w:ind w:left="220" w:hanging="220"/>
      </w:pPr>
      <w:r>
        <w:rPr>
          <w:rFonts w:ascii="Times New Roman" w:cs="Times New Roman" w:eastAsia="Times New Roman" w:hAnsi="Times New Roman"/>
          <w:sz w:val="18"/>
          <w:szCs w:val="18"/>
        </w:rPr>
        <w:t xml:space="preserve">[1] Olist and A. Sionek, "Brazilian E-Commerce Public Dataset by Olist," Kaggle, 2018.</w:t>
      </w:r>
    </w:p>
    <w:p>
      <w:pPr>
        <w:spacing w:after="30"/>
        <w:ind w:left="220" w:hanging="220"/>
      </w:pPr>
      <w:r>
        <w:rPr>
          <w:rFonts w:ascii="Times New Roman" w:cs="Times New Roman" w:eastAsia="Times New Roman" w:hAnsi="Times New Roman"/>
          <w:sz w:val="18"/>
          <w:szCs w:val="18"/>
        </w:rPr>
        <w:t xml:space="preserve">[2] Apache Software Foundation, "Apache Airflow Documentation," 2024.</w:t>
      </w:r>
    </w:p>
    <w:p>
      <w:pPr>
        <w:spacing w:after="30"/>
        <w:ind w:left="220" w:hanging="220"/>
      </w:pPr>
      <w:r>
        <w:rPr>
          <w:rFonts w:ascii="Times New Roman" w:cs="Times New Roman" w:eastAsia="Times New Roman" w:hAnsi="Times New Roman"/>
          <w:sz w:val="18"/>
          <w:szCs w:val="18"/>
        </w:rPr>
        <w:t xml:space="preserve">[3] ClickHouse Inc., "ClickHouse: Fast Open-Source OLAP DBMS," 2024.</w:t>
      </w:r>
    </w:p>
    <w:p>
      <w:pPr>
        <w:spacing w:after="30"/>
        <w:ind w:left="220" w:hanging="220"/>
      </w:pPr>
      <w:r>
        <w:rPr>
          <w:rFonts w:ascii="Times New Roman" w:cs="Times New Roman" w:eastAsia="Times New Roman" w:hAnsi="Times New Roman"/>
          <w:sz w:val="18"/>
          <w:szCs w:val="18"/>
        </w:rPr>
        <w:t xml:space="preserve">[4] Metabase, "Metabase Business Intelligence Documentation," 2024.</w:t>
      </w:r>
    </w:p>
    <w:p>
      <w:pPr>
        <w:spacing w:after="30"/>
        <w:ind w:left="220" w:hanging="220"/>
      </w:pPr>
      <w:r>
        <w:rPr>
          <w:rFonts w:ascii="Times New Roman" w:cs="Times New Roman" w:eastAsia="Times New Roman" w:hAnsi="Times New Roman"/>
          <w:sz w:val="18"/>
          <w:szCs w:val="18"/>
        </w:rPr>
        <w:t xml:space="preserve">[5] A. M. Hughes, "Strategic Database Marketing," McGraw-Hill, 2006.</w:t>
      </w:r>
    </w:p>
    <w:sectPr>
      <w:type w:val="continuous"/>
      <w:pgSz w:w="11906" w:h="16838"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5065fa458867e8626743494520f852bcadd90e.undefined"/><Relationship Id="rId8" Type="http://schemas.openxmlformats.org/officeDocument/2006/relationships/image" Target="media/8eb7be12b34bdd6b158ceb97150a730a69f71a57.undefined"/><Relationship Id="rId9" Type="http://schemas.openxmlformats.org/officeDocument/2006/relationships/image" Target="media/46690d040774ed59bb1427d912884b9598ff0350.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2026-06-02T11:45:05.070Z</dcterms:created>
  <dcterms:modified xsi:type="dcterms:W3CDTF">2026-06-02T11:45:05.071Z</dcterms:modified>
</cp:coreProperties>
</file>

<file path=docProps/custom.xml><?xml version="1.0" encoding="utf-8"?>
<Properties xmlns="http://schemas.openxmlformats.org/officeDocument/2006/custom-properties" xmlns:vt="http://schemas.openxmlformats.org/officeDocument/2006/docPropsVTypes"/>
</file>