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color w:val="2F75B5"/>
          <w:sz w:val="26"/>
        </w:rPr>
        <w:t>FEUILLE DE CADRAGE TECHNIQUE</w:t>
      </w:r>
    </w:p>
    <w:p>
      <w:pPr>
        <w:spacing w:after="140"/>
      </w:pPr>
      <w:r>
        <w:rPr>
          <w:rFonts w:ascii="Arial" w:hAnsi="Arial"/>
          <w:b/>
          <w:color w:val="17365D"/>
          <w:sz w:val="54"/>
        </w:rPr>
        <w:t>Développement du modèle hybride de rapprochement des emplois</w:t>
      </w:r>
    </w:p>
    <w:p>
      <w:pPr>
        <w:spacing w:after="280"/>
      </w:pPr>
      <w:r>
        <w:rPr>
          <w:rFonts w:ascii="Arial" w:hAnsi="Arial"/>
          <w:i/>
          <w:color w:val="65738A"/>
          <w:sz w:val="26"/>
        </w:rPr>
        <w:t>Document de référence permanent pour l'IA de développement</w:t>
      </w:r>
    </w:p>
    <w:p>
      <w:pPr>
        <w:spacing w:after="40"/>
      </w:pPr>
      <w:r>
        <w:rPr>
          <w:rFonts w:ascii="Arial" w:hAnsi="Arial"/>
          <w:b/>
          <w:color w:val="17365D"/>
          <w:sz w:val="21"/>
        </w:rPr>
        <w:t xml:space="preserve">Projet : </w:t>
      </w:r>
      <w:r>
        <w:rPr>
          <w:rFonts w:ascii="Arial" w:hAnsi="Arial"/>
          <w:sz w:val="21"/>
        </w:rPr>
        <w:t>PoC local d'aide à la décision RH</w:t>
      </w:r>
    </w:p>
    <w:p>
      <w:pPr>
        <w:spacing w:after="40"/>
      </w:pPr>
      <w:r>
        <w:t>Version : 3.1 - état implémenté et modélisation de référence</w:t>
      </w:r>
    </w:p>
    <w:p>
      <w:pPr>
        <w:spacing w:after="40"/>
      </w:pPr>
      <w:r>
        <w:t>Entrées : PDF d'emploi actuel + PDF d'emploi cible, natifs et structurés</w:t>
      </w:r>
    </w:p>
    <w:p>
      <w:pPr>
        <w:spacing w:after="40"/>
      </w:pPr>
      <w:r>
        <w:t>Modèle : BAAI/bge-m3 via FlagEmbedding, dense + sparse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left w:w="120" w:type="dxa"/>
              <w:bottom w:w="100" w:type="dxa"/>
              <w:right w:w="120" w:type="dxa"/>
            </w:tcMar>
            <w:shd w:fill="EAF4EF"/>
          </w:tcPr>
          <w:p>
            <w:pPr>
              <w:spacing w:after="0"/>
              <w:pBdr>
                <w:left w:val="single" w:sz="18" w:space="6" w:color="2F7D57"/>
              </w:pBdr>
            </w:pPr>
            <w:r>
              <w:rPr>
                <w:rFonts w:ascii="Arial" w:hAnsi="Arial"/>
                <w:b/>
                <w:color w:val="2F7D57"/>
                <w:sz w:val="21"/>
              </w:rPr>
              <w:t xml:space="preserve">Instruction prioritaire à l'IA. </w:t>
            </w:r>
            <w:r>
              <w:rPr>
                <w:rFonts w:ascii="Arial" w:hAnsi="Arial"/>
                <w:sz w:val="21"/>
              </w:rPr>
              <w:t>Lire cette feuille au début de chaque session et avant toute modification structurante. Les règles métier, formules, seuils et dépendances ci-dessous constituent la source de vérité. Toute proposition qui les modifie doit être signalée et soumise à validation avant d'être codée.</w:t>
            </w:r>
          </w:p>
        </w:tc>
      </w:tr>
    </w:tbl>
    <w:p>
      <w:pPr>
        <w:spacing w:after="0"/>
      </w:pPr>
    </w:p>
    <w:p>
      <w:pPr>
        <w:pStyle w:val="Heading1"/>
      </w:pPr>
      <w:r>
        <w:t>1. Objectif et périmètre</w:t>
      </w:r>
    </w:p>
    <w:p>
      <w:r>
        <w:t>Le système compare les compétences et les niveaux d'un ou plusieurs emplois actuels à ceux de plusieurs emplois cibles. Pour chaque emploi actuel, il évalue tous les emplois cibles, ne retient que les cibles admissibles, sélectionne la ou les meilleures, explique les écarts et indique les formations nécessaires. Plusieurs emplois actuels peuvent être associés au même emploi cible.</w:t>
      </w:r>
    </w:p>
    <w:p>
      <w:pPr>
        <w:pStyle w:val="ListBullet"/>
      </w:pPr>
      <w:r>
        <w:t>Un emploi représente un profil type, jamais un collaborateur individuel.</w:t>
      </w:r>
    </w:p>
    <w:p>
      <w:pPr>
        <w:pStyle w:val="ListBullet"/>
      </w:pPr>
      <w:r>
        <w:t>Le fonctionnement normal est automatique et le résultat reste une aide à la décision RH.</w:t>
      </w:r>
    </w:p>
    <w:p>
      <w:pPr>
        <w:pStyle w:val="ListBullet"/>
      </w:pPr>
      <w:r>
        <w:t>Les coûts, les durées, le choix de modules et l'évaluation du risque d'obsolescence sont hors périmètre du premier PoC.</w:t>
      </w:r>
    </w:p>
    <w:p>
      <w:pPr>
        <w:pStyle w:val="Heading1"/>
      </w:pPr>
      <w:r>
        <w:t>2. Décisions non négociables</w:t>
      </w:r>
    </w:p>
    <w:p>
      <w:pPr>
        <w:pStyle w:val="ListBullet"/>
      </w:pPr>
      <w:r>
        <w:t>Deux formats de PDF natifs structurés sont lus avec pdfplumber : emploi actuel et emploi cible.</w:t>
      </w:r>
    </w:p>
    <w:p>
      <w:pPr>
        <w:pStyle w:val="ListBullet"/>
      </w:pPr>
      <w:r>
        <w:t>Le type est imposé par la zone de chargement Streamlit, « emploi actuel » ou « emploi cible » ; il n'est jamais deviné automatiquement.</w:t>
      </w:r>
    </w:p>
    <w:p>
      <w:pPr>
        <w:pStyle w:val="ListBullet"/>
      </w:pPr>
      <w:r>
        <w:t>Les deux extracteurs produisent la même structure normalisée, sans identifiant obligatoire.</w:t>
      </w:r>
    </w:p>
    <w:p>
      <w:pPr>
        <w:pStyle w:val="ListBullet"/>
      </w:pPr>
      <w:r>
        <w:t>BGE-M3 local est implémenté et son exécution réelle hors ligne est validée via FlagEmbedding.BGEM3FlagModel, avec dense et sparse activés ; ColBERT et le reranker restent désactivés. Une expérimentation comparative ajoute Qwen3-Embedding-8B distant comme second modèle d'embedding et Gemma distant comme LLM de jugement explicite, jamais comme embedding.</w:t>
      </w:r>
    </w:p>
    <w:p>
      <w:pPr>
        <w:pStyle w:val="ListBullet"/>
      </w:pPr>
      <w:r>
        <w:t>Le projet n'importe et n'utilise jamais directement sentence-transformers.</w:t>
      </w:r>
    </w:p>
    <w:p>
      <w:pPr>
        <w:pStyle w:val="ListBullet"/>
      </w:pPr>
      <w:r>
        <w:t>seuil_sim et seuil_couv sont configurables dans Streamlit par deux curseurs. Leurs valeurs de référence par défaut restent 0,70, avec un pas de 0,05. poids_dense et poids_sparse sont aussi configurables manuellement et indépendamment ; leurs valeurs de référence par défaut sont exactement 2/3 et 1/3.</w:t>
      </w:r>
    </w:p>
    <w:p>
      <w:pPr>
        <w:pStyle w:val="ListBullet"/>
      </w:pPr>
      <w:r>
        <w:t>Le niveau reste séparé du texte encodé et ne modifie jamais D_ac, L_ac ou H_ac.</w:t>
      </w:r>
    </w:p>
    <w:p>
      <w:pPr>
        <w:pStyle w:val="Heading1"/>
      </w:pPr>
      <w:r>
        <w:t>3. Entrées PDF et extraction</w:t>
      </w:r>
    </w:p>
    <w:p>
      <w:r>
        <w:t>Un PDF scanné, ambigu, dont la structure est inexploitable ou dont la section attendue est absente doit être rejeté avec un diagnostic précis. L'OCR est hors périmètre du premier PoC.</w:t>
      </w:r>
    </w:p>
    <w:p>
      <w:pPr>
        <w:pStyle w:val="Heading2"/>
      </w:pPr>
      <w:r>
        <w:t>3.1 PDF d'emploi actuel</w:t>
      </w:r>
    </w:p>
    <w:p>
      <w:pPr>
        <w:pStyle w:val="ListBullet"/>
      </w:pPr>
      <w:r>
        <w:t>Extraire l'intitulé de l'emploi dans l'en-tête.</w:t>
      </w:r>
    </w:p>
    <w:p>
      <w:pPr>
        <w:pStyle w:val="ListBullet"/>
      </w:pPr>
      <w:r>
        <w:t>Analyser exclusivement la section « Compétences digitales » ; ignorer les responsabilités, les compétences fonctionnelles et les autres sections.</w:t>
      </w:r>
    </w:p>
    <w:p>
      <w:pPr>
        <w:pStyle w:val="ListBullet"/>
      </w:pPr>
      <w:r>
        <w:t>Ignorer les titres thématiques ou catégories affichés en bleu.</w:t>
      </w:r>
    </w:p>
    <w:p>
      <w:pPr>
        <w:pStyle w:val="ListBullet"/>
      </w:pPr>
      <w:r>
        <w:t>Lire l'intitulé en noir, la description placée en dessous et le niveau situé à droite.</w:t>
      </w:r>
    </w:p>
    <w:p>
      <w:pPr>
        <w:pStyle w:val="ListBullet"/>
      </w:pPr>
      <w:r>
        <w:t>Gérer les descriptions et compétences coupées entre deux pages.</w:t>
      </w:r>
    </w:p>
    <w:p>
      <w:pPr>
        <w:pStyle w:val="ListBullet"/>
      </w:pPr>
      <w:r>
        <w:t>Ne pas confondre l'en-tête « Niveau SAME cible » avec une compétence.</w:t>
      </w:r>
    </w:p>
    <w:p>
      <w:pPr>
        <w:pStyle w:val="Heading2"/>
      </w:pPr>
      <w:r>
        <w:t>3.2 PDF de emploi cible</w:t>
      </w:r>
    </w:p>
    <w:p>
      <w:pPr>
        <w:pStyle w:val="ListBullet"/>
      </w:pPr>
      <w:r>
        <w:t>Extraire l'intitulé du emploi cible placé au-dessus du tableau.</w:t>
      </w:r>
    </w:p>
    <w:p>
      <w:pPr>
        <w:pStyle w:val="ListBullet"/>
      </w:pPr>
      <w:r>
        <w:t>Lire les colonnes « Intitulé de la compétence », « Détails de la compétence » et « Niveau » ; une ligne correspond à une compétence.</w:t>
      </w:r>
    </w:p>
    <w:p>
      <w:pPr>
        <w:pStyle w:val="ListBullet"/>
      </w:pPr>
      <w:r>
        <w:t>Gérer les tableaux multipages, même sans répétition de l'en-tête des colonnes.</w:t>
      </w:r>
    </w:p>
    <w:p>
      <w:pPr>
        <w:pStyle w:val="Heading2"/>
      </w:pPr>
      <w:r>
        <w:t>3.3 Normalisation</w:t>
      </w:r>
    </w:p>
    <w:p>
      <w:pPr>
        <w:pStyle w:val="ListBullet"/>
      </w:pPr>
      <w:r>
        <w:t>Produire exactement competence_intitule, competence_description et niveau.</w:t>
      </w:r>
    </w:p>
    <w:p>
      <w:pPr>
        <w:pStyle w:val="ListBullet"/>
      </w:pPr>
      <w:r>
        <w:t>Conserver la provenance et la traçabilité dans des métadonnées séparées.</w:t>
      </w:r>
    </w:p>
    <w:p>
      <w:pPr>
        <w:pStyle w:val="ListBullet"/>
      </w:pPr>
      <w:r>
        <w:t>L'entrée Excel reste une compatibilité secondaire ou un support de test, jamais la source de vérité.</w:t>
      </w:r>
    </w:p>
    <w:p>
      <w:pPr>
        <w:pStyle w:val="ListBullet"/>
      </w:pPr>
      <w:r>
        <w:t>Les PDF d'exemple ne doivent pas être ajoutés au dépôt Git.</w:t>
      </w:r>
    </w:p>
    <w:p>
      <w:pPr>
        <w:pStyle w:val="Heading1"/>
      </w:pPr>
      <w:r>
        <w:t>4. Préparation des compétences et niveaux</w:t>
      </w:r>
    </w:p>
    <w:p>
      <w:r>
        <w:t>Avec une description :</w:t>
      </w:r>
    </w:p>
    <w:p>
      <w:r>
        <w:t>texte_competence = competence_intitule + ". " + competence_description</w:t>
      </w:r>
    </w:p>
    <w:p>
      <w:r>
        <w:t>Sans description :</w:t>
      </w:r>
    </w:p>
    <w:p>
      <w:r>
        <w:t>texte_competence = competence_intitule</w:t>
      </w:r>
    </w:p>
    <w:p>
      <w:r>
        <w:t>Le niveau et les autres métadonnées ne sont jamais transmis dans le texte encodé.</w:t>
      </w:r>
    </w:p>
    <w:tbl>
      <w:tblPr>
        <w:tblW w:type="dxa" w:w="9360"/>
        <w:tblLayout w:type="fixed"/>
        <w:tblLook w:firstColumn="1" w:firstRow="1" w:lastColumn="0" w:lastRow="0" w:noHBand="0" w:noVBand="1" w:val="04A0"/>
        <w:jc w:val="left"/>
        <w:tblInd w:w="120" w:type="dxa"/>
      </w:tblPr>
      <w:tblGrid>
        <w:gridCol w:w="1100"/>
        <w:gridCol w:w="2500"/>
        <w:gridCol w:w="5760"/>
      </w:tblGrid>
      <w:tr>
        <w:trPr>
          <w:tblHeader w:val="true"/>
        </w:trPr>
        <w:tc>
          <w:tcPr>
            <w:tcW w:type="dxa" w:w="1100"/>
            <w:vAlign w:val="center"/>
            <w:tcMar>
              <w:top w:w="100" w:type="dxa"/>
              <w:left w:w="120" w:type="dxa"/>
              <w:bottom w:w="100" w:type="dxa"/>
              <w:right w:w="120" w:type="dxa"/>
            </w:tcMar>
            <w:shd w:fill="2F75B5"/>
          </w:tcPr>
          <w:p>
            <w:r>
              <w:rPr>
                <w:rFonts w:ascii="Arial" w:hAnsi="Arial"/>
                <w:b/>
                <w:color w:val="FFFFFF"/>
                <w:sz w:val="19"/>
              </w:rPr>
              <w:t>Valeur</w:t>
            </w:r>
          </w:p>
        </w:tc>
        <w:tc>
          <w:tcPr>
            <w:tcW w:type="dxa" w:w="2500"/>
            <w:vAlign w:val="center"/>
            <w:tcMar>
              <w:top w:w="100" w:type="dxa"/>
              <w:left w:w="120" w:type="dxa"/>
              <w:bottom w:w="100" w:type="dxa"/>
              <w:right w:w="120" w:type="dxa"/>
            </w:tcMar>
            <w:shd w:fill="2F75B5"/>
          </w:tcPr>
          <w:p>
            <w:r>
              <w:rPr>
                <w:rFonts w:ascii="Arial" w:hAnsi="Arial"/>
                <w:b/>
                <w:color w:val="FFFFFF"/>
                <w:sz w:val="19"/>
              </w:rPr>
              <w:t>Niveau</w:t>
            </w:r>
          </w:p>
        </w:tc>
        <w:tc>
          <w:tcPr>
            <w:tcW w:type="dxa" w:w="5760"/>
            <w:vAlign w:val="center"/>
            <w:tcMar>
              <w:top w:w="100" w:type="dxa"/>
              <w:left w:w="120" w:type="dxa"/>
              <w:bottom w:w="100" w:type="dxa"/>
              <w:right w:w="120" w:type="dxa"/>
            </w:tcMar>
            <w:shd w:fill="2F75B5"/>
          </w:tcPr>
          <w:p>
            <w:r>
              <w:rPr>
                <w:rFonts w:ascii="Arial" w:hAnsi="Arial"/>
                <w:b/>
                <w:color w:val="FFFFFF"/>
                <w:sz w:val="19"/>
              </w:rPr>
              <w:t>Interprétation</w:t>
            </w:r>
          </w:p>
        </w:tc>
      </w:tr>
      <w:tr>
        <w:tc>
          <w:tcPr>
            <w:tcW w:type="dxa" w:w="1100"/>
            <w:vAlign w:val="center"/>
            <w:tcMar>
              <w:top w:w="100" w:type="dxa"/>
              <w:left w:w="120" w:type="dxa"/>
              <w:bottom w:w="100" w:type="dxa"/>
              <w:right w:w="120" w:type="dxa"/>
            </w:tcMar>
          </w:tcPr>
          <w:p>
            <w:pPr>
              <w:jc w:val="center"/>
            </w:pPr>
            <w:r>
              <w:rPr>
                <w:rFonts w:ascii="Arial" w:hAnsi="Arial"/>
                <w:sz w:val="18"/>
              </w:rPr>
              <w:t>1</w:t>
            </w:r>
          </w:p>
        </w:tc>
        <w:tc>
          <w:tcPr>
            <w:tcW w:type="dxa" w:w="2500"/>
            <w:vAlign w:val="center"/>
            <w:tcMar>
              <w:top w:w="100" w:type="dxa"/>
              <w:left w:w="120" w:type="dxa"/>
              <w:bottom w:w="100" w:type="dxa"/>
              <w:right w:w="120" w:type="dxa"/>
            </w:tcMar>
          </w:tcPr>
          <w:p>
            <w:r>
              <w:rPr>
                <w:rFonts w:ascii="Arial" w:hAnsi="Arial"/>
                <w:sz w:val="18"/>
              </w:rPr>
              <w:t>Sensibilisation</w:t>
            </w:r>
          </w:p>
        </w:tc>
        <w:tc>
          <w:tcPr>
            <w:tcW w:type="dxa" w:w="5760"/>
            <w:vAlign w:val="center"/>
            <w:tcMar>
              <w:top w:w="100" w:type="dxa"/>
              <w:left w:w="120" w:type="dxa"/>
              <w:bottom w:w="100" w:type="dxa"/>
              <w:right w:w="120" w:type="dxa"/>
            </w:tcMar>
          </w:tcPr>
          <w:p>
            <w:r>
              <w:rPr>
                <w:rFonts w:ascii="Arial" w:hAnsi="Arial"/>
                <w:sz w:val="18"/>
              </w:rPr>
              <w:t>Connaissance des principes</w:t>
            </w:r>
          </w:p>
        </w:tc>
      </w:tr>
      <w:tr>
        <w:tc>
          <w:tcPr>
            <w:tcW w:type="dxa" w:w="1100"/>
            <w:shd w:fill="EAF2F8"/>
            <w:vAlign w:val="center"/>
            <w:tcMar>
              <w:top w:w="100" w:type="dxa"/>
              <w:left w:w="120" w:type="dxa"/>
              <w:bottom w:w="100" w:type="dxa"/>
              <w:right w:w="120" w:type="dxa"/>
            </w:tcMar>
          </w:tcPr>
          <w:p>
            <w:pPr>
              <w:jc w:val="center"/>
            </w:pPr>
            <w:r>
              <w:rPr>
                <w:rFonts w:ascii="Arial" w:hAnsi="Arial"/>
                <w:sz w:val="18"/>
              </w:rPr>
              <w:t>2</w:t>
            </w:r>
          </w:p>
        </w:tc>
        <w:tc>
          <w:tcPr>
            <w:tcW w:type="dxa" w:w="2500"/>
            <w:shd w:fill="EAF2F8"/>
            <w:vAlign w:val="center"/>
            <w:tcMar>
              <w:top w:w="100" w:type="dxa"/>
              <w:left w:w="120" w:type="dxa"/>
              <w:bottom w:w="100" w:type="dxa"/>
              <w:right w:w="120" w:type="dxa"/>
            </w:tcMar>
          </w:tcPr>
          <w:p>
            <w:r>
              <w:rPr>
                <w:rFonts w:ascii="Arial" w:hAnsi="Arial"/>
                <w:sz w:val="18"/>
              </w:rPr>
              <w:t>Application</w:t>
            </w:r>
          </w:p>
        </w:tc>
        <w:tc>
          <w:tcPr>
            <w:tcW w:type="dxa" w:w="5760"/>
            <w:shd w:fill="EAF2F8"/>
            <w:vAlign w:val="center"/>
            <w:tcMar>
              <w:top w:w="100" w:type="dxa"/>
              <w:left w:w="120" w:type="dxa"/>
              <w:bottom w:w="100" w:type="dxa"/>
              <w:right w:w="120" w:type="dxa"/>
            </w:tcMar>
          </w:tcPr>
          <w:p>
            <w:r>
              <w:rPr>
                <w:rFonts w:ascii="Arial" w:hAnsi="Arial"/>
                <w:sz w:val="18"/>
              </w:rPr>
              <w:t>Mise en oeuvre courante</w:t>
            </w:r>
          </w:p>
        </w:tc>
      </w:tr>
      <w:tr>
        <w:tc>
          <w:tcPr>
            <w:tcW w:type="dxa" w:w="1100"/>
            <w:vAlign w:val="center"/>
            <w:tcMar>
              <w:top w:w="100" w:type="dxa"/>
              <w:left w:w="120" w:type="dxa"/>
              <w:bottom w:w="100" w:type="dxa"/>
              <w:right w:w="120" w:type="dxa"/>
            </w:tcMar>
          </w:tcPr>
          <w:p>
            <w:pPr>
              <w:jc w:val="center"/>
            </w:pPr>
            <w:r>
              <w:rPr>
                <w:rFonts w:ascii="Arial" w:hAnsi="Arial"/>
                <w:sz w:val="18"/>
              </w:rPr>
              <w:t>3</w:t>
            </w:r>
          </w:p>
        </w:tc>
        <w:tc>
          <w:tcPr>
            <w:tcW w:type="dxa" w:w="2500"/>
            <w:vAlign w:val="center"/>
            <w:tcMar>
              <w:top w:w="100" w:type="dxa"/>
              <w:left w:w="120" w:type="dxa"/>
              <w:bottom w:w="100" w:type="dxa"/>
              <w:right w:w="120" w:type="dxa"/>
            </w:tcMar>
          </w:tcPr>
          <w:p>
            <w:r>
              <w:rPr>
                <w:rFonts w:ascii="Arial" w:hAnsi="Arial"/>
                <w:sz w:val="18"/>
              </w:rPr>
              <w:t>Maîtrise</w:t>
            </w:r>
          </w:p>
        </w:tc>
        <w:tc>
          <w:tcPr>
            <w:tcW w:type="dxa" w:w="5760"/>
            <w:vAlign w:val="center"/>
            <w:tcMar>
              <w:top w:w="100" w:type="dxa"/>
              <w:left w:w="120" w:type="dxa"/>
              <w:bottom w:w="100" w:type="dxa"/>
              <w:right w:w="120" w:type="dxa"/>
            </w:tcMar>
          </w:tcPr>
          <w:p>
            <w:r>
              <w:rPr>
                <w:rFonts w:ascii="Arial" w:hAnsi="Arial"/>
                <w:sz w:val="18"/>
              </w:rPr>
              <w:t>Autonomie en situation complexe</w:t>
            </w:r>
          </w:p>
        </w:tc>
      </w:tr>
      <w:tr>
        <w:tc>
          <w:tcPr>
            <w:tcW w:type="dxa" w:w="1100"/>
            <w:shd w:fill="EAF2F8"/>
            <w:vAlign w:val="center"/>
            <w:tcMar>
              <w:top w:w="100" w:type="dxa"/>
              <w:left w:w="120" w:type="dxa"/>
              <w:bottom w:w="100" w:type="dxa"/>
              <w:right w:w="120" w:type="dxa"/>
            </w:tcMar>
          </w:tcPr>
          <w:p>
            <w:pPr>
              <w:jc w:val="center"/>
            </w:pPr>
            <w:r>
              <w:rPr>
                <w:rFonts w:ascii="Arial" w:hAnsi="Arial"/>
                <w:sz w:val="18"/>
              </w:rPr>
              <w:t>4</w:t>
            </w:r>
          </w:p>
        </w:tc>
        <w:tc>
          <w:tcPr>
            <w:tcW w:type="dxa" w:w="2500"/>
            <w:shd w:fill="EAF2F8"/>
            <w:vAlign w:val="center"/>
            <w:tcMar>
              <w:top w:w="100" w:type="dxa"/>
              <w:left w:w="120" w:type="dxa"/>
              <w:bottom w:w="100" w:type="dxa"/>
              <w:right w:w="120" w:type="dxa"/>
            </w:tcMar>
          </w:tcPr>
          <w:p>
            <w:r>
              <w:rPr>
                <w:rFonts w:ascii="Arial" w:hAnsi="Arial"/>
                <w:sz w:val="18"/>
              </w:rPr>
              <w:t>Expertise</w:t>
            </w:r>
          </w:p>
        </w:tc>
        <w:tc>
          <w:tcPr>
            <w:tcW w:type="dxa" w:w="5760"/>
            <w:shd w:fill="EAF2F8"/>
            <w:vAlign w:val="center"/>
            <w:tcMar>
              <w:top w:w="100" w:type="dxa"/>
              <w:left w:w="120" w:type="dxa"/>
              <w:bottom w:w="100" w:type="dxa"/>
              <w:right w:w="120" w:type="dxa"/>
            </w:tcMar>
          </w:tcPr>
          <w:p>
            <w:r>
              <w:rPr>
                <w:rFonts w:ascii="Arial" w:hAnsi="Arial"/>
                <w:sz w:val="18"/>
              </w:rPr>
              <w:t>Référence technique et capacité à guider</w:t>
            </w:r>
          </w:p>
        </w:tc>
      </w:tr>
    </w:tbl>
    <w:p>
      <w:r>
        <w:t>Le niveau 0 est interne et utilisé uniquement lorsque H_ac &lt; seuil_sim. Il n'apparaît jamais dans les PDF.</w:t>
      </w:r>
    </w:p>
    <w:p>
      <w:r>
        <w:t>Aucun identifiant d'emploi ou de compétence n'est obligatoire et un identifiant éventuel n'intervient pas dans les calculs.</w:t>
      </w:r>
    </w:p>
    <w:p>
      <w:pPr>
        <w:pStyle w:val="Heading1"/>
      </w:pPr>
      <w:r>
        <w:t>5. Encodage hybride et rapprochement</w:t>
      </w:r>
    </w:p>
    <w:p>
      <w:r>
        <w:t>a désigne une compétence actuelle, c une compétence cible, e un emploi actuel et f un emploi cible.</w:t>
      </w:r>
    </w:p>
    <w:p>
      <w:pPr>
        <w:pStyle w:val="ListBullet"/>
      </w:pPr>
      <w:r>
        <w:t>D_ac : produit scalaire des vecteurs denses normalisés.</w:t>
      </w:r>
    </w:p>
    <w:p>
      <w:pPr>
        <w:pStyle w:val="ListBullet"/>
      </w:pPr>
      <w:r>
        <w:t>L_ac : similarité cosinus L2 entre les vecteurs sparse, avec produit scalaire limité aux tokens communs.</w:t>
      </w:r>
    </w:p>
    <w:p>
      <w:r>
        <w:t>L_ac = somme_tokens_communs(x_t x y_t) / (sqrt(somme_t x_t^2) x sqrt(somme_t y_t^2))
H_ac = poids_dense x D_ac + poids_sparse x L_ac
Les valeurs de référence par défaut sont exactement poids_dense = 2/3 et poids_sparse = 1/3. Chaque poids est compris entre 0 et 1 et leur somme doit être égale à 1 avec une tolérance numérique adaptée. Une somme invalide bloque l'analyse ; les poids ne sont jamais normalisés automatiquement.</w:t>
      </w:r>
    </w:p>
    <w:p>
      <w:r>
        <w:t>Pour chaque compétence cible, conserver la compétence actuelle ayant le H_ac le plus élevé.</w:t>
      </w:r>
    </w:p>
    <w:p>
      <w:r>
        <w:t>En cas d'égalité exacte de H_ac :</w:t>
      </w:r>
    </w:p>
    <w:p>
      <w:pPr>
        <w:pStyle w:val="ListNumber"/>
      </w:pPr>
      <w:r>
        <w:t>Choisir le niveau actuel le plus élevé.</w:t>
      </w:r>
    </w:p>
    <w:p>
      <w:pPr>
        <w:pStyle w:val="ListNumber"/>
      </w:pPr>
      <w:r>
        <w:t>Si les niveaux sont identiques, choisir le L_ac le plus élevé.</w:t>
      </w:r>
    </w:p>
    <w:p>
      <w:pPr>
        <w:pStyle w:val="ListNumber"/>
      </w:pPr>
      <w:r>
        <w:t>Si l'égalité persiste, conserver un résultat déterministe et signaler l'égalité dans le détail.</w:t>
      </w:r>
    </w:p>
    <w:p>
      <w:r>
        <w:t>La cible est reconnue si H_ac &gt;= seuil_sim ; sinon son niveau actuel interne vaut 0.</w:t>
      </w:r>
    </w:p>
    <w:p>
      <w:r>
        <w:t>Une compétence actuelle peut couvrir plusieurs compétences cibles et cette réutilisation reste visible.</w:t>
      </w:r>
    </w:p>
    <w:p>
      <w:r>
        <w:t>Le niveau n'intervient qu'après le rapprochement et ne modifie jamais D_ac, L_ac ou H_ac.</w:t>
      </w:r>
    </w:p>
    <w:p>
      <w:pPr>
        <w:pStyle w:val="Heading1"/>
      </w:pPr>
      <w:r>
        <w:t>6. Niveaux, écarts et scores</w:t>
      </w:r>
    </w:p>
    <w:p>
      <w:r>
        <w:t>Ecart_c = max(0, niveau_cible_c - niveau_actuel_c)</w:t>
      </w:r>
    </w:p>
    <w:p>
      <w:r>
        <w:t>Ecart_moyen_ef = somme_c(Ecart_c x niveau_cible_c) / somme_c(niveau_cible_c)</w:t>
      </w:r>
    </w:p>
    <w:p>
      <w:r>
        <w:t>G_ef = nombre_competences_cibles_reconnues / nombre_total_competences_cibles</w:t>
      </w:r>
    </w:p>
    <w:p>
      <w:r>
        <w:t>Une compétence cible est reconnue si H_ac &gt;= seuil_sim. Le niveau n'intervient jamais dans G_ef.</w:t>
      </w:r>
    </w:p>
    <w:p>
      <w:r>
        <w:t>Une compétence est entièrement satisfaite si H_ac &gt;= seuil_sim ET niveau_actuel_c &gt;= niveau_cible_c.</w:t>
      </w:r>
    </w:p>
    <w:p>
      <w:r>
        <w:t>Gs_ef = nombre_competences_entierement_satisfaites / nombre_total_competences_cibles</w:t>
      </w:r>
    </w:p>
    <w:p>
      <w:r>
        <w:t>G_ef mesure la couverture sémantique ; Gs_ef mesure la satisfaction stricte des compétences et niveaux.</w:t>
      </w:r>
    </w:p>
    <w:p>
      <w:pPr>
        <w:pStyle w:val="Heading1"/>
      </w:pPr>
      <w:r>
        <w:t>7. Admissibilité et sélection de l'emploi cible</w:t>
      </w:r>
    </w:p>
    <w:p>
      <w:pPr>
        <w:pStyle w:val="ListNumber2"/>
      </w:pPr>
      <w:r>
        <w:t>Comparer chaque emploi actuel à tous les emplois cibles.</w:t>
      </w:r>
    </w:p>
    <w:p>
      <w:pPr>
        <w:pStyle w:val="ListNumber2"/>
      </w:pPr>
      <w:r>
        <w:t>Exclure les cibles dont G_ef &lt; seuil_couv.</w:t>
      </w:r>
    </w:p>
    <w:p>
      <w:pPr>
        <w:pStyle w:val="ListNumber2"/>
      </w:pPr>
      <w:r>
        <w:t>Parmi les cibles admissibles, retenir le G_ef le plus élevé.</w:t>
      </w:r>
    </w:p>
    <w:p>
      <w:pPr>
        <w:pStyle w:val="ListNumber2"/>
      </w:pPr>
      <w:r>
        <w:t>En cas d'égalité, retenir le plus faible Ecart_moyen_ef.</w:t>
      </w:r>
    </w:p>
    <w:p>
      <w:pPr>
        <w:pStyle w:val="ListNumber2"/>
      </w:pPr>
      <w:r>
        <w:t>En cas de nouvelle égalité, retenir le Gs_ef le plus élevé.</w:t>
      </w:r>
    </w:p>
    <w:p>
      <w:pPr>
        <w:pStyle w:val="ListNumber2"/>
      </w:pPr>
      <w:r>
        <w:t>Après triple égalité, conserver toutes les cibles ex aequo et indiquer que le service RH devra trancher.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left w:w="120" w:type="dxa"/>
              <w:bottom w:w="100" w:type="dxa"/>
              <w:right w:w="120" w:type="dxa"/>
            </w:tcMar>
            <w:shd w:fill="EAF2F8"/>
          </w:tcPr>
          <w:p>
            <w:r>
              <w:t>Si tous les emplois cibles ont G_ef &lt; seuil_couv, ne retenir aucune cible et afficher exactement : « Aucun emploi cible ne correspond à cet emploi actuel ».</w:t>
            </w:r>
          </w:p>
        </w:tc>
      </w:tr>
    </w:tbl>
    <w:p>
      <w:r>
        <w:t>Les recommandations ne sont calculées qu'après cette sélection, uniquement pour le ou les emplois cibles retenus.</w:t>
      </w:r>
    </w:p>
    <w:p>
      <w:pPr>
        <w:pStyle w:val="ListBullet"/>
      </w:pPr>
      <w:r>
        <w:t>Plusieurs emplois actuels peuvent être associés au même emploi cible ; cette relation n'impose aucune exclusivité.</w:t>
      </w:r>
    </w:p>
    <w:p>
      <w:pPr>
        <w:pStyle w:val="Heading1"/>
      </w:pPr>
      <w:r>
        <w:t>8. Recommandations de formation</w:t>
      </w:r>
    </w:p>
    <w:p>
      <w:pPr>
        <w:pStyle w:val="ListBullet"/>
      </w:pPr>
      <w:r>
        <w:t>Si H_ac &lt; seuil_sim : « Formation complète nécessaire pour acquérir la compétence ».</w:t>
      </w:r>
    </w:p>
    <w:p>
      <w:pPr>
        <w:pStyle w:val="ListBullet"/>
      </w:pPr>
      <w:r>
        <w:t>Si H_ac &gt;= seuil_sim et Ecart_c = 0 : aucun commentaire particulier.</w:t>
      </w:r>
    </w:p>
    <w:p>
      <w:pPr>
        <w:pStyle w:val="ListBullet"/>
      </w:pPr>
      <w:r>
        <w:t>Si Ecart_c = 1 : « Formation légère pour progresser d'un niveau ».</w:t>
      </w:r>
    </w:p>
    <w:p>
      <w:pPr>
        <w:pStyle w:val="ListBullet"/>
      </w:pPr>
      <w:r>
        <w:t>Si Ecart_c = 2 ou 3 : « Parcours de formation conséquent ».</w:t>
      </w:r>
    </w:p>
    <w:p>
      <w:r>
        <w:t>Le niveau intervient dans Ecart_c, Ecart_moyen_ef, Gs_ef et les recommandations, mais jamais dans G_ef, D_ac, L_ac ou H_ac.</w:t>
      </w:r>
    </w:p>
    <w:p>
      <w:pPr>
        <w:pStyle w:val="Heading1"/>
      </w:pPr>
      <w:r>
        <w:t>9. Contrôles informatifs après sélection</w:t>
      </w:r>
    </w:p>
    <w:p>
      <w:r>
        <w:t>Le contrôle inverse recherche la meilleure correspondance de chaque compétence actuelle parmi les compétences des emplois cibles analysés.</w:t>
      </w:r>
    </w:p>
    <w:p>
      <w:pPr>
        <w:pStyle w:val="ListBullet"/>
      </w:pPr>
      <w:r>
        <w:t>Distinguer une compétence absente de la cible sélectionnée mais présente dans une autre cible d'une compétence absente de toutes les cibles.</w:t>
      </w:r>
    </w:p>
    <w:p>
      <w:pPr>
        <w:pStyle w:val="ListBullet"/>
      </w:pPr>
      <w:r>
        <w:t>Employer « compétence actuelle non reprise dans les emplois cibles analysés » sans conclure automatiquement à l'obsolescence.</w:t>
      </w:r>
    </w:p>
    <w:p>
      <w:pPr>
        <w:pStyle w:val="ListBullet"/>
      </w:pPr>
      <w:r>
        <w:t>Ce contrôle ne modifie ni H_ac, ni G_ef, ni Gs_ef, ni Ecart_moyen_ef, ni la sélection.</w:t>
      </w:r>
    </w:p>
    <w:p>
      <w:pPr>
        <w:pStyle w:val="ListBullet"/>
      </w:pPr>
      <w:r>
        <w:t>Calculer R_epfq uniquement après la sélection et séparément pour chaque emploi cible retenu f_q. Pour chaque compétence actuelle a_i de l'emploi actuel e_p, rechercher parmi les seules compétences c_j de f_q : Meilleur_score_aiepfq = max_cj_appartenant_a_fq(H_aicj). La compétence actuelle est réutilisée si Meilleur_score_aiepfq &gt;= seuil_sim.</w:t>
      </w:r>
    </w:p>
    <w:p>
      <w:pPr>
        <w:pStyle w:val="ListBullet"/>
      </w:pPr>
      <w:r>
        <w:t>R_epfq = nombre_competences_actuelles_de_ep_reutilisees_dans_fq / nombre_total_competences_actuelles_de_ep. R_epfq est un réel dans [0, 1], affiché en pourcentage. Il ne dépend pas des niveaux et ne modifie ni G_ef, ni Gs_ef, ni Ecart_moyen_ef, ni l'admissibilité, ni la sélection. En triple égalité, il est calculé séparément pour chaque cible retenue ; sans cible admissible, sa valeur est absente.</w:t>
      </w:r>
    </w:p>
    <w:p>
      <w:pPr>
        <w:pStyle w:val="ListBullet"/>
      </w:pPr>
      <w:r>
        <w:t>Les recommandations interviennent uniquement après la sélection et restent limitées aux emplois cibles sélectionnés.</w:t>
      </w:r>
    </w:p>
    <w:p>
      <w:pPr>
        <w:pStyle w:val="Heading1"/>
      </w:pPr>
      <w:r>
        <w:t>10. Sorties et interface Streamlit</w:t>
      </w:r>
    </w:p>
    <w:p>
      <w:pPr>
        <w:pStyle w:val="ListBullet"/>
      </w:pPr>
      <w:r>
        <w:t>Deux zones de chargement séparées imposent explicitement l'extracteur d'emploi actuel ou d'emploi cible. L'utilisateur choisit « Un seul modèle » ou « Comparaison des trois modèles » ; ce second mode exécute exactement les mêmes PDF et seuils avec BGE-M3, Qwen et Gemma, tout en isolant les erreurs de chaque moteur.</w:t>
      </w:r>
    </w:p>
    <w:p>
      <w:pPr>
        <w:pStyle w:val="ListBullet"/>
      </w:pPr>
      <w:r>
        <w:t>Afficher G_ef, Gs_ef, Ecart_moyen_ef, les cibles admissibles et la sélection.</w:t>
      </w:r>
    </w:p>
    <w:p>
      <w:pPr>
        <w:pStyle w:val="ListBullet"/>
      </w:pPr>
      <w:r>
        <w:t>Si aucune cible n'est admissible, afficher « Aucun emploi cible ne correspond à cet emploi actuel ».</w:t>
      </w:r>
    </w:p>
    <w:p>
      <w:pPr>
        <w:pStyle w:val="ListBullet"/>
      </w:pPr>
      <w:r>
        <w:t>Afficher par compétence la correspondance, les scores réellement disponibles, les niveaux, Ecart_c, le statut et, après sélection, la recommandation. Distinguer explicitement le score hybride ou dense d'embedding du score d'évaluation LLM. Pour Gemma, D_ac, L_ac et les coefficients sont « N/A » ; pour Qwen, L_ac est « N/A » et H = D.</w:t>
      </w:r>
    </w:p>
    <w:p>
      <w:pPr>
        <w:pStyle w:val="ListBullet"/>
      </w:pPr>
      <w:r>
        <w:t>Afficher les compétences absentes, niveaux insuffisants, niveaux à atteindre et compétences actuelles non reprises.</w:t>
      </w:r>
    </w:p>
    <w:p>
      <w:pPr>
        <w:pStyle w:val="ListBullet"/>
      </w:pPr>
      <w:r>
        <w:t>Permettre l'export CSV détaillé, préserver la traçabilité vers le PDF source et conserver le modèle, le type de score, le statut, le temps d'exécution, seuil_sim, seuil_couv et les poids applicables. Pour Gemma, exporter le score LLM et la justification courte.</w:t>
      </w:r>
    </w:p>
    <w:p>
      <w:pPr>
        <w:pStyle w:val="ListBullet"/>
      </w:pPr>
      <w:r>
        <w:t>Afficher dans les résultats les valeurs de seuil_sim, seuil_couv, poids_dense et poids_sparse effectivement utilisées. La calibration des seuils et l'expérimentation sur les poids doivent rester traçables.</w:t>
      </w:r>
    </w:p>
    <w:p>
      <w:pPr>
        <w:pStyle w:val="Heading1"/>
      </w:pPr>
      <w:r>
        <w:t>11. Architecture logicielle attendue</w:t>
      </w:r>
    </w:p>
    <w:p>
      <w:pPr>
        <w:pStyle w:val="ListBullet"/>
      </w:pPr>
      <w:r>
        <w:t>Séparer les deux extracteurs PDF tout en partageant la même structure normalisée.</w:t>
      </w:r>
    </w:p>
    <w:p>
      <w:pPr>
        <w:pStyle w:val="ListBullet"/>
      </w:pPr>
      <w:r>
        <w:t>Séparer validation, adaptateurs BGE/Qwen, jugement Gemma, rapprochement, scoring, orchestration comparative, recommandations, export et interface Streamlit. Les erreurs indisponible, erreur API et réponse LLM invalide restent isolées par moteur.</w:t>
      </w:r>
    </w:p>
    <w:p>
      <w:pPr>
        <w:pStyle w:val="ListBullet"/>
      </w:pPr>
      <w:r>
        <w:t>Centraliser chemins, URL, identifiants de modèles, timeouts, poids, seuil_sim et seuil_couv dans la configuration. Aucune clé API n'est codée en dur ni exportée.</w:t>
      </w:r>
    </w:p>
    <w:p>
      <w:pPr>
        <w:pStyle w:val="ListBullet"/>
      </w:pPr>
      <w:r>
        <w:t>Le moteur métier ne dépend jamais directement de Streamlit.</w:t>
      </w:r>
    </w:p>
    <w:p>
      <w:pPr>
        <w:pStyle w:val="Heading1"/>
      </w:pPr>
      <w:r>
        <w:t>12. Pile technique et exécution locale</w:t>
      </w:r>
    </w:p>
    <w:p>
      <w:pPr>
        <w:pStyle w:val="ListBullet"/>
      </w:pPr>
      <w:r>
        <w:t>Python, pdfplumber, pandas, openpyxl, FlagEmbedding, PyTorch, requests et Streamlit. Qwen expose réellement REMOTE_QWEN_DISTANT_BASE_URL/models et /embeddings avec l'identifiant qwen3-embedding-8b ; ses vecteurs denses observés ont 4096 dimensions. Gemma expose REMOTE_GEMMA_DISTANT_BASE_URL/models et /chat/completions avec l'identifiant exact gemma4. La casse V1 est invalide.</w:t>
      </w:r>
    </w:p>
    <w:p>
      <w:pPr>
        <w:pStyle w:val="ListBullet"/>
      </w:pPr>
      <w:r>
        <w:t>Chemin local configurable vers models/bge-m3 ; chargement par FlagEmbedding.BGEM3FlagModel sans identifiant distant pendant l'exécution normale.</w:t>
      </w:r>
    </w:p>
    <w:p>
      <w:pPr>
        <w:pStyle w:val="ListBullet"/>
      </w:pPr>
      <w:r>
        <w:t>Mode hors ligne validé ; dense et sparse activés, embeddings denses de dimension 1024 et ColBERT désactivé.</w:t>
      </w:r>
    </w:p>
    <w:p>
      <w:pPr>
        <w:pStyle w:val="ListBullet"/>
      </w:pPr>
      <w:r>
        <w:t>Charger le modèle une seule fois par instance à la première utilisation. Mesures observées : environ 22 secondes pour un premier chargement à froid avec première inférence, environ 0,86 seconde pour l'inférence de quatre compétences après chargement, et environ 1,97 Gio de mémoire maximale sans swap.</w:t>
      </w:r>
    </w:p>
    <w:p>
      <w:pPr>
        <w:pStyle w:val="ListBullet"/>
      </w:pPr>
      <w:r>
        <w:t>Les tests automatiques utilisent des faux encodeurs, des PDF simulés et des réponses HTTP simulées. Ils ne chargent jamais le véritable BGE-M3 et ne contactent jamais un endpoint distant configuré. Les contrôles réels des services restent manuels et séparés de pytest.</w:t>
      </w:r>
    </w:p>
    <w:p>
      <w:pPr>
        <w:pStyle w:val="Heading1"/>
      </w:pPr>
      <w:r>
        <w:t>13. Périmètre du premier PoC et améliorations ultérieures</w:t>
      </w:r>
    </w:p>
    <w:p>
      <w:pPr>
        <w:pStyle w:val="Heading2"/>
      </w:pPr>
      <w:r>
        <w:t>13.1 Premier PoC</w:t>
      </w:r>
    </w:p>
    <w:p>
      <w:pPr>
        <w:pStyle w:val="ListBullet"/>
      </w:pPr>
      <w:r>
        <w:t>BGE-M3 local via FlagEmbedding, dense et sparse ; Qwen3-Embedding-8B distant, dense seul avec H = D et poids 1/0 ; Gemma distant comme LLM de jugement par paire avec JSON strict.</w:t>
      </w:r>
    </w:p>
    <w:p>
      <w:pPr>
        <w:pStyle w:val="ListBullet"/>
      </w:pPr>
      <w:r>
        <w:t>Extraction des deux formats PDF, rapprochement mono-modèle ou comparaison isolée des trois approches, comparaison des niveaux, recommandations, Streamlit et exports CSV reproductibles.</w:t>
      </w:r>
    </w:p>
    <w:p>
      <w:pPr>
        <w:pStyle w:val="Heading2"/>
      </w:pPr>
      <w:r>
        <w:t>13.2 Améliorations ultérieures</w:t>
      </w:r>
    </w:p>
    <w:p>
      <w:pPr>
        <w:pStyle w:val="ListBullet"/>
      </w:pPr>
      <w:r>
        <w:t>ColBERT et reranker.</w:t>
      </w:r>
    </w:p>
    <w:p>
      <w:pPr>
        <w:pStyle w:val="ListBullet"/>
      </w:pPr>
      <w:r>
        <w:t>Constitution automatique de cohortes de 12 personnes.</w:t>
      </w:r>
    </w:p>
    <w:p>
      <w:pPr>
        <w:pStyle w:val="ListBullet"/>
      </w:pPr>
      <w:r>
        <w:t>Création automatique de emplois cibles.</w:t>
      </w:r>
    </w:p>
    <w:p>
      <w:pPr>
        <w:pStyle w:val="ListBullet"/>
      </w:pPr>
      <w:r>
        <w:t>Évaluation du risque d'obsolescence.</w:t>
      </w:r>
    </w:p>
    <w:p>
      <w:r>
        <w:t>Ces améliorations ne doivent pas être présentées comme disponibles dans le premier PoC.</w:t>
      </w:r>
    </w:p>
    <w:p>
      <w:pPr>
        <w:pStyle w:val="Heading1"/>
      </w:pPr>
      <w:r>
        <w:t>14. État actuel du développement et limites</w:t>
      </w:r>
    </w:p>
    <w:p>
      <w:r>
        <w:t>Le PoC implémente désormais les principaux composants du cadrage. Les limites connues ci-dessous restent à traiter sans présenter les fonctions concernées comme achevées.</w:t>
      </w:r>
    </w:p>
    <w:tbl>
      <w:tblPr>
        <w:tblW w:type="dxa" w:w="9360"/>
        <w:tblLayout w:type="fixed"/>
        <w:tblLook w:firstColumn="1" w:firstRow="1" w:lastColumn="0" w:lastRow="0" w:noHBand="0" w:noVBand="1" w:val="04A0"/>
        <w:jc w:val="left"/>
        <w:tblInd w:w="120" w:type="dxa"/>
      </w:tblPr>
      <w:tblGrid>
        <w:gridCol w:w="2300"/>
        <w:gridCol w:w="1900"/>
        <w:gridCol w:w="5160"/>
      </w:tblGrid>
      <w:tr>
        <w:trPr>
          <w:tblHeader w:val="true"/>
        </w:trPr>
        <w:tc>
          <w:tcPr>
            <w:tcW w:type="dxa" w:w="2300"/>
            <w:vAlign w:val="center"/>
            <w:tcMar>
              <w:top w:w="100" w:type="dxa"/>
              <w:left w:w="120" w:type="dxa"/>
              <w:bottom w:w="100" w:type="dxa"/>
              <w:right w:w="120" w:type="dxa"/>
            </w:tcMar>
            <w:shd w:fill="2F75B5"/>
          </w:tcPr>
          <w:p>
            <w:r>
              <w:t>Composant</w:t>
            </w:r>
          </w:p>
        </w:tc>
        <w:tc>
          <w:tcPr>
            <w:tcW w:type="dxa" w:w="1900"/>
            <w:vAlign w:val="center"/>
            <w:tcMar>
              <w:top w:w="100" w:type="dxa"/>
              <w:left w:w="120" w:type="dxa"/>
              <w:bottom w:w="100" w:type="dxa"/>
              <w:right w:w="120" w:type="dxa"/>
            </w:tcMar>
            <w:shd w:fill="2F75B5"/>
          </w:tcPr>
          <w:p>
            <w:r>
              <w:t>État</w:t>
            </w:r>
          </w:p>
        </w:tc>
        <w:tc>
          <w:tcPr>
            <w:tcW w:type="dxa" w:w="5160"/>
            <w:vAlign w:val="center"/>
            <w:tcMar>
              <w:top w:w="100" w:type="dxa"/>
              <w:left w:w="120" w:type="dxa"/>
              <w:bottom w:w="100" w:type="dxa"/>
              <w:right w:w="120" w:type="dxa"/>
            </w:tcMar>
            <w:shd w:fill="2F75B5"/>
          </w:tcPr>
          <w:p>
            <w:r>
              <w:t>Précision</w:t>
            </w:r>
          </w:p>
        </w:tc>
      </w:tr>
      <w:tr>
        <w:tc>
          <w:tcPr>
            <w:tcW w:type="dxa" w:w="2300"/>
            <w:vAlign w:val="center"/>
            <w:tcMar>
              <w:top w:w="100" w:type="dxa"/>
              <w:left w:w="120" w:type="dxa"/>
              <w:bottom w:w="100" w:type="dxa"/>
              <w:right w:w="120" w:type="dxa"/>
            </w:tcMar>
          </w:tcPr>
          <w:p>
            <w:r>
              <w:t>Moteur métier</w:t>
            </w:r>
          </w:p>
        </w:tc>
        <w:tc>
          <w:tcPr>
            <w:tcW w:type="dxa" w:w="1900"/>
            <w:vAlign w:val="center"/>
            <w:tcMar>
              <w:top w:w="100" w:type="dxa"/>
              <w:left w:w="120" w:type="dxa"/>
              <w:bottom w:w="100" w:type="dxa"/>
              <w:right w:w="120" w:type="dxa"/>
            </w:tcMar>
          </w:tcPr>
          <w:p>
            <w:r>
              <w:t>Implémenté</w:t>
            </w:r>
          </w:p>
        </w:tc>
        <w:tc>
          <w:tcPr>
            <w:tcW w:type="dxa" w:w="5160"/>
            <w:vAlign w:val="center"/>
            <w:tcMar>
              <w:top w:w="100" w:type="dxa"/>
              <w:left w:w="120" w:type="dxa"/>
              <w:bottom w:w="100" w:type="dxa"/>
              <w:right w:w="120" w:type="dxa"/>
            </w:tcMar>
          </w:tcPr>
          <w:p>
            <w:r>
              <w:t>Rapprochement, niveaux, recommandations après sélection, G_ef, Gs_ef, écart moyen pondéré, admissibilité et départage.</w:t>
            </w:r>
          </w:p>
        </w:tc>
      </w:tr>
      <w:tr>
        <w:tc>
          <w:tcPr>
            <w:tcW w:type="dxa" w:w="2300"/>
            <w:shd w:fill="EAF2F8"/>
            <w:vAlign w:val="center"/>
            <w:tcMar>
              <w:top w:w="100" w:type="dxa"/>
              <w:left w:w="120" w:type="dxa"/>
              <w:bottom w:w="100" w:type="dxa"/>
              <w:right w:w="120" w:type="dxa"/>
            </w:tcMar>
          </w:tcPr>
          <w:p>
            <w:r>
              <w:t>Adaptateur BGE-M3</w:t>
            </w:r>
          </w:p>
        </w:tc>
        <w:tc>
          <w:tcPr>
            <w:tcW w:type="dxa" w:w="1900"/>
            <w:shd w:fill="EAF2F8"/>
            <w:vAlign w:val="center"/>
            <w:tcMar>
              <w:top w:w="100" w:type="dxa"/>
              <w:left w:w="120" w:type="dxa"/>
              <w:bottom w:w="100" w:type="dxa"/>
              <w:right w:w="120" w:type="dxa"/>
            </w:tcMar>
          </w:tcPr>
          <w:p>
            <w:r>
              <w:t>Implémenté et validé réellement</w:t>
            </w:r>
          </w:p>
        </w:tc>
        <w:tc>
          <w:tcPr>
            <w:tcW w:type="dxa" w:w="5160"/>
            <w:shd w:fill="EAF2F8"/>
            <w:vAlign w:val="center"/>
            <w:tcMar>
              <w:top w:w="100" w:type="dxa"/>
              <w:left w:w="120" w:type="dxa"/>
              <w:bottom w:w="100" w:type="dxa"/>
              <w:right w:w="120" w:type="dxa"/>
            </w:tcMar>
          </w:tcPr>
          <w:p>
            <w:r>
              <w:t>Modèle local via BGEM3FlagModel, dense 1024, sparse, chargement différé, cache et fonctionnement hors ligne validé.</w:t>
            </w:r>
          </w:p>
        </w:tc>
      </w:tr>
      <w:tr>
        <w:tc>
          <w:tcPr>
            <w:tcW w:type="dxa" w:w="2300"/>
            <w:vAlign w:val="center"/>
            <w:tcMar>
              <w:top w:w="100" w:type="dxa"/>
              <w:left w:w="120" w:type="dxa"/>
              <w:bottom w:w="100" w:type="dxa"/>
              <w:right w:w="120" w:type="dxa"/>
            </w:tcMar>
          </w:tcPr>
          <w:p>
            <w:r>
              <w:t>Tests automatiques</w:t>
            </w:r>
          </w:p>
        </w:tc>
        <w:tc>
          <w:tcPr>
            <w:tcW w:type="dxa" w:w="1900"/>
            <w:vAlign w:val="center"/>
            <w:tcMar>
              <w:top w:w="100" w:type="dxa"/>
              <w:left w:w="120" w:type="dxa"/>
              <w:bottom w:w="100" w:type="dxa"/>
              <w:right w:w="120" w:type="dxa"/>
            </w:tcMar>
          </w:tcPr>
          <w:p>
            <w:r>
              <w:t>115 tests réussis</w:t>
            </w:r>
          </w:p>
        </w:tc>
        <w:tc>
          <w:tcPr>
            <w:tcW w:type="dxa" w:w="5160"/>
            <w:vAlign w:val="center"/>
            <w:tcMar>
              <w:top w:w="100" w:type="dxa"/>
              <w:left w:w="120" w:type="dxa"/>
              <w:bottom w:w="100" w:type="dxa"/>
              <w:right w:w="120" w:type="dxa"/>
            </w:tcMar>
          </w:tcPr>
          <w:p>
            <w:r>
              <w:t>Faux encodeurs, réponses HTTP et PDF simulés ; le modèle BGE-M3 réel et les serveurs distants sont interdits pendant pytest.</w:t>
            </w:r>
          </w:p>
        </w:tc>
      </w:tr>
      <w:tr>
        <w:tc>
          <w:tcPr>
            <w:tcW w:type="dxa" w:w="2300"/>
            <w:shd w:fill="EAF2F8"/>
            <w:vAlign w:val="center"/>
            <w:tcMar>
              <w:top w:w="100" w:type="dxa"/>
              <w:left w:w="120" w:type="dxa"/>
              <w:bottom w:w="100" w:type="dxa"/>
              <w:right w:w="120" w:type="dxa"/>
            </w:tcMar>
          </w:tcPr>
          <w:p>
            <w:r>
              <w:t>Deux extracteurs PDF</w:t>
            </w:r>
          </w:p>
        </w:tc>
        <w:tc>
          <w:tcPr>
            <w:tcW w:type="dxa" w:w="1900"/>
            <w:shd w:fill="EAF2F8"/>
            <w:vAlign w:val="center"/>
            <w:tcMar>
              <w:top w:w="100" w:type="dxa"/>
              <w:left w:w="120" w:type="dxa"/>
              <w:bottom w:w="100" w:type="dxa"/>
              <w:right w:w="120" w:type="dxa"/>
            </w:tcMar>
          </w:tcPr>
          <w:p>
            <w:r>
              <w:t>Implémentés</w:t>
            </w:r>
          </w:p>
        </w:tc>
        <w:tc>
          <w:tcPr>
            <w:tcW w:type="dxa" w:w="5160"/>
            <w:shd w:fill="EAF2F8"/>
            <w:vAlign w:val="center"/>
            <w:tcMar>
              <w:top w:w="100" w:type="dxa"/>
              <w:left w:w="120" w:type="dxa"/>
              <w:bottom w:w="100" w:type="dxa"/>
              <w:right w:w="120" w:type="dxa"/>
            </w:tcMar>
          </w:tcPr>
          <w:p>
            <w:r>
              <w:t>Extracteurs distincts d'emploi actuel et d'emploi cible, avec structure normalisée commune ; aucun test sur PDF réel à ce stade.</w:t>
            </w:r>
          </w:p>
        </w:tc>
      </w:tr>
      <w:tr>
        <w:tc>
          <w:tcPr>
            <w:tcW w:type="dxa" w:w="2300"/>
            <w:vAlign w:val="center"/>
            <w:tcMar>
              <w:top w:w="100" w:type="dxa"/>
              <w:left w:w="120" w:type="dxa"/>
              <w:bottom w:w="100" w:type="dxa"/>
              <w:right w:w="120" w:type="dxa"/>
            </w:tcMar>
          </w:tcPr>
          <w:p>
            <w:r>
              <w:t>Scoring et sélection</w:t>
            </w:r>
          </w:p>
        </w:tc>
        <w:tc>
          <w:tcPr>
            <w:tcW w:type="dxa" w:w="1900"/>
            <w:vAlign w:val="center"/>
            <w:tcMar>
              <w:top w:w="100" w:type="dxa"/>
              <w:left w:w="120" w:type="dxa"/>
              <w:bottom w:w="100" w:type="dxa"/>
              <w:right w:w="120" w:type="dxa"/>
            </w:tcMar>
          </w:tcPr>
          <w:p>
            <w:r>
              <w:t>Implémentés</w:t>
            </w:r>
          </w:p>
        </w:tc>
        <w:tc>
          <w:tcPr>
            <w:tcW w:type="dxa" w:w="5160"/>
            <w:vAlign w:val="center"/>
            <w:tcMar>
              <w:top w:w="100" w:type="dxa"/>
              <w:left w:w="120" w:type="dxa"/>
              <w:bottom w:w="100" w:type="dxa"/>
              <w:right w:w="120" w:type="dxa"/>
            </w:tcMar>
          </w:tcPr>
          <w:p>
            <w:r>
              <w:t>Moyenne pondérée, G_ef, seuil_couv, Gs_ef et départage selon les règles de référence.</w:t>
            </w:r>
          </w:p>
        </w:tc>
      </w:tr>
      <w:tr>
        <w:tc>
          <w:tcPr>
            <w:tcW w:type="dxa" w:w="2300"/>
            <w:shd w:fill="EAF2F8"/>
            <w:vAlign w:val="center"/>
            <w:tcMar>
              <w:top w:w="100" w:type="dxa"/>
              <w:left w:w="120" w:type="dxa"/>
              <w:bottom w:w="100" w:type="dxa"/>
              <w:right w:w="120" w:type="dxa"/>
            </w:tcMar>
          </w:tcPr>
          <w:p>
            <w:r>
              <w:t>Streamlit et sorties</w:t>
            </w:r>
          </w:p>
        </w:tc>
        <w:tc>
          <w:tcPr>
            <w:tcW w:type="dxa" w:w="1900"/>
            <w:shd w:fill="EAF2F8"/>
            <w:vAlign w:val="center"/>
            <w:tcMar>
              <w:top w:w="100" w:type="dxa"/>
              <w:left w:w="120" w:type="dxa"/>
              <w:bottom w:w="100" w:type="dxa"/>
              <w:right w:w="120" w:type="dxa"/>
            </w:tcMar>
          </w:tcPr>
          <w:p>
            <w:r>
              <w:t>Implémentés avec limites</w:t>
            </w:r>
          </w:p>
        </w:tc>
        <w:tc>
          <w:tcPr>
            <w:tcW w:type="dxa" w:w="5160"/>
            <w:shd w:fill="EAF2F8"/>
            <w:vAlign w:val="center"/>
            <w:tcMar>
              <w:top w:w="100" w:type="dxa"/>
              <w:left w:w="120" w:type="dxa"/>
              <w:bottom w:w="100" w:type="dxa"/>
              <w:right w:w="120" w:type="dxa"/>
            </w:tcMar>
          </w:tcPr>
          <w:p>
            <w:r>
              <w:t>Deux zones PDF, modes mono-modèle et comparaison, paramètres applicables, tests de connexion, sections et exports séparés par modèle. Les résultats disponibles restent affichés lorsqu'un autre moteur échoue.</w:t>
            </w:r>
          </w:p>
        </w:tc>
      </w:tr>
      <w:tr>
        <w:tc>
          <w:tcPr>
            <w:tcW w:type="dxa" w:w="2300"/>
            <w:vAlign w:val="center"/>
            <w:tcMar>
              <w:top w:w="100" w:type="dxa"/>
              <w:left w:w="120" w:type="dxa"/>
              <w:bottom w:w="100" w:type="dxa"/>
              <w:right w:w="120" w:type="dxa"/>
            </w:tcMar>
          </w:tcPr>
          <w:p>
            <w:r>
              <w:t>Limites de couverture</w:t>
            </w:r>
          </w:p>
        </w:tc>
        <w:tc>
          <w:tcPr>
            <w:tcW w:type="dxa" w:w="1900"/>
            <w:vAlign w:val="center"/>
            <w:tcMar>
              <w:top w:w="100" w:type="dxa"/>
              <w:left w:w="120" w:type="dxa"/>
              <w:bottom w:w="100" w:type="dxa"/>
              <w:right w:w="120" w:type="dxa"/>
            </w:tcMar>
          </w:tcPr>
          <w:p>
            <w:r>
              <w:t>À traiter</w:t>
            </w:r>
          </w:p>
        </w:tc>
        <w:tc>
          <w:tcPr>
            <w:tcW w:type="dxa" w:w="5160"/>
            <w:vAlign w:val="center"/>
            <w:tcMar>
              <w:top w:w="100" w:type="dxa"/>
              <w:left w:w="120" w:type="dxa"/>
              <w:bottom w:w="100" w:type="dxa"/>
              <w:right w:w="120" w:type="dxa"/>
            </w:tcMar>
          </w:tcPr>
          <w:p>
            <w:r>
              <w:t>Tous les emplois actuels chargés sont comparés à toutes les cibles ; il n'existe toujours pas de test Streamlit automatisé, de test BGE-M3 réel dans pytest ni de test sur PDF réels. Les performances comparatives dépendent des serveurs et du nombre de paires Gemma.</w:t>
            </w:r>
          </w:p>
        </w:tc>
      </w:tr>
    </w:tbl>
    <w:p>
      <w:r>
        <w:t>Étapes ultérieures prioritaires : ajouter des tests Streamlit et sur PDF réels ; maintenir les appels aux modèles réels hors de pytest ; mesurer les temps sur des jeux représentatifs sans modifier les règles métier.</w:t>
      </w:r>
    </w:p>
    <w:p>
      <w:pPr>
        <w:pStyle w:val="Heading1"/>
      </w:pPr>
      <w:r>
        <w:t>15. Critères d'acceptation minimaux</w:t>
      </w:r>
    </w:p>
    <w:p>
      <w:pPr>
        <w:pStyle w:val="ListBullet"/>
      </w:pPr>
      <w:r>
        <w:t>La zone de chargement détermine le type de PDF sans détection automatique.</w:t>
      </w:r>
    </w:p>
    <w:p>
      <w:pPr>
        <w:pStyle w:val="ListBullet"/>
      </w:pPr>
      <w:r>
        <w:t>Les deux formats, y compris multipages, sont extraits puis normalisés vers les trois mêmes champs. Tout PDF scanné, ambigu, dont la structure est inexploitable ou dont la section attendue est absente est rejeté avec un diagnostic précis.</w:t>
      </w:r>
    </w:p>
    <w:p>
      <w:pPr>
        <w:pStyle w:val="ListBullet"/>
      </w:pPr>
      <w:r>
        <w:t>Le niveau reste séparé du texte encodé et aucun identifiant n'est requis.</w:t>
      </w:r>
    </w:p>
    <w:p>
      <w:pPr>
        <w:pStyle w:val="ListBullet"/>
      </w:pPr>
      <w:r>
        <w:t>Les égalités exactes de H_ac sont départagées par niveau, puis L_ac, puis de manière déterministe avec signalement.</w:t>
      </w:r>
    </w:p>
    <w:p>
      <w:pPr>
        <w:pStyle w:val="ListBullet"/>
      </w:pPr>
      <w:r>
        <w:t>Ecart_moyen_ef est pondéré par le niveau cible.</w:t>
      </w:r>
    </w:p>
    <w:p>
      <w:pPr>
        <w:pStyle w:val="ListBullet"/>
      </w:pPr>
      <w:r>
        <w:t>G_ef mesure les compétences reconnues sans niveau ; Gs_ef mesure les compétences entièrement satisfaites.</w:t>
      </w:r>
    </w:p>
    <w:p>
      <w:pPr>
        <w:pStyle w:val="ListBullet"/>
      </w:pPr>
      <w:r>
        <w:t>Seules les cibles avec G_ef &gt;= seuil_couv sont admissibles. seuil_sim et seuil_couv sont transmis au moteur depuis Streamlit ; leurs valeurs par défaut sont 0,70 avec un pas de 0,05. poids_dense et poids_sparse sont transmis à tous les calculs de H_ac, affichés et exportés ; leurs valeurs par défaut exactes sont 2/3 et 1/3, et une somme différente de 1 bloque l'analyse sans normalisation automatique.</w:t>
      </w:r>
    </w:p>
    <w:p>
      <w:pPr>
        <w:pStyle w:val="ListBullet"/>
      </w:pPr>
      <w:r>
        <w:t>La sélection utilise G_ef, puis Ecart_moyen_ef, puis Gs_ef ; la triple égalité demande un arbitrage RH.</w:t>
      </w:r>
    </w:p>
    <w:p>
      <w:pPr>
        <w:pStyle w:val="ListBullet"/>
      </w:pPr>
      <w:r>
        <w:t>Les recommandations sont produites uniquement après sélection et uniquement pour les emplois cibles sélectionnés ; le contrôle inverse et R_epfq restent informatifs et ne modifient aucun score ni la sélection.</w:t>
      </w:r>
    </w:p>
    <w:p>
      <w:pPr>
        <w:pStyle w:val="ListBullet"/>
      </w:pPr>
      <w:r>
        <w:t>Les PDF d'exemple ne sont pas ajoutés à Git ; l'exécution normale reste hors ligne ; les tests automatisés n'utilisent pas le vrai modèle et son test d'intégration reste manuel, séparé de pytest.</w:t>
      </w:r>
    </w:p>
    <w:p>
      <w:pPr>
        <w:pStyle w:val="Heading1"/>
      </w:pPr>
      <w:r>
        <w:t>16. Règles de travail pour l'IA de développement</w:t>
      </w:r>
    </w:p>
    <w:p>
      <w:pPr>
        <w:pStyle w:val="ListBullet"/>
      </w:pPr>
      <w:r>
        <w:t>Identifier les sections de ce cadrage concernées avant chaque tâche.</w:t>
      </w:r>
    </w:p>
    <w:p>
      <w:pPr>
        <w:pStyle w:val="ListBullet"/>
      </w:pPr>
      <w:r>
        <w:t>Considérer l'état implémenté décrit en section 14 comme la référence de suivi ; ne pas présenter les limites connues comme déjà résolues.</w:t>
      </w:r>
    </w:p>
    <w:p>
      <w:pPr>
        <w:pStyle w:val="ListBullet"/>
      </w:pPr>
      <w:r>
        <w:t>Ne jamais modifier silencieusement une formule, un seuil, une règle d'extraction ou une dépendance.</w:t>
      </w:r>
    </w:p>
    <w:p>
      <w:pPr>
        <w:pStyle w:val="ListBullet"/>
      </w:pPr>
      <w:r>
        <w:t>Séparer la logique métier de l'interface, centraliser la configuration et préserver la traçabilité.</w:t>
      </w:r>
    </w:p>
    <w:p>
      <w:pPr>
        <w:pStyle w:val="ListBullet"/>
      </w:pPr>
      <w:r>
        <w:t>Ajouter des tests de non-régression à chaque incrément sans charger le vrai modèle.</w:t>
      </w:r>
    </w:p>
    <w:p>
      <w:pPr>
        <w:pStyle w:val="ListBullet"/>
      </w:pPr>
      <w:r>
        <w:t>En cas d'ambiguïté ou de contradiction, arrêter l'implémentation concernée et demander une décision.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left w:w="120" w:type="dxa"/>
              <w:bottom w:w="100" w:type="dxa"/>
              <w:right w:w="120" w:type="dxa"/>
            </w:tcMar>
            <w:shd w:fill="EAF2F8"/>
          </w:tcPr>
          <w:p>
            <w:r>
              <w:t>Définition de terminé. Une fonctionnalité est terminée uniquement si elle respecte ce cadrage, possède des tests, fonctionne sur des données fictives et n'introduit aucune dépendance réseau pendant l'exécution normale.</w:t>
            </w:r>
          </w:p>
        </w:tc>
      </w:tr>
    </w:tbl>
    <w:sectPr w:rsidR="00FC693F" w:rsidRPr="0006063C" w:rsidSect="00034616">
      <w:headerReference w:type="default" r:id="rId9"/>
      <w:footerReference w:type="default" r:id="rId10"/>
      <w:pgSz w:w="12240" w:h="15840"/>
      <w:pgMar w:top="936" w:right="1296" w:bottom="936"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 xml:space="preserve">Page </w:t>
    </w:r>
    <w:r>
      <w:rPr>
        <w:rFonts w:ascii="Calibri" w:hAnsi="Calibri"/>
        <w:b w:val="0"/>
        <w:i w:val="0"/>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line="240" w:lineRule="auto"/>
      <w:jc w:val="left"/>
    </w:pPr>
    <w:r>
      <w:rPr>
        <w:rFonts w:ascii="Arial" w:hAnsi="Arial"/>
        <w:b/>
        <w:color w:val="64748B"/>
        <w:sz w:val="18"/>
      </w:rPr>
      <w:t>CADRAGE TECHNIQUE | MODELE DE RAPPROCHEMENT DES EMPLOIS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Feuille de cadrage IA - développement du modèle de rapprochement des emplois</dc:title>
  <dc:subject>Source de vérité pour le développement du PoC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