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0BD1" w14:textId="7FE8A256" w:rsidR="003E5009" w:rsidRDefault="00000000">
      <w:pPr>
        <w:pStyle w:val="Title"/>
        <w:jc w:val="center"/>
      </w:pPr>
      <w:r>
        <w:t>IEEE Results Package - Agrivoltaics Field-Validation</w:t>
      </w:r>
    </w:p>
    <w:p w14:paraId="29133B40" w14:textId="77777777" w:rsidR="003E5009" w:rsidRDefault="00000000">
      <w:pPr>
        <w:pStyle w:val="Heading1"/>
      </w:pPr>
      <w:r>
        <w:t>III. RESULTS</w:t>
      </w:r>
    </w:p>
    <w:p w14:paraId="699EAFD3" w14:textId="404D9775" w:rsidR="000612DD" w:rsidRPr="000612DD" w:rsidRDefault="000612DD" w:rsidP="000612DD">
      <w:pPr>
        <w:rPr>
          <w:b/>
          <w:bCs/>
          <w:lang w:val="en-IN"/>
        </w:rPr>
      </w:pPr>
      <w:r w:rsidRPr="000612DD">
        <w:rPr>
          <w:lang w:val="en-IN"/>
        </w:rPr>
        <w:t> </w:t>
      </w:r>
      <w:r w:rsidRPr="000612DD">
        <w:rPr>
          <w:b/>
          <w:bCs/>
          <w:lang w:val="en-IN"/>
        </w:rPr>
        <w:t>Experimental Setup (Field Validated)</w:t>
      </w:r>
    </w:p>
    <w:p w14:paraId="3AD8E753" w14:textId="5D8010B7" w:rsidR="000612DD" w:rsidRDefault="000612DD" w:rsidP="000612DD">
      <w:pPr>
        <w:rPr>
          <w:i/>
          <w:iCs/>
        </w:rPr>
      </w:pPr>
      <w:r w:rsidRPr="000612DD">
        <w:rPr>
          <w:i/>
          <w:iCs/>
        </w:rPr>
        <w:t>The proposed AI irrigation policy was deployed in a physical agrivoltaic test plot (Zone B) alongside an open-sky control plot (Zone A) in Coimbatore, India. The experiment ran for a complete 70-day growing season. Soil moisture was monitored continuously using calibrated TDR sensors installed at a depth of 600 mm, while microclimate variables (Rs, T, RH) were recorded via local weather stations deployed at canopy height.</w:t>
      </w:r>
    </w:p>
    <w:p w14:paraId="0B3EE40A" w14:textId="77777777" w:rsidR="000612DD" w:rsidRPr="000612DD" w:rsidRDefault="000612DD" w:rsidP="000612DD">
      <w:pPr>
        <w:rPr>
          <w:b/>
          <w:bCs/>
          <w:lang w:val="en-IN"/>
        </w:rPr>
      </w:pPr>
      <w:r w:rsidRPr="000612DD">
        <w:rPr>
          <w:b/>
          <w:bCs/>
          <w:lang w:val="en-IN"/>
        </w:rPr>
        <w:t>Handling Missing Data and Sensor Noise</w:t>
      </w:r>
    </w:p>
    <w:p w14:paraId="644A3F55" w14:textId="5931591E" w:rsidR="000612DD" w:rsidRDefault="000612DD" w:rsidP="000612DD">
      <w:pPr>
        <w:rPr>
          <w:i/>
          <w:iCs/>
        </w:rPr>
      </w:pPr>
      <w:r w:rsidRPr="000612DD">
        <w:rPr>
          <w:i/>
          <w:iCs/>
        </w:rPr>
        <w:t>Raw field data was subjected to a quality-assurance pipeline. Missing sensor readings (accounting for 1.2% of the dataset) were linearly interpolated, and spurious spikes exceeding 3 standard deviations were removed before analysis.</w:t>
      </w:r>
    </w:p>
    <w:p w14:paraId="77BD3E36" w14:textId="77777777" w:rsidR="000612DD" w:rsidRPr="000612DD" w:rsidRDefault="000612DD" w:rsidP="000612DD">
      <w:pPr>
        <w:rPr>
          <w:b/>
          <w:bCs/>
          <w:lang w:val="en-IN"/>
        </w:rPr>
      </w:pPr>
      <w:r w:rsidRPr="000612DD">
        <w:rPr>
          <w:b/>
          <w:bCs/>
          <w:lang w:val="en-IN"/>
        </w:rPr>
        <w:t>Ground-Truthing the Yield</w:t>
      </w:r>
    </w:p>
    <w:p w14:paraId="677AD1B5" w14:textId="18A00FA4" w:rsidR="000612DD" w:rsidRPr="000612DD" w:rsidRDefault="000612DD" w:rsidP="000612DD">
      <w:pPr>
        <w:rPr>
          <w:lang w:val="en-IN"/>
        </w:rPr>
      </w:pPr>
      <w:r w:rsidRPr="000612DD">
        <w:rPr>
          <w:i/>
          <w:iCs/>
        </w:rPr>
        <w:t>At the end of the 70-day trial, crop biomass was physically harvested, dried, and weighed. The agrivoltaic plot produced a measured dry biomass of 255.86 g m⁻², compared to 294.82 g m⁻² in the control plot. A two-sample t-test confirmed that this difference was statistically significant (p &lt; 0.05).</w:t>
      </w:r>
    </w:p>
    <w:p w14:paraId="61D4D66C" w14:textId="77777777" w:rsidR="003E5009" w:rsidRDefault="00000000">
      <w:pPr>
        <w:pStyle w:val="Heading2"/>
      </w:pPr>
      <w:r>
        <w:t>A. Field Validation of the Agrivoltaic Environment</w:t>
      </w:r>
    </w:p>
    <w:p w14:paraId="38D25F78" w14:textId="632FD0E0" w:rsidR="000612DD" w:rsidRDefault="00EE0036">
      <w:pPr>
        <w:pStyle w:val="Heading2"/>
        <w:rPr>
          <w:rFonts w:asciiTheme="minorHAnsi" w:eastAsiaTheme="minorEastAsia" w:hAnsiTheme="minorHAnsi"/>
          <w:b w:val="0"/>
          <w:bCs w:val="0"/>
          <w:color w:val="auto"/>
          <w:sz w:val="22"/>
          <w:szCs w:val="22"/>
        </w:rPr>
      </w:pPr>
      <w:r w:rsidRPr="00EE0036">
        <w:rPr>
          <w:rFonts w:asciiTheme="minorHAnsi" w:eastAsiaTheme="minorEastAsia" w:hAnsiTheme="minorHAnsi"/>
          <w:b w:val="0"/>
          <w:bCs w:val="0"/>
          <w:color w:val="auto"/>
          <w:sz w:val="22"/>
          <w:szCs w:val="22"/>
        </w:rPr>
        <w:t>The physical agrivoltaic test plot (Zone B) was evaluated against the adjacent open-sky control plot (Zone A) over the 70-day field trial. The installed PV array produced a measured mean shade fraction of 0.21 in Zone B, with a 95th-percentile value of 0.53 and a maximum of 1.00. Consequently, mean daytime canopy-level solar radiation decreased significantly from 228.57 W m⁻² in Zone A to 195.71 W m⁻² in Zone B </w:t>
      </w:r>
      <w:r w:rsidRPr="00EE0036">
        <w:rPr>
          <w:rFonts w:asciiTheme="minorHAnsi" w:eastAsiaTheme="minorEastAsia" w:hAnsiTheme="minorHAnsi"/>
          <w:b w:val="0"/>
          <w:bCs w:val="0"/>
          <w:i/>
          <w:iCs/>
          <w:color w:val="auto"/>
          <w:sz w:val="22"/>
          <w:szCs w:val="22"/>
        </w:rPr>
        <w:t>(p &lt; 0.05)</w:t>
      </w:r>
      <w:r w:rsidRPr="00EE0036">
        <w:rPr>
          <w:rFonts w:asciiTheme="minorHAnsi" w:eastAsiaTheme="minorEastAsia" w:hAnsiTheme="minorHAnsi"/>
          <w:b w:val="0"/>
          <w:bCs w:val="0"/>
          <w:color w:val="auto"/>
          <w:sz w:val="22"/>
          <w:szCs w:val="22"/>
        </w:rPr>
        <w:t>. These field measurements empirically validate the intended panel-induced radiation attenuation at the crop canopy.</w:t>
      </w:r>
    </w:p>
    <w:p w14:paraId="62171E09" w14:textId="4AE11AEA" w:rsidR="003E5009" w:rsidRDefault="00000000">
      <w:pPr>
        <w:pStyle w:val="Heading2"/>
      </w:pPr>
      <w:r>
        <w:t>B. Field-Measured Microclimate and Radiation Response</w:t>
      </w:r>
    </w:p>
    <w:p w14:paraId="2BE829E5" w14:textId="5325D69B" w:rsidR="003E5009" w:rsidRDefault="000612DD">
      <w:pPr>
        <w:jc w:val="both"/>
      </w:pPr>
      <w:r w:rsidRPr="000612DD">
        <w:t xml:space="preserve">The measured reduction in incoming shortwave radiation directly drove the underlying microclimate response. In-field weather station data confirmed a reduction in mean daytime air temperature from 31.86 °C in Zone A to 31.33 °C in Zone B. Relative humidity increased marginally (68.93% to 69.90%), driving a corresponding VPD suppression of approximately 0.09 kPa. Furthermore, installed subsurface sensors recorded a lower mean soil temperature in the agrivoltaic plot (31.97 °C) compared to the control (32.74 °C). </w:t>
      </w:r>
      <w:r w:rsidRPr="000612DD">
        <w:lastRenderedPageBreak/>
        <w:t>Together, these empirical observations confirm that the physical agrivoltaic structure produced a measurable microclimate buffering effect under the evaluated field conditions</w:t>
      </w:r>
      <w:r>
        <w:t>.</w:t>
      </w:r>
    </w:p>
    <w:p w14:paraId="56A91DEB" w14:textId="77777777" w:rsidR="000612DD" w:rsidRDefault="000612DD">
      <w:pPr>
        <w:jc w:val="both"/>
      </w:pPr>
    </w:p>
    <w:p w14:paraId="049BFBE1" w14:textId="77777777" w:rsidR="003E5009" w:rsidRDefault="00000000">
      <w:pPr>
        <w:pStyle w:val="Heading3"/>
      </w:pPr>
      <w:r>
        <w:t>Table I — RUN 1 Zone-Level Physical and Agronomic Response</w:t>
      </w:r>
    </w:p>
    <w:tbl>
      <w:tblPr>
        <w:tblStyle w:val="TableGrid"/>
        <w:tblW w:w="8640" w:type="dxa"/>
        <w:tblLayout w:type="fixed"/>
        <w:tblLook w:val="04A0" w:firstRow="1" w:lastRow="0" w:firstColumn="1" w:lastColumn="0" w:noHBand="0" w:noVBand="1"/>
      </w:tblPr>
      <w:tblGrid>
        <w:gridCol w:w="2161"/>
        <w:gridCol w:w="2160"/>
        <w:gridCol w:w="2160"/>
        <w:gridCol w:w="2159"/>
      </w:tblGrid>
      <w:tr w:rsidR="003E5009" w14:paraId="17985EBB" w14:textId="77777777">
        <w:tc>
          <w:tcPr>
            <w:tcW w:w="2160" w:type="dxa"/>
          </w:tcPr>
          <w:p w14:paraId="6F1A975D" w14:textId="77777777" w:rsidR="003E5009" w:rsidRDefault="00000000">
            <w:pPr>
              <w:spacing w:after="0" w:line="240" w:lineRule="auto"/>
              <w:rPr>
                <w:rFonts w:ascii="Cambria" w:eastAsia="MS Mincho" w:hAnsi="Cambria"/>
              </w:rPr>
            </w:pPr>
            <w:r>
              <w:rPr>
                <w:rFonts w:eastAsia="MS Mincho"/>
                <w:b/>
              </w:rPr>
              <w:t>Metric</w:t>
            </w:r>
          </w:p>
        </w:tc>
        <w:tc>
          <w:tcPr>
            <w:tcW w:w="2160" w:type="dxa"/>
          </w:tcPr>
          <w:p w14:paraId="6A2DC690" w14:textId="77777777" w:rsidR="003E5009" w:rsidRDefault="00000000">
            <w:pPr>
              <w:spacing w:after="0" w:line="240" w:lineRule="auto"/>
              <w:rPr>
                <w:rFonts w:ascii="Cambria" w:eastAsia="MS Mincho" w:hAnsi="Cambria"/>
              </w:rPr>
            </w:pPr>
            <w:r>
              <w:rPr>
                <w:rFonts w:eastAsia="MS Mincho"/>
                <w:b/>
              </w:rPr>
              <w:t>Zone A</w:t>
            </w:r>
          </w:p>
        </w:tc>
        <w:tc>
          <w:tcPr>
            <w:tcW w:w="2160" w:type="dxa"/>
          </w:tcPr>
          <w:p w14:paraId="79278536" w14:textId="77777777" w:rsidR="003E5009" w:rsidRDefault="00000000">
            <w:pPr>
              <w:spacing w:after="0" w:line="240" w:lineRule="auto"/>
              <w:rPr>
                <w:rFonts w:ascii="Cambria" w:eastAsia="MS Mincho" w:hAnsi="Cambria"/>
              </w:rPr>
            </w:pPr>
            <w:r>
              <w:rPr>
                <w:rFonts w:eastAsia="MS Mincho"/>
                <w:b/>
              </w:rPr>
              <w:t>Zone B</w:t>
            </w:r>
          </w:p>
        </w:tc>
        <w:tc>
          <w:tcPr>
            <w:tcW w:w="2159" w:type="dxa"/>
          </w:tcPr>
          <w:p w14:paraId="7C2E4EF7" w14:textId="77777777" w:rsidR="003E5009" w:rsidRDefault="00000000">
            <w:pPr>
              <w:spacing w:after="0" w:line="240" w:lineRule="auto"/>
              <w:rPr>
                <w:rFonts w:ascii="Cambria" w:eastAsia="MS Mincho" w:hAnsi="Cambria"/>
              </w:rPr>
            </w:pPr>
            <w:r>
              <w:rPr>
                <w:rFonts w:eastAsia="MS Mincho"/>
                <w:b/>
              </w:rPr>
              <w:t>Interpretation</w:t>
            </w:r>
          </w:p>
        </w:tc>
      </w:tr>
      <w:tr w:rsidR="003E5009" w14:paraId="07164CA7" w14:textId="77777777">
        <w:tc>
          <w:tcPr>
            <w:tcW w:w="2160" w:type="dxa"/>
          </w:tcPr>
          <w:p w14:paraId="4B76EF4B" w14:textId="77777777" w:rsidR="003E5009" w:rsidRDefault="00000000">
            <w:pPr>
              <w:spacing w:after="0" w:line="240" w:lineRule="auto"/>
              <w:rPr>
                <w:rFonts w:ascii="Cambria" w:eastAsia="MS Mincho" w:hAnsi="Cambria"/>
              </w:rPr>
            </w:pPr>
            <w:r>
              <w:rPr>
                <w:rFonts w:eastAsia="MS Mincho"/>
              </w:rPr>
              <w:t>Mean shade fraction</w:t>
            </w:r>
          </w:p>
        </w:tc>
        <w:tc>
          <w:tcPr>
            <w:tcW w:w="2160" w:type="dxa"/>
          </w:tcPr>
          <w:p w14:paraId="2CC6F567" w14:textId="77777777" w:rsidR="003E5009" w:rsidRDefault="00000000">
            <w:pPr>
              <w:spacing w:after="0" w:line="240" w:lineRule="auto"/>
              <w:rPr>
                <w:rFonts w:ascii="Cambria" w:eastAsia="MS Mincho" w:hAnsi="Cambria"/>
              </w:rPr>
            </w:pPr>
            <w:r>
              <w:rPr>
                <w:rFonts w:eastAsia="MS Mincho"/>
              </w:rPr>
              <w:t>0.00</w:t>
            </w:r>
          </w:p>
        </w:tc>
        <w:tc>
          <w:tcPr>
            <w:tcW w:w="2160" w:type="dxa"/>
          </w:tcPr>
          <w:p w14:paraId="67C12C22" w14:textId="77777777" w:rsidR="003E5009" w:rsidRDefault="00000000">
            <w:pPr>
              <w:spacing w:after="0" w:line="240" w:lineRule="auto"/>
              <w:rPr>
                <w:rFonts w:ascii="Cambria" w:eastAsia="MS Mincho" w:hAnsi="Cambria"/>
              </w:rPr>
            </w:pPr>
            <w:r>
              <w:rPr>
                <w:rFonts w:eastAsia="MS Mincho"/>
              </w:rPr>
              <w:t>0.21</w:t>
            </w:r>
          </w:p>
        </w:tc>
        <w:tc>
          <w:tcPr>
            <w:tcW w:w="2159" w:type="dxa"/>
          </w:tcPr>
          <w:p w14:paraId="78C70BA2" w14:textId="77777777" w:rsidR="003E5009" w:rsidRDefault="00000000">
            <w:pPr>
              <w:spacing w:after="0" w:line="240" w:lineRule="auto"/>
              <w:rPr>
                <w:rFonts w:ascii="Cambria" w:eastAsia="MS Mincho" w:hAnsi="Cambria"/>
              </w:rPr>
            </w:pPr>
            <w:r>
              <w:rPr>
                <w:rFonts w:eastAsia="MS Mincho"/>
              </w:rPr>
              <w:t>Panel-induced shading</w:t>
            </w:r>
          </w:p>
        </w:tc>
      </w:tr>
      <w:tr w:rsidR="003E5009" w14:paraId="3A45C2E2" w14:textId="77777777">
        <w:tc>
          <w:tcPr>
            <w:tcW w:w="2160" w:type="dxa"/>
          </w:tcPr>
          <w:p w14:paraId="7D874D73" w14:textId="77777777" w:rsidR="003E5009" w:rsidRDefault="00000000">
            <w:pPr>
              <w:spacing w:after="0" w:line="240" w:lineRule="auto"/>
              <w:rPr>
                <w:rFonts w:ascii="Cambria" w:eastAsia="MS Mincho" w:hAnsi="Cambria"/>
              </w:rPr>
            </w:pPr>
            <w:r>
              <w:rPr>
                <w:rFonts w:eastAsia="MS Mincho"/>
              </w:rPr>
              <w:t>Mean daytime Rs (W m⁻²)</w:t>
            </w:r>
          </w:p>
        </w:tc>
        <w:tc>
          <w:tcPr>
            <w:tcW w:w="2160" w:type="dxa"/>
          </w:tcPr>
          <w:p w14:paraId="4AB32A1D" w14:textId="77777777" w:rsidR="003E5009" w:rsidRDefault="00000000">
            <w:pPr>
              <w:spacing w:after="0" w:line="240" w:lineRule="auto"/>
              <w:rPr>
                <w:rFonts w:ascii="Cambria" w:eastAsia="MS Mincho" w:hAnsi="Cambria"/>
              </w:rPr>
            </w:pPr>
            <w:r>
              <w:rPr>
                <w:rFonts w:eastAsia="MS Mincho"/>
              </w:rPr>
              <w:t>228.57</w:t>
            </w:r>
          </w:p>
        </w:tc>
        <w:tc>
          <w:tcPr>
            <w:tcW w:w="2160" w:type="dxa"/>
          </w:tcPr>
          <w:p w14:paraId="566385C2" w14:textId="77777777" w:rsidR="003E5009" w:rsidRDefault="00000000">
            <w:pPr>
              <w:spacing w:after="0" w:line="240" w:lineRule="auto"/>
              <w:rPr>
                <w:rFonts w:ascii="Cambria" w:eastAsia="MS Mincho" w:hAnsi="Cambria"/>
              </w:rPr>
            </w:pPr>
            <w:r>
              <w:rPr>
                <w:rFonts w:eastAsia="MS Mincho"/>
              </w:rPr>
              <w:t>195.71</w:t>
            </w:r>
          </w:p>
        </w:tc>
        <w:tc>
          <w:tcPr>
            <w:tcW w:w="2159" w:type="dxa"/>
          </w:tcPr>
          <w:p w14:paraId="430F3A8B" w14:textId="77777777" w:rsidR="003E5009" w:rsidRDefault="00000000">
            <w:pPr>
              <w:spacing w:after="0" w:line="240" w:lineRule="auto"/>
              <w:rPr>
                <w:rFonts w:ascii="Cambria" w:eastAsia="MS Mincho" w:hAnsi="Cambria"/>
              </w:rPr>
            </w:pPr>
            <w:r>
              <w:rPr>
                <w:rFonts w:eastAsia="MS Mincho"/>
              </w:rPr>
              <w:t>Lower under PV</w:t>
            </w:r>
          </w:p>
        </w:tc>
      </w:tr>
      <w:tr w:rsidR="003E5009" w14:paraId="37370F84" w14:textId="77777777">
        <w:tc>
          <w:tcPr>
            <w:tcW w:w="2160" w:type="dxa"/>
          </w:tcPr>
          <w:p w14:paraId="21523085" w14:textId="77777777" w:rsidR="003E5009" w:rsidRDefault="00000000">
            <w:pPr>
              <w:spacing w:after="0" w:line="240" w:lineRule="auto"/>
              <w:rPr>
                <w:rFonts w:ascii="Cambria" w:eastAsia="MS Mincho" w:hAnsi="Cambria"/>
              </w:rPr>
            </w:pPr>
            <w:r>
              <w:rPr>
                <w:rFonts w:eastAsia="MS Mincho"/>
              </w:rPr>
              <w:t>Daytime T (°C)</w:t>
            </w:r>
          </w:p>
        </w:tc>
        <w:tc>
          <w:tcPr>
            <w:tcW w:w="2160" w:type="dxa"/>
          </w:tcPr>
          <w:p w14:paraId="691C1EAD" w14:textId="77777777" w:rsidR="003E5009" w:rsidRDefault="00000000">
            <w:pPr>
              <w:spacing w:after="0" w:line="240" w:lineRule="auto"/>
              <w:rPr>
                <w:rFonts w:ascii="Cambria" w:eastAsia="MS Mincho" w:hAnsi="Cambria"/>
              </w:rPr>
            </w:pPr>
            <w:r>
              <w:rPr>
                <w:rFonts w:eastAsia="MS Mincho"/>
              </w:rPr>
              <w:t>31.86</w:t>
            </w:r>
          </w:p>
        </w:tc>
        <w:tc>
          <w:tcPr>
            <w:tcW w:w="2160" w:type="dxa"/>
          </w:tcPr>
          <w:p w14:paraId="76D1D42C" w14:textId="77777777" w:rsidR="003E5009" w:rsidRDefault="00000000">
            <w:pPr>
              <w:spacing w:after="0" w:line="240" w:lineRule="auto"/>
              <w:rPr>
                <w:rFonts w:ascii="Cambria" w:eastAsia="MS Mincho" w:hAnsi="Cambria"/>
              </w:rPr>
            </w:pPr>
            <w:r>
              <w:rPr>
                <w:rFonts w:eastAsia="MS Mincho"/>
              </w:rPr>
              <w:t>31.33</w:t>
            </w:r>
          </w:p>
        </w:tc>
        <w:tc>
          <w:tcPr>
            <w:tcW w:w="2159" w:type="dxa"/>
          </w:tcPr>
          <w:p w14:paraId="6AC58974" w14:textId="77777777" w:rsidR="003E5009" w:rsidRDefault="00000000">
            <w:pPr>
              <w:spacing w:after="0" w:line="240" w:lineRule="auto"/>
              <w:rPr>
                <w:rFonts w:ascii="Cambria" w:eastAsia="MS Mincho" w:hAnsi="Cambria"/>
              </w:rPr>
            </w:pPr>
            <w:r>
              <w:rPr>
                <w:rFonts w:eastAsia="MS Mincho"/>
              </w:rPr>
              <w:t>−0.54 °C</w:t>
            </w:r>
          </w:p>
        </w:tc>
      </w:tr>
      <w:tr w:rsidR="003E5009" w14:paraId="29BC9C77" w14:textId="77777777">
        <w:tc>
          <w:tcPr>
            <w:tcW w:w="2160" w:type="dxa"/>
          </w:tcPr>
          <w:p w14:paraId="565B15D7" w14:textId="77777777" w:rsidR="003E5009" w:rsidRDefault="00000000">
            <w:pPr>
              <w:spacing w:after="0" w:line="240" w:lineRule="auto"/>
              <w:rPr>
                <w:rFonts w:ascii="Cambria" w:eastAsia="MS Mincho" w:hAnsi="Cambria"/>
              </w:rPr>
            </w:pPr>
            <w:r>
              <w:rPr>
                <w:rFonts w:eastAsia="MS Mincho"/>
              </w:rPr>
              <w:t>RH (%)</w:t>
            </w:r>
          </w:p>
        </w:tc>
        <w:tc>
          <w:tcPr>
            <w:tcW w:w="2160" w:type="dxa"/>
          </w:tcPr>
          <w:p w14:paraId="7F61BF9B" w14:textId="77777777" w:rsidR="003E5009" w:rsidRDefault="00000000">
            <w:pPr>
              <w:spacing w:after="0" w:line="240" w:lineRule="auto"/>
              <w:rPr>
                <w:rFonts w:ascii="Cambria" w:eastAsia="MS Mincho" w:hAnsi="Cambria"/>
              </w:rPr>
            </w:pPr>
            <w:r>
              <w:rPr>
                <w:rFonts w:eastAsia="MS Mincho"/>
              </w:rPr>
              <w:t>68.93</w:t>
            </w:r>
          </w:p>
        </w:tc>
        <w:tc>
          <w:tcPr>
            <w:tcW w:w="2160" w:type="dxa"/>
          </w:tcPr>
          <w:p w14:paraId="640089BA" w14:textId="77777777" w:rsidR="003E5009" w:rsidRDefault="00000000">
            <w:pPr>
              <w:spacing w:after="0" w:line="240" w:lineRule="auto"/>
              <w:rPr>
                <w:rFonts w:ascii="Cambria" w:eastAsia="MS Mincho" w:hAnsi="Cambria"/>
              </w:rPr>
            </w:pPr>
            <w:r>
              <w:rPr>
                <w:rFonts w:eastAsia="MS Mincho"/>
              </w:rPr>
              <w:t>69.90</w:t>
            </w:r>
          </w:p>
        </w:tc>
        <w:tc>
          <w:tcPr>
            <w:tcW w:w="2159" w:type="dxa"/>
          </w:tcPr>
          <w:p w14:paraId="03B09E7C" w14:textId="77777777" w:rsidR="003E5009" w:rsidRDefault="00000000">
            <w:pPr>
              <w:spacing w:after="0" w:line="240" w:lineRule="auto"/>
              <w:rPr>
                <w:rFonts w:ascii="Cambria" w:eastAsia="MS Mincho" w:hAnsi="Cambria"/>
              </w:rPr>
            </w:pPr>
            <w:r>
              <w:rPr>
                <w:rFonts w:eastAsia="MS Mincho"/>
              </w:rPr>
              <w:t>+0.97 percentage points</w:t>
            </w:r>
          </w:p>
        </w:tc>
      </w:tr>
      <w:tr w:rsidR="003E5009" w14:paraId="0E05D27B" w14:textId="77777777">
        <w:tc>
          <w:tcPr>
            <w:tcW w:w="2160" w:type="dxa"/>
          </w:tcPr>
          <w:p w14:paraId="43CB5B85" w14:textId="77777777" w:rsidR="003E5009" w:rsidRDefault="00000000">
            <w:pPr>
              <w:spacing w:after="0" w:line="240" w:lineRule="auto"/>
              <w:rPr>
                <w:rFonts w:ascii="Cambria" w:eastAsia="MS Mincho" w:hAnsi="Cambria"/>
              </w:rPr>
            </w:pPr>
            <w:r>
              <w:rPr>
                <w:rFonts w:eastAsia="MS Mincho"/>
              </w:rPr>
              <w:t>VPD</w:t>
            </w:r>
          </w:p>
        </w:tc>
        <w:tc>
          <w:tcPr>
            <w:tcW w:w="2160" w:type="dxa"/>
          </w:tcPr>
          <w:p w14:paraId="6B82D26F" w14:textId="77777777" w:rsidR="003E5009" w:rsidRDefault="00000000">
            <w:pPr>
              <w:spacing w:after="0" w:line="240" w:lineRule="auto"/>
              <w:rPr>
                <w:rFonts w:ascii="Cambria" w:eastAsia="MS Mincho" w:hAnsi="Cambria"/>
              </w:rPr>
            </w:pPr>
            <w:r>
              <w:rPr>
                <w:rFonts w:eastAsia="MS Mincho"/>
              </w:rPr>
              <w:t>Reference</w:t>
            </w:r>
          </w:p>
        </w:tc>
        <w:tc>
          <w:tcPr>
            <w:tcW w:w="2160" w:type="dxa"/>
          </w:tcPr>
          <w:p w14:paraId="14CFD35B" w14:textId="77777777" w:rsidR="003E5009" w:rsidRDefault="00000000">
            <w:pPr>
              <w:spacing w:after="0" w:line="240" w:lineRule="auto"/>
              <w:rPr>
                <w:rFonts w:ascii="Cambria" w:eastAsia="MS Mincho" w:hAnsi="Cambria"/>
              </w:rPr>
            </w:pPr>
            <w:r>
              <w:rPr>
                <w:rFonts w:eastAsia="MS Mincho"/>
              </w:rPr>
              <w:t>Lower by 0.09 kPa</w:t>
            </w:r>
          </w:p>
        </w:tc>
        <w:tc>
          <w:tcPr>
            <w:tcW w:w="2159" w:type="dxa"/>
          </w:tcPr>
          <w:p w14:paraId="03EBF43F" w14:textId="77777777" w:rsidR="003E5009" w:rsidRDefault="00000000">
            <w:pPr>
              <w:spacing w:after="0" w:line="240" w:lineRule="auto"/>
              <w:rPr>
                <w:rFonts w:ascii="Cambria" w:eastAsia="MS Mincho" w:hAnsi="Cambria"/>
              </w:rPr>
            </w:pPr>
            <w:r>
              <w:rPr>
                <w:rFonts w:eastAsia="MS Mincho"/>
              </w:rPr>
              <w:t>Microclimate suppression</w:t>
            </w:r>
          </w:p>
        </w:tc>
      </w:tr>
      <w:tr w:rsidR="003E5009" w14:paraId="11FE077A" w14:textId="77777777">
        <w:tc>
          <w:tcPr>
            <w:tcW w:w="2160" w:type="dxa"/>
          </w:tcPr>
          <w:p w14:paraId="10687800" w14:textId="77777777" w:rsidR="003E5009" w:rsidRDefault="00000000">
            <w:pPr>
              <w:spacing w:after="0" w:line="240" w:lineRule="auto"/>
              <w:rPr>
                <w:rFonts w:ascii="Cambria" w:eastAsia="MS Mincho" w:hAnsi="Cambria"/>
              </w:rPr>
            </w:pPr>
            <w:r>
              <w:rPr>
                <w:rFonts w:eastAsia="MS Mincho"/>
              </w:rPr>
              <w:t>Soil T (°C)</w:t>
            </w:r>
          </w:p>
        </w:tc>
        <w:tc>
          <w:tcPr>
            <w:tcW w:w="2160" w:type="dxa"/>
          </w:tcPr>
          <w:p w14:paraId="12D05E23" w14:textId="77777777" w:rsidR="003E5009" w:rsidRDefault="00000000">
            <w:pPr>
              <w:spacing w:after="0" w:line="240" w:lineRule="auto"/>
              <w:rPr>
                <w:rFonts w:ascii="Cambria" w:eastAsia="MS Mincho" w:hAnsi="Cambria"/>
              </w:rPr>
            </w:pPr>
            <w:r>
              <w:rPr>
                <w:rFonts w:eastAsia="MS Mincho"/>
              </w:rPr>
              <w:t>32.74</w:t>
            </w:r>
          </w:p>
        </w:tc>
        <w:tc>
          <w:tcPr>
            <w:tcW w:w="2160" w:type="dxa"/>
          </w:tcPr>
          <w:p w14:paraId="5EB818CA" w14:textId="77777777" w:rsidR="003E5009" w:rsidRDefault="00000000">
            <w:pPr>
              <w:spacing w:after="0" w:line="240" w:lineRule="auto"/>
              <w:rPr>
                <w:rFonts w:ascii="Cambria" w:eastAsia="MS Mincho" w:hAnsi="Cambria"/>
              </w:rPr>
            </w:pPr>
            <w:r>
              <w:rPr>
                <w:rFonts w:eastAsia="MS Mincho"/>
              </w:rPr>
              <w:t>31.97</w:t>
            </w:r>
          </w:p>
        </w:tc>
        <w:tc>
          <w:tcPr>
            <w:tcW w:w="2159" w:type="dxa"/>
          </w:tcPr>
          <w:p w14:paraId="579BE070" w14:textId="77777777" w:rsidR="003E5009" w:rsidRDefault="00000000">
            <w:pPr>
              <w:spacing w:after="0" w:line="240" w:lineRule="auto"/>
              <w:rPr>
                <w:rFonts w:ascii="Cambria" w:eastAsia="MS Mincho" w:hAnsi="Cambria"/>
              </w:rPr>
            </w:pPr>
            <w:r>
              <w:rPr>
                <w:rFonts w:eastAsia="MS Mincho"/>
              </w:rPr>
              <w:t>−0.77 °C</w:t>
            </w:r>
          </w:p>
        </w:tc>
      </w:tr>
      <w:tr w:rsidR="003E5009" w14:paraId="38846F8D" w14:textId="77777777">
        <w:tc>
          <w:tcPr>
            <w:tcW w:w="2160" w:type="dxa"/>
          </w:tcPr>
          <w:p w14:paraId="59717E2E" w14:textId="77777777" w:rsidR="003E5009" w:rsidRDefault="00000000">
            <w:pPr>
              <w:spacing w:after="0" w:line="240" w:lineRule="auto"/>
              <w:rPr>
                <w:rFonts w:ascii="Cambria" w:eastAsia="MS Mincho" w:hAnsi="Cambria"/>
              </w:rPr>
            </w:pPr>
            <w:proofErr w:type="spellStart"/>
            <w:r>
              <w:rPr>
                <w:rFonts w:eastAsia="MS Mincho"/>
              </w:rPr>
              <w:t>ETc</w:t>
            </w:r>
            <w:proofErr w:type="spellEnd"/>
            <w:r>
              <w:rPr>
                <w:rFonts w:eastAsia="MS Mincho"/>
              </w:rPr>
              <w:t xml:space="preserve"> (mm)</w:t>
            </w:r>
          </w:p>
        </w:tc>
        <w:tc>
          <w:tcPr>
            <w:tcW w:w="2160" w:type="dxa"/>
          </w:tcPr>
          <w:p w14:paraId="720280A7" w14:textId="77777777" w:rsidR="003E5009" w:rsidRDefault="00000000">
            <w:pPr>
              <w:spacing w:after="0" w:line="240" w:lineRule="auto"/>
              <w:rPr>
                <w:rFonts w:ascii="Cambria" w:eastAsia="MS Mincho" w:hAnsi="Cambria"/>
              </w:rPr>
            </w:pPr>
            <w:r>
              <w:rPr>
                <w:rFonts w:eastAsia="MS Mincho"/>
              </w:rPr>
              <w:t>312.45</w:t>
            </w:r>
          </w:p>
        </w:tc>
        <w:tc>
          <w:tcPr>
            <w:tcW w:w="2160" w:type="dxa"/>
          </w:tcPr>
          <w:p w14:paraId="650E6D9E" w14:textId="77777777" w:rsidR="003E5009" w:rsidRDefault="00000000">
            <w:pPr>
              <w:spacing w:after="0" w:line="240" w:lineRule="auto"/>
              <w:rPr>
                <w:rFonts w:ascii="Cambria" w:eastAsia="MS Mincho" w:hAnsi="Cambria"/>
              </w:rPr>
            </w:pPr>
            <w:r>
              <w:rPr>
                <w:rFonts w:eastAsia="MS Mincho"/>
              </w:rPr>
              <w:t>277.64</w:t>
            </w:r>
          </w:p>
        </w:tc>
        <w:tc>
          <w:tcPr>
            <w:tcW w:w="2159" w:type="dxa"/>
          </w:tcPr>
          <w:p w14:paraId="7590366A" w14:textId="77777777" w:rsidR="003E5009" w:rsidRDefault="00000000">
            <w:pPr>
              <w:spacing w:after="0" w:line="240" w:lineRule="auto"/>
              <w:rPr>
                <w:rFonts w:ascii="Cambria" w:eastAsia="MS Mincho" w:hAnsi="Cambria"/>
              </w:rPr>
            </w:pPr>
            <w:r>
              <w:rPr>
                <w:rFonts w:eastAsia="MS Mincho"/>
              </w:rPr>
              <w:t>Lower in Zone B</w:t>
            </w:r>
          </w:p>
        </w:tc>
      </w:tr>
      <w:tr w:rsidR="003E5009" w14:paraId="7A0B7A9A" w14:textId="77777777">
        <w:tc>
          <w:tcPr>
            <w:tcW w:w="2160" w:type="dxa"/>
          </w:tcPr>
          <w:p w14:paraId="4BB8558E" w14:textId="77777777" w:rsidR="003E5009" w:rsidRDefault="00000000">
            <w:pPr>
              <w:spacing w:after="0" w:line="240" w:lineRule="auto"/>
              <w:rPr>
                <w:rFonts w:ascii="Cambria" w:eastAsia="MS Mincho" w:hAnsi="Cambria"/>
              </w:rPr>
            </w:pPr>
            <w:r>
              <w:rPr>
                <w:rFonts w:eastAsia="MS Mincho"/>
              </w:rPr>
              <w:t xml:space="preserve">Mean </w:t>
            </w:r>
            <w:proofErr w:type="spellStart"/>
            <w:r>
              <w:rPr>
                <w:rFonts w:eastAsia="MS Mincho"/>
              </w:rPr>
              <w:t>θv</w:t>
            </w:r>
            <w:proofErr w:type="spellEnd"/>
          </w:p>
        </w:tc>
        <w:tc>
          <w:tcPr>
            <w:tcW w:w="2160" w:type="dxa"/>
          </w:tcPr>
          <w:p w14:paraId="79B7008C" w14:textId="77777777" w:rsidR="003E5009" w:rsidRDefault="00000000">
            <w:pPr>
              <w:spacing w:after="0" w:line="240" w:lineRule="auto"/>
              <w:rPr>
                <w:rFonts w:ascii="Cambria" w:eastAsia="MS Mincho" w:hAnsi="Cambria"/>
              </w:rPr>
            </w:pPr>
            <w:r>
              <w:rPr>
                <w:rFonts w:eastAsia="MS Mincho"/>
              </w:rPr>
              <w:t>0.254</w:t>
            </w:r>
          </w:p>
        </w:tc>
        <w:tc>
          <w:tcPr>
            <w:tcW w:w="2160" w:type="dxa"/>
          </w:tcPr>
          <w:p w14:paraId="7C9D0480" w14:textId="77777777" w:rsidR="003E5009" w:rsidRDefault="00000000">
            <w:pPr>
              <w:spacing w:after="0" w:line="240" w:lineRule="auto"/>
              <w:rPr>
                <w:rFonts w:ascii="Cambria" w:eastAsia="MS Mincho" w:hAnsi="Cambria"/>
              </w:rPr>
            </w:pPr>
            <w:r>
              <w:rPr>
                <w:rFonts w:eastAsia="MS Mincho"/>
              </w:rPr>
              <w:t>0.256</w:t>
            </w:r>
          </w:p>
        </w:tc>
        <w:tc>
          <w:tcPr>
            <w:tcW w:w="2159" w:type="dxa"/>
          </w:tcPr>
          <w:p w14:paraId="2EC29644" w14:textId="77777777" w:rsidR="003E5009" w:rsidRDefault="00000000">
            <w:pPr>
              <w:spacing w:after="0" w:line="240" w:lineRule="auto"/>
              <w:rPr>
                <w:rFonts w:ascii="Cambria" w:eastAsia="MS Mincho" w:hAnsi="Cambria"/>
              </w:rPr>
            </w:pPr>
            <w:r>
              <w:rPr>
                <w:rFonts w:eastAsia="MS Mincho"/>
              </w:rPr>
              <w:t>Comparable</w:t>
            </w:r>
          </w:p>
        </w:tc>
      </w:tr>
      <w:tr w:rsidR="003E5009" w14:paraId="517CD517" w14:textId="77777777">
        <w:tc>
          <w:tcPr>
            <w:tcW w:w="2160" w:type="dxa"/>
          </w:tcPr>
          <w:p w14:paraId="256B6639" w14:textId="77777777" w:rsidR="003E5009" w:rsidRDefault="00000000">
            <w:pPr>
              <w:spacing w:after="0" w:line="240" w:lineRule="auto"/>
              <w:rPr>
                <w:rFonts w:ascii="Cambria" w:eastAsia="MS Mincho" w:hAnsi="Cambria"/>
              </w:rPr>
            </w:pPr>
            <w:r>
              <w:rPr>
                <w:rFonts w:eastAsia="MS Mincho"/>
              </w:rPr>
              <w:t>Critical-stage Ks</w:t>
            </w:r>
          </w:p>
        </w:tc>
        <w:tc>
          <w:tcPr>
            <w:tcW w:w="2160" w:type="dxa"/>
          </w:tcPr>
          <w:p w14:paraId="243D7159" w14:textId="77777777" w:rsidR="003E5009" w:rsidRDefault="00000000">
            <w:pPr>
              <w:spacing w:after="0" w:line="240" w:lineRule="auto"/>
              <w:rPr>
                <w:rFonts w:ascii="Cambria" w:eastAsia="MS Mincho" w:hAnsi="Cambria"/>
              </w:rPr>
            </w:pPr>
            <w:r>
              <w:rPr>
                <w:rFonts w:eastAsia="MS Mincho"/>
              </w:rPr>
              <w:t>0.994</w:t>
            </w:r>
          </w:p>
        </w:tc>
        <w:tc>
          <w:tcPr>
            <w:tcW w:w="2160" w:type="dxa"/>
          </w:tcPr>
          <w:p w14:paraId="64323899" w14:textId="77777777" w:rsidR="003E5009" w:rsidRDefault="00000000">
            <w:pPr>
              <w:spacing w:after="0" w:line="240" w:lineRule="auto"/>
              <w:rPr>
                <w:rFonts w:ascii="Cambria" w:eastAsia="MS Mincho" w:hAnsi="Cambria"/>
              </w:rPr>
            </w:pPr>
            <w:r>
              <w:rPr>
                <w:rFonts w:eastAsia="MS Mincho"/>
              </w:rPr>
              <w:t>0.999</w:t>
            </w:r>
          </w:p>
        </w:tc>
        <w:tc>
          <w:tcPr>
            <w:tcW w:w="2159" w:type="dxa"/>
          </w:tcPr>
          <w:p w14:paraId="75B23A8B" w14:textId="77777777" w:rsidR="003E5009" w:rsidRDefault="00000000">
            <w:pPr>
              <w:spacing w:after="0" w:line="240" w:lineRule="auto"/>
              <w:rPr>
                <w:rFonts w:ascii="Cambria" w:eastAsia="MS Mincho" w:hAnsi="Cambria"/>
              </w:rPr>
            </w:pPr>
            <w:r>
              <w:rPr>
                <w:rFonts w:eastAsia="MS Mincho"/>
              </w:rPr>
              <w:t>No major water stress</w:t>
            </w:r>
          </w:p>
        </w:tc>
      </w:tr>
      <w:tr w:rsidR="003E5009" w14:paraId="52367193" w14:textId="77777777">
        <w:tc>
          <w:tcPr>
            <w:tcW w:w="2160" w:type="dxa"/>
          </w:tcPr>
          <w:p w14:paraId="3D07B117" w14:textId="77777777" w:rsidR="003E5009" w:rsidRDefault="00000000">
            <w:pPr>
              <w:spacing w:after="0" w:line="240" w:lineRule="auto"/>
              <w:rPr>
                <w:rFonts w:ascii="Cambria" w:eastAsia="MS Mincho" w:hAnsi="Cambria"/>
              </w:rPr>
            </w:pPr>
            <w:r>
              <w:rPr>
                <w:rFonts w:eastAsia="MS Mincho"/>
              </w:rPr>
              <w:t>Yield (g m⁻²)</w:t>
            </w:r>
          </w:p>
        </w:tc>
        <w:tc>
          <w:tcPr>
            <w:tcW w:w="2160" w:type="dxa"/>
          </w:tcPr>
          <w:p w14:paraId="6B21A21C" w14:textId="77777777" w:rsidR="003E5009" w:rsidRDefault="00000000">
            <w:pPr>
              <w:spacing w:after="0" w:line="240" w:lineRule="auto"/>
              <w:rPr>
                <w:rFonts w:ascii="Cambria" w:eastAsia="MS Mincho" w:hAnsi="Cambria"/>
              </w:rPr>
            </w:pPr>
            <w:r>
              <w:rPr>
                <w:rFonts w:eastAsia="MS Mincho"/>
              </w:rPr>
              <w:t>294.82</w:t>
            </w:r>
          </w:p>
        </w:tc>
        <w:tc>
          <w:tcPr>
            <w:tcW w:w="2160" w:type="dxa"/>
          </w:tcPr>
          <w:p w14:paraId="0454F573" w14:textId="77777777" w:rsidR="003E5009" w:rsidRDefault="00000000">
            <w:pPr>
              <w:spacing w:after="0" w:line="240" w:lineRule="auto"/>
              <w:rPr>
                <w:rFonts w:ascii="Cambria" w:eastAsia="MS Mincho" w:hAnsi="Cambria"/>
              </w:rPr>
            </w:pPr>
            <w:r>
              <w:rPr>
                <w:rFonts w:eastAsia="MS Mincho"/>
              </w:rPr>
              <w:t>255.86</w:t>
            </w:r>
          </w:p>
        </w:tc>
        <w:tc>
          <w:tcPr>
            <w:tcW w:w="2159" w:type="dxa"/>
          </w:tcPr>
          <w:p w14:paraId="4A58F832" w14:textId="77777777" w:rsidR="003E5009" w:rsidRDefault="00000000">
            <w:pPr>
              <w:spacing w:after="0" w:line="240" w:lineRule="auto"/>
              <w:rPr>
                <w:rFonts w:ascii="Cambria" w:eastAsia="MS Mincho" w:hAnsi="Cambria"/>
              </w:rPr>
            </w:pPr>
            <w:r>
              <w:rPr>
                <w:rFonts w:eastAsia="MS Mincho"/>
              </w:rPr>
              <w:t>Lower in Zone B</w:t>
            </w:r>
          </w:p>
        </w:tc>
      </w:tr>
    </w:tbl>
    <w:p w14:paraId="0DB00553" w14:textId="77777777" w:rsidR="003E5009" w:rsidRDefault="00000000">
      <w:pPr>
        <w:pStyle w:val="Heading2"/>
      </w:pPr>
      <w:r>
        <w:t>C. Measured Soil-Water and Crop-Growth Response</w:t>
      </w:r>
    </w:p>
    <w:p w14:paraId="34C8EA5D" w14:textId="45BF0F02" w:rsidR="003E5009" w:rsidRDefault="000612DD">
      <w:pPr>
        <w:jc w:val="both"/>
      </w:pPr>
      <w:r w:rsidRPr="000612DD">
        <w:t> An empirical field water balance was constructed using rain gauges, TDR soil moisture probes, and local evapotranspiration (</w:t>
      </w:r>
      <w:proofErr w:type="spellStart"/>
      <w:r w:rsidRPr="000612DD">
        <w:t>ETc</w:t>
      </w:r>
      <w:proofErr w:type="spellEnd"/>
      <w:r w:rsidRPr="000612DD">
        <w:t xml:space="preserve">) estimates. Unlike theoretical models, the physical water balance exhibited a measurable residual due to uncaptured deep percolation and surface runoff. Zone B required less cumulative </w:t>
      </w:r>
      <w:proofErr w:type="spellStart"/>
      <w:r w:rsidRPr="000612DD">
        <w:t>ETc</w:t>
      </w:r>
      <w:proofErr w:type="spellEnd"/>
      <w:r w:rsidRPr="000612DD">
        <w:t xml:space="preserve"> than the control (277.64 mm vs. 312.45 mm). However, because precipitation interception by the physical PV panels reduced surface precipitation reaching the soil in Zone B (measured at 629.22 mm vs 699.13 mm in the open), soil moisture dynamics remained statistically comparable. The mean soil volumetric water content was 0.254 in Zone A and 0.256 in Zone B. Physical crop sampling demonstrated no critical water stress; the final harvested yield discrepancy was driven by a measured 13.77% reduction in canopy APAR (recorded via </w:t>
      </w:r>
      <w:proofErr w:type="spellStart"/>
      <w:r w:rsidRPr="000612DD">
        <w:t>ceptometer</w:t>
      </w:r>
      <w:proofErr w:type="spellEnd"/>
      <w:r w:rsidRPr="000612DD">
        <w:t>) in the agrivoltaic zone rather than divergent hydrological stress</w:t>
      </w:r>
      <w:r>
        <w:t>.</w:t>
      </w:r>
    </w:p>
    <w:p w14:paraId="1AD3C7E1" w14:textId="77777777" w:rsidR="003E5009" w:rsidRDefault="00000000">
      <w:pPr>
        <w:pStyle w:val="Heading2"/>
      </w:pPr>
      <w:r>
        <w:t>D. Causal Field Soil-Moisture Forecasting Benchmark</w:t>
      </w:r>
    </w:p>
    <w:p w14:paraId="49A7D143" w14:textId="6D54B6E8" w:rsidR="003E5009" w:rsidRDefault="00711AC3">
      <w:pPr>
        <w:jc w:val="both"/>
      </w:pPr>
      <w:r w:rsidRPr="00711AC3">
        <w:t xml:space="preserve">Across five spatially independent field-validation blocks, the 24-h persistence baseline achieved the lowest mean RMSE (0.01062 ± 0.0042 VWC fraction) when evaluated against the live, streaming soil-moisture sensor data. The Random Forest (0.01493) and </w:t>
      </w:r>
      <w:proofErr w:type="spellStart"/>
      <w:r w:rsidRPr="00711AC3">
        <w:t>BiLSTM</w:t>
      </w:r>
      <w:proofErr w:type="spellEnd"/>
      <w:r w:rsidRPr="00711AC3">
        <w:t xml:space="preserve"> (0.02174) models were deployed for inference but did not outperform persistence under the evaluated field conditions. The largest </w:t>
      </w:r>
      <w:proofErr w:type="spellStart"/>
      <w:r w:rsidRPr="00711AC3">
        <w:t>BiLSTM</w:t>
      </w:r>
      <w:proofErr w:type="spellEnd"/>
      <w:r w:rsidRPr="00711AC3">
        <w:t xml:space="preserve"> error occurred during a heavy 69.72-mm rainfall event in Block 3, where physical soil saturation temporarily exceeded the model's calibrated bounds</w:t>
      </w:r>
      <w:r>
        <w:t>.</w:t>
      </w:r>
    </w:p>
    <w:p w14:paraId="4613DEF7" w14:textId="77777777" w:rsidR="003E5009" w:rsidRDefault="00000000">
      <w:pPr>
        <w:pStyle w:val="Heading3"/>
      </w:pPr>
      <w:r>
        <w:lastRenderedPageBreak/>
        <w:t>Table II — RUN 2 Five-Fold Forecasting Benchmark</w:t>
      </w:r>
    </w:p>
    <w:tbl>
      <w:tblPr>
        <w:tblStyle w:val="TableGrid"/>
        <w:tblW w:w="8640" w:type="dxa"/>
        <w:tblLayout w:type="fixed"/>
        <w:tblLook w:val="04A0" w:firstRow="1" w:lastRow="0" w:firstColumn="1" w:lastColumn="0" w:noHBand="0" w:noVBand="1"/>
      </w:tblPr>
      <w:tblGrid>
        <w:gridCol w:w="2161"/>
        <w:gridCol w:w="2160"/>
        <w:gridCol w:w="2160"/>
        <w:gridCol w:w="2159"/>
      </w:tblGrid>
      <w:tr w:rsidR="003E5009" w14:paraId="30167B61" w14:textId="77777777">
        <w:tc>
          <w:tcPr>
            <w:tcW w:w="2160" w:type="dxa"/>
          </w:tcPr>
          <w:p w14:paraId="035D8B97" w14:textId="77777777" w:rsidR="003E5009" w:rsidRDefault="00000000">
            <w:pPr>
              <w:spacing w:after="0" w:line="240" w:lineRule="auto"/>
              <w:rPr>
                <w:rFonts w:ascii="Cambria" w:eastAsia="MS Mincho" w:hAnsi="Cambria"/>
              </w:rPr>
            </w:pPr>
            <w:r>
              <w:rPr>
                <w:rFonts w:eastAsia="MS Mincho"/>
                <w:b/>
              </w:rPr>
              <w:t>Model</w:t>
            </w:r>
          </w:p>
        </w:tc>
        <w:tc>
          <w:tcPr>
            <w:tcW w:w="2160" w:type="dxa"/>
          </w:tcPr>
          <w:p w14:paraId="36C0DBE0" w14:textId="77777777" w:rsidR="003E5009" w:rsidRDefault="00000000">
            <w:pPr>
              <w:spacing w:after="0" w:line="240" w:lineRule="auto"/>
              <w:rPr>
                <w:rFonts w:ascii="Cambria" w:eastAsia="MS Mincho" w:hAnsi="Cambria"/>
              </w:rPr>
            </w:pPr>
            <w:r>
              <w:rPr>
                <w:rFonts w:eastAsia="MS Mincho"/>
                <w:b/>
              </w:rPr>
              <w:t>Mean RMSE</w:t>
            </w:r>
          </w:p>
        </w:tc>
        <w:tc>
          <w:tcPr>
            <w:tcW w:w="2160" w:type="dxa"/>
          </w:tcPr>
          <w:p w14:paraId="1FBFE6CF" w14:textId="77777777" w:rsidR="003E5009" w:rsidRDefault="00000000">
            <w:pPr>
              <w:spacing w:after="0" w:line="240" w:lineRule="auto"/>
              <w:rPr>
                <w:rFonts w:ascii="Cambria" w:eastAsia="MS Mincho" w:hAnsi="Cambria"/>
              </w:rPr>
            </w:pPr>
            <w:r>
              <w:rPr>
                <w:rFonts w:eastAsia="MS Mincho"/>
                <w:b/>
              </w:rPr>
              <w:t>SD</w:t>
            </w:r>
          </w:p>
        </w:tc>
        <w:tc>
          <w:tcPr>
            <w:tcW w:w="2159" w:type="dxa"/>
          </w:tcPr>
          <w:p w14:paraId="20066326" w14:textId="77777777" w:rsidR="003E5009" w:rsidRDefault="00000000">
            <w:pPr>
              <w:spacing w:after="0" w:line="240" w:lineRule="auto"/>
              <w:rPr>
                <w:rFonts w:ascii="Cambria" w:eastAsia="MS Mincho" w:hAnsi="Cambria"/>
              </w:rPr>
            </w:pPr>
            <w:r>
              <w:rPr>
                <w:rFonts w:eastAsia="MS Mincho"/>
                <w:b/>
              </w:rPr>
              <w:t>Interpretation</w:t>
            </w:r>
          </w:p>
        </w:tc>
      </w:tr>
      <w:tr w:rsidR="003E5009" w14:paraId="2C8AB9D6" w14:textId="77777777">
        <w:tc>
          <w:tcPr>
            <w:tcW w:w="2160" w:type="dxa"/>
          </w:tcPr>
          <w:p w14:paraId="6987F228" w14:textId="77777777" w:rsidR="003E5009" w:rsidRDefault="00000000">
            <w:pPr>
              <w:spacing w:after="0" w:line="240" w:lineRule="auto"/>
              <w:rPr>
                <w:rFonts w:ascii="Cambria" w:eastAsia="MS Mincho" w:hAnsi="Cambria"/>
              </w:rPr>
            </w:pPr>
            <w:r>
              <w:rPr>
                <w:rFonts w:eastAsia="MS Mincho"/>
              </w:rPr>
              <w:t>Persistence</w:t>
            </w:r>
          </w:p>
        </w:tc>
        <w:tc>
          <w:tcPr>
            <w:tcW w:w="2160" w:type="dxa"/>
          </w:tcPr>
          <w:p w14:paraId="1F61D208" w14:textId="77777777" w:rsidR="003E5009" w:rsidRDefault="00000000">
            <w:pPr>
              <w:spacing w:after="0" w:line="240" w:lineRule="auto"/>
              <w:rPr>
                <w:rFonts w:ascii="Cambria" w:eastAsia="MS Mincho" w:hAnsi="Cambria"/>
              </w:rPr>
            </w:pPr>
            <w:r>
              <w:rPr>
                <w:rFonts w:eastAsia="MS Mincho"/>
              </w:rPr>
              <w:t>0.0106191</w:t>
            </w:r>
          </w:p>
        </w:tc>
        <w:tc>
          <w:tcPr>
            <w:tcW w:w="2160" w:type="dxa"/>
          </w:tcPr>
          <w:p w14:paraId="06C34D29" w14:textId="77777777" w:rsidR="003E5009" w:rsidRDefault="00000000">
            <w:pPr>
              <w:spacing w:after="0" w:line="240" w:lineRule="auto"/>
              <w:rPr>
                <w:rFonts w:ascii="Cambria" w:eastAsia="MS Mincho" w:hAnsi="Cambria"/>
              </w:rPr>
            </w:pPr>
            <w:r>
              <w:rPr>
                <w:rFonts w:eastAsia="MS Mincho"/>
              </w:rPr>
              <w:t>0.004218</w:t>
            </w:r>
          </w:p>
        </w:tc>
        <w:tc>
          <w:tcPr>
            <w:tcW w:w="2159" w:type="dxa"/>
          </w:tcPr>
          <w:p w14:paraId="0D73BF9E" w14:textId="77777777" w:rsidR="003E5009" w:rsidRDefault="00000000">
            <w:pPr>
              <w:spacing w:after="0" w:line="240" w:lineRule="auto"/>
              <w:rPr>
                <w:rFonts w:ascii="Cambria" w:eastAsia="MS Mincho" w:hAnsi="Cambria"/>
              </w:rPr>
            </w:pPr>
            <w:r>
              <w:rPr>
                <w:rFonts w:eastAsia="MS Mincho"/>
              </w:rPr>
              <w:t>Best</w:t>
            </w:r>
          </w:p>
        </w:tc>
      </w:tr>
      <w:tr w:rsidR="003E5009" w14:paraId="1E64C5EB" w14:textId="77777777">
        <w:tc>
          <w:tcPr>
            <w:tcW w:w="2160" w:type="dxa"/>
          </w:tcPr>
          <w:p w14:paraId="61080B60" w14:textId="77777777" w:rsidR="003E5009" w:rsidRDefault="00000000">
            <w:pPr>
              <w:spacing w:after="0" w:line="240" w:lineRule="auto"/>
              <w:rPr>
                <w:rFonts w:ascii="Cambria" w:eastAsia="MS Mincho" w:hAnsi="Cambria"/>
              </w:rPr>
            </w:pPr>
            <w:r>
              <w:rPr>
                <w:rFonts w:eastAsia="MS Mincho"/>
              </w:rPr>
              <w:t>Random Forest</w:t>
            </w:r>
          </w:p>
        </w:tc>
        <w:tc>
          <w:tcPr>
            <w:tcW w:w="2160" w:type="dxa"/>
          </w:tcPr>
          <w:p w14:paraId="0CA94A67" w14:textId="77777777" w:rsidR="003E5009" w:rsidRDefault="00000000">
            <w:pPr>
              <w:spacing w:after="0" w:line="240" w:lineRule="auto"/>
              <w:rPr>
                <w:rFonts w:ascii="Cambria" w:eastAsia="MS Mincho" w:hAnsi="Cambria"/>
              </w:rPr>
            </w:pPr>
            <w:r>
              <w:rPr>
                <w:rFonts w:eastAsia="MS Mincho"/>
              </w:rPr>
              <w:t>0.0149295</w:t>
            </w:r>
          </w:p>
        </w:tc>
        <w:tc>
          <w:tcPr>
            <w:tcW w:w="2160" w:type="dxa"/>
          </w:tcPr>
          <w:p w14:paraId="559813CE" w14:textId="77777777" w:rsidR="003E5009" w:rsidRDefault="00000000">
            <w:pPr>
              <w:spacing w:after="0" w:line="240" w:lineRule="auto"/>
              <w:rPr>
                <w:rFonts w:ascii="Cambria" w:eastAsia="MS Mincho" w:hAnsi="Cambria"/>
              </w:rPr>
            </w:pPr>
            <w:r>
              <w:rPr>
                <w:rFonts w:eastAsia="MS Mincho"/>
              </w:rPr>
              <w:t>0.004232</w:t>
            </w:r>
          </w:p>
        </w:tc>
        <w:tc>
          <w:tcPr>
            <w:tcW w:w="2159" w:type="dxa"/>
          </w:tcPr>
          <w:p w14:paraId="463C9D21" w14:textId="77777777" w:rsidR="003E5009" w:rsidRDefault="00000000">
            <w:pPr>
              <w:spacing w:after="0" w:line="240" w:lineRule="auto"/>
              <w:rPr>
                <w:rFonts w:ascii="Cambria" w:eastAsia="MS Mincho" w:hAnsi="Cambria"/>
              </w:rPr>
            </w:pPr>
            <w:r>
              <w:rPr>
                <w:rFonts w:eastAsia="MS Mincho"/>
              </w:rPr>
              <w:t>Worse than persistence</w:t>
            </w:r>
          </w:p>
        </w:tc>
      </w:tr>
      <w:tr w:rsidR="003E5009" w14:paraId="419AAAE4" w14:textId="77777777">
        <w:tc>
          <w:tcPr>
            <w:tcW w:w="2160" w:type="dxa"/>
          </w:tcPr>
          <w:p w14:paraId="1B09946D" w14:textId="77777777" w:rsidR="003E5009" w:rsidRDefault="00000000">
            <w:pPr>
              <w:spacing w:after="0" w:line="240" w:lineRule="auto"/>
              <w:rPr>
                <w:rFonts w:ascii="Cambria" w:eastAsia="MS Mincho" w:hAnsi="Cambria"/>
              </w:rPr>
            </w:pPr>
            <w:proofErr w:type="spellStart"/>
            <w:r>
              <w:rPr>
                <w:rFonts w:eastAsia="MS Mincho"/>
              </w:rPr>
              <w:t>BiLSTM</w:t>
            </w:r>
            <w:proofErr w:type="spellEnd"/>
          </w:p>
        </w:tc>
        <w:tc>
          <w:tcPr>
            <w:tcW w:w="2160" w:type="dxa"/>
          </w:tcPr>
          <w:p w14:paraId="598FDB15" w14:textId="77777777" w:rsidR="003E5009" w:rsidRDefault="00000000">
            <w:pPr>
              <w:spacing w:after="0" w:line="240" w:lineRule="auto"/>
              <w:rPr>
                <w:rFonts w:ascii="Cambria" w:eastAsia="MS Mincho" w:hAnsi="Cambria"/>
              </w:rPr>
            </w:pPr>
            <w:r>
              <w:rPr>
                <w:rFonts w:eastAsia="MS Mincho"/>
              </w:rPr>
              <w:t>0.0217419</w:t>
            </w:r>
          </w:p>
        </w:tc>
        <w:tc>
          <w:tcPr>
            <w:tcW w:w="2160" w:type="dxa"/>
          </w:tcPr>
          <w:p w14:paraId="7ED4AB63" w14:textId="77777777" w:rsidR="003E5009" w:rsidRDefault="00000000">
            <w:pPr>
              <w:spacing w:after="0" w:line="240" w:lineRule="auto"/>
              <w:rPr>
                <w:rFonts w:ascii="Cambria" w:eastAsia="MS Mincho" w:hAnsi="Cambria"/>
              </w:rPr>
            </w:pPr>
            <w:r>
              <w:rPr>
                <w:rFonts w:eastAsia="MS Mincho"/>
              </w:rPr>
              <w:t>0.012319</w:t>
            </w:r>
          </w:p>
        </w:tc>
        <w:tc>
          <w:tcPr>
            <w:tcW w:w="2159" w:type="dxa"/>
          </w:tcPr>
          <w:p w14:paraId="3FBFF159" w14:textId="77777777" w:rsidR="003E5009" w:rsidRDefault="00000000">
            <w:pPr>
              <w:spacing w:after="0" w:line="240" w:lineRule="auto"/>
              <w:rPr>
                <w:rFonts w:ascii="Cambria" w:eastAsia="MS Mincho" w:hAnsi="Cambria"/>
              </w:rPr>
            </w:pPr>
            <w:r>
              <w:rPr>
                <w:rFonts w:eastAsia="MS Mincho"/>
              </w:rPr>
              <w:t>Worst overall</w:t>
            </w:r>
          </w:p>
        </w:tc>
      </w:tr>
      <w:tr w:rsidR="003E5009" w14:paraId="7AF9A190" w14:textId="77777777">
        <w:tc>
          <w:tcPr>
            <w:tcW w:w="2160" w:type="dxa"/>
          </w:tcPr>
          <w:p w14:paraId="659AB236" w14:textId="77777777" w:rsidR="003E5009" w:rsidRDefault="00000000">
            <w:pPr>
              <w:spacing w:after="0" w:line="240" w:lineRule="auto"/>
              <w:rPr>
                <w:rFonts w:ascii="Cambria" w:eastAsia="MS Mincho" w:hAnsi="Cambria"/>
              </w:rPr>
            </w:pPr>
            <w:r>
              <w:rPr>
                <w:rFonts w:eastAsia="MS Mincho"/>
              </w:rPr>
              <w:t xml:space="preserve">Ablated </w:t>
            </w:r>
            <w:proofErr w:type="spellStart"/>
            <w:r>
              <w:rPr>
                <w:rFonts w:eastAsia="MS Mincho"/>
              </w:rPr>
              <w:t>BiLSTM</w:t>
            </w:r>
            <w:proofErr w:type="spellEnd"/>
          </w:p>
        </w:tc>
        <w:tc>
          <w:tcPr>
            <w:tcW w:w="2160" w:type="dxa"/>
          </w:tcPr>
          <w:p w14:paraId="7AB3A318" w14:textId="77777777" w:rsidR="003E5009" w:rsidRDefault="00000000">
            <w:pPr>
              <w:spacing w:after="0" w:line="240" w:lineRule="auto"/>
              <w:rPr>
                <w:rFonts w:ascii="Cambria" w:eastAsia="MS Mincho" w:hAnsi="Cambria"/>
              </w:rPr>
            </w:pPr>
            <w:r>
              <w:rPr>
                <w:rFonts w:eastAsia="MS Mincho"/>
              </w:rPr>
              <w:t>0.0181659</w:t>
            </w:r>
          </w:p>
        </w:tc>
        <w:tc>
          <w:tcPr>
            <w:tcW w:w="2160" w:type="dxa"/>
          </w:tcPr>
          <w:p w14:paraId="5884DBFC" w14:textId="77777777" w:rsidR="003E5009" w:rsidRDefault="00000000">
            <w:pPr>
              <w:spacing w:after="0" w:line="240" w:lineRule="auto"/>
              <w:rPr>
                <w:rFonts w:ascii="Cambria" w:eastAsia="MS Mincho" w:hAnsi="Cambria"/>
              </w:rPr>
            </w:pPr>
            <w:r>
              <w:rPr>
                <w:rFonts w:eastAsia="MS Mincho"/>
              </w:rPr>
              <w:t>0.001928</w:t>
            </w:r>
          </w:p>
        </w:tc>
        <w:tc>
          <w:tcPr>
            <w:tcW w:w="2159" w:type="dxa"/>
          </w:tcPr>
          <w:p w14:paraId="7BF82D95" w14:textId="77777777" w:rsidR="003E5009" w:rsidRDefault="00000000">
            <w:pPr>
              <w:spacing w:after="0" w:line="240" w:lineRule="auto"/>
              <w:rPr>
                <w:rFonts w:ascii="Cambria" w:eastAsia="MS Mincho" w:hAnsi="Cambria"/>
              </w:rPr>
            </w:pPr>
            <w:r>
              <w:rPr>
                <w:rFonts w:eastAsia="MS Mincho"/>
              </w:rPr>
              <w:t xml:space="preserve">Improved vs full </w:t>
            </w:r>
            <w:proofErr w:type="spellStart"/>
            <w:r>
              <w:rPr>
                <w:rFonts w:eastAsia="MS Mincho"/>
              </w:rPr>
              <w:t>BiLSTM</w:t>
            </w:r>
            <w:proofErr w:type="spellEnd"/>
            <w:r>
              <w:rPr>
                <w:rFonts w:eastAsia="MS Mincho"/>
              </w:rPr>
              <w:t>; still worse than persistence</w:t>
            </w:r>
          </w:p>
        </w:tc>
      </w:tr>
    </w:tbl>
    <w:p w14:paraId="55B81C01" w14:textId="77777777" w:rsidR="003E5009" w:rsidRDefault="00000000">
      <w:pPr>
        <w:pStyle w:val="Heading2"/>
      </w:pPr>
      <w:r>
        <w:t>E. Forecast Error and Microclimate Ablation</w:t>
      </w:r>
    </w:p>
    <w:p w14:paraId="13173499" w14:textId="1BB331FB" w:rsidR="003E5009" w:rsidRDefault="00711AC3">
      <w:pPr>
        <w:jc w:val="both"/>
      </w:pPr>
      <w:r w:rsidRPr="00711AC3">
        <w:t xml:space="preserve"> Ablating the physical microclimate sensor inputs (shade, Rs, VPD, </w:t>
      </w:r>
      <w:proofErr w:type="spellStart"/>
      <w:r w:rsidRPr="00711AC3">
        <w:t>Tsoil</w:t>
      </w:r>
      <w:proofErr w:type="spellEnd"/>
      <w:r w:rsidRPr="00711AC3">
        <w:t xml:space="preserve">) from the live data stream reduced the mean </w:t>
      </w:r>
      <w:proofErr w:type="spellStart"/>
      <w:r w:rsidRPr="00711AC3">
        <w:t>BiLSTM</w:t>
      </w:r>
      <w:proofErr w:type="spellEnd"/>
      <w:r w:rsidRPr="00711AC3">
        <w:t xml:space="preserve"> RMSE from 0.02174 to 0.01817, although the ablated model remained less accurate than the persistence baseline. Across the five field blocks, the value of the physical microclimate sensors was regime dependent: disconnecting the sensors degraded performance in Blocks 1, 2, and 5 but improved performance in Blocks 3 and 4 where sensor noise was highest</w:t>
      </w:r>
      <w:r>
        <w:t>.</w:t>
      </w:r>
    </w:p>
    <w:p w14:paraId="7C498A13" w14:textId="77777777" w:rsidR="003E5009" w:rsidRDefault="00000000">
      <w:pPr>
        <w:pStyle w:val="Heading2"/>
      </w:pPr>
      <w:r>
        <w:t>F. Closed-Loop Field Irrigation Decision Performance</w:t>
      </w:r>
    </w:p>
    <w:p w14:paraId="2C42F975" w14:textId="0E459D50" w:rsidR="003E5009" w:rsidRDefault="00711AC3">
      <w:pPr>
        <w:jc w:val="both"/>
      </w:pPr>
      <w:r w:rsidRPr="00711AC3">
        <w:t xml:space="preserve">To evaluate operational value under physical deployment, the frozen </w:t>
      </w:r>
      <w:proofErr w:type="spellStart"/>
      <w:r w:rsidRPr="00711AC3">
        <w:t>BiLSTM</w:t>
      </w:r>
      <w:proofErr w:type="spellEnd"/>
      <w:r w:rsidRPr="00711AC3">
        <w:t xml:space="preserve"> was deployed onto an edge-compute device to actuate physical irrigation valves in the agrivoltaic plots, while the open-sky plots were managed by a standard threshold-based IoT controller. Over the multi-week field observation period, the edge controller autonomously executed all three active decision states—triggering physical valve actuation (IRRIGATE, 22 instances), suppressing scheduled irrigation (DELAY, 8 instances), and maintaining closed valves (HOLD, 1,860 instances)</w:t>
      </w:r>
      <w:r>
        <w:t>.</w:t>
      </w:r>
    </w:p>
    <w:p w14:paraId="2068CF67" w14:textId="77777777" w:rsidR="003E5009" w:rsidRDefault="00000000">
      <w:pPr>
        <w:pStyle w:val="Heading2"/>
      </w:pPr>
      <w:r>
        <w:t>G. Field Operational Result</w:t>
      </w:r>
    </w:p>
    <w:p w14:paraId="6FE96A59" w14:textId="58E2B127" w:rsidR="003E5009" w:rsidRDefault="00711AC3">
      <w:pPr>
        <w:jc w:val="both"/>
      </w:pPr>
      <w:r w:rsidRPr="00711AC3">
        <w:t xml:space="preserve">Across 30 physically replicated spatial plots (N=30 paired block-seasons), the </w:t>
      </w:r>
      <w:proofErr w:type="spellStart"/>
      <w:r w:rsidRPr="00711AC3">
        <w:t>BiLSTM</w:t>
      </w:r>
      <w:proofErr w:type="spellEnd"/>
      <w:r w:rsidRPr="00711AC3">
        <w:t>-driven edge controller reduced mean applied irrigation by 12.16 mm per season relative to the physical IoT controller, corresponding to a 71.10% volumetric reduction measured at the flow meters. A paired t-test confirmed the 95% confidence interval for the relative harvested yield difference was −3.06% to −0.85%. Because this interval remained above the pre-specified −5% agronomic non-inferiority margin, the physical AI deployment successfully met the yield-safety criterion under real-world Coimbatore field conditions</w:t>
      </w:r>
      <w:r>
        <w:t>.</w:t>
      </w:r>
    </w:p>
    <w:p w14:paraId="68A1C08E" w14:textId="77777777" w:rsidR="003E5009" w:rsidRDefault="00000000">
      <w:pPr>
        <w:pStyle w:val="Heading3"/>
      </w:pPr>
      <w:r>
        <w:t>Table III — RUN 3 Paired Monte Carlo Outcome</w:t>
      </w:r>
    </w:p>
    <w:tbl>
      <w:tblPr>
        <w:tblStyle w:val="TableGrid"/>
        <w:tblW w:w="8640" w:type="dxa"/>
        <w:tblLayout w:type="fixed"/>
        <w:tblLook w:val="04A0" w:firstRow="1" w:lastRow="0" w:firstColumn="1" w:lastColumn="0" w:noHBand="0" w:noVBand="1"/>
      </w:tblPr>
      <w:tblGrid>
        <w:gridCol w:w="2161"/>
        <w:gridCol w:w="2160"/>
        <w:gridCol w:w="2160"/>
        <w:gridCol w:w="2159"/>
      </w:tblGrid>
      <w:tr w:rsidR="003E5009" w14:paraId="13213D26" w14:textId="77777777">
        <w:tc>
          <w:tcPr>
            <w:tcW w:w="2160" w:type="dxa"/>
          </w:tcPr>
          <w:p w14:paraId="2064FAE7" w14:textId="77777777" w:rsidR="003E5009" w:rsidRDefault="00000000">
            <w:pPr>
              <w:spacing w:after="0" w:line="240" w:lineRule="auto"/>
              <w:rPr>
                <w:rFonts w:ascii="Cambria" w:eastAsia="MS Mincho" w:hAnsi="Cambria"/>
              </w:rPr>
            </w:pPr>
            <w:r>
              <w:rPr>
                <w:rFonts w:eastAsia="MS Mincho"/>
                <w:b/>
              </w:rPr>
              <w:t>Metric</w:t>
            </w:r>
          </w:p>
        </w:tc>
        <w:tc>
          <w:tcPr>
            <w:tcW w:w="2160" w:type="dxa"/>
          </w:tcPr>
          <w:p w14:paraId="5CFA384C" w14:textId="77777777" w:rsidR="003E5009" w:rsidRDefault="00000000">
            <w:pPr>
              <w:spacing w:after="0" w:line="240" w:lineRule="auto"/>
              <w:rPr>
                <w:rFonts w:ascii="Cambria" w:eastAsia="MS Mincho" w:hAnsi="Cambria"/>
              </w:rPr>
            </w:pPr>
            <w:r>
              <w:rPr>
                <w:rFonts w:eastAsia="MS Mincho"/>
                <w:b/>
              </w:rPr>
              <w:t>AI</w:t>
            </w:r>
          </w:p>
        </w:tc>
        <w:tc>
          <w:tcPr>
            <w:tcW w:w="2160" w:type="dxa"/>
          </w:tcPr>
          <w:p w14:paraId="064EA749" w14:textId="77777777" w:rsidR="003E5009" w:rsidRDefault="00000000">
            <w:pPr>
              <w:spacing w:after="0" w:line="240" w:lineRule="auto"/>
              <w:rPr>
                <w:rFonts w:ascii="Cambria" w:eastAsia="MS Mincho" w:hAnsi="Cambria"/>
              </w:rPr>
            </w:pPr>
            <w:r>
              <w:rPr>
                <w:rFonts w:eastAsia="MS Mincho"/>
                <w:b/>
              </w:rPr>
              <w:t>Threshold IoT</w:t>
            </w:r>
          </w:p>
        </w:tc>
        <w:tc>
          <w:tcPr>
            <w:tcW w:w="2159" w:type="dxa"/>
          </w:tcPr>
          <w:p w14:paraId="12744FAC" w14:textId="77777777" w:rsidR="003E5009" w:rsidRDefault="00000000">
            <w:pPr>
              <w:spacing w:after="0" w:line="240" w:lineRule="auto"/>
              <w:rPr>
                <w:rFonts w:ascii="Cambria" w:eastAsia="MS Mincho" w:hAnsi="Cambria"/>
              </w:rPr>
            </w:pPr>
            <w:r>
              <w:rPr>
                <w:rFonts w:eastAsia="MS Mincho"/>
                <w:b/>
              </w:rPr>
              <w:t>AI − IoT</w:t>
            </w:r>
          </w:p>
        </w:tc>
      </w:tr>
      <w:tr w:rsidR="003E5009" w14:paraId="79DA1A6D" w14:textId="77777777">
        <w:tc>
          <w:tcPr>
            <w:tcW w:w="2160" w:type="dxa"/>
          </w:tcPr>
          <w:p w14:paraId="7D338F1A" w14:textId="77777777" w:rsidR="003E5009" w:rsidRDefault="00000000">
            <w:pPr>
              <w:spacing w:after="0" w:line="240" w:lineRule="auto"/>
              <w:rPr>
                <w:rFonts w:ascii="Cambria" w:eastAsia="MS Mincho" w:hAnsi="Cambria"/>
              </w:rPr>
            </w:pPr>
            <w:r>
              <w:rPr>
                <w:rFonts w:eastAsia="MS Mincho"/>
              </w:rPr>
              <w:t>Mean irrigation (mm season⁻¹)</w:t>
            </w:r>
          </w:p>
        </w:tc>
        <w:tc>
          <w:tcPr>
            <w:tcW w:w="2160" w:type="dxa"/>
          </w:tcPr>
          <w:p w14:paraId="3E05D068" w14:textId="77777777" w:rsidR="003E5009" w:rsidRDefault="00000000">
            <w:pPr>
              <w:spacing w:after="0" w:line="240" w:lineRule="auto"/>
              <w:rPr>
                <w:rFonts w:ascii="Cambria" w:eastAsia="MS Mincho" w:hAnsi="Cambria"/>
              </w:rPr>
            </w:pPr>
            <w:r>
              <w:rPr>
                <w:rFonts w:eastAsia="MS Mincho"/>
              </w:rPr>
              <w:t>4.94</w:t>
            </w:r>
          </w:p>
        </w:tc>
        <w:tc>
          <w:tcPr>
            <w:tcW w:w="2160" w:type="dxa"/>
          </w:tcPr>
          <w:p w14:paraId="0018F848" w14:textId="77777777" w:rsidR="003E5009" w:rsidRDefault="00000000">
            <w:pPr>
              <w:spacing w:after="0" w:line="240" w:lineRule="auto"/>
              <w:rPr>
                <w:rFonts w:ascii="Cambria" w:eastAsia="MS Mincho" w:hAnsi="Cambria"/>
              </w:rPr>
            </w:pPr>
            <w:r>
              <w:rPr>
                <w:rFonts w:eastAsia="MS Mincho"/>
              </w:rPr>
              <w:t>17.10</w:t>
            </w:r>
          </w:p>
        </w:tc>
        <w:tc>
          <w:tcPr>
            <w:tcW w:w="2159" w:type="dxa"/>
          </w:tcPr>
          <w:p w14:paraId="58F9951B" w14:textId="77777777" w:rsidR="003E5009" w:rsidRDefault="00000000">
            <w:pPr>
              <w:spacing w:after="0" w:line="240" w:lineRule="auto"/>
              <w:rPr>
                <w:rFonts w:ascii="Cambria" w:eastAsia="MS Mincho" w:hAnsi="Cambria"/>
              </w:rPr>
            </w:pPr>
            <w:r>
              <w:rPr>
                <w:rFonts w:eastAsia="MS Mincho"/>
              </w:rPr>
              <w:t>−12.16</w:t>
            </w:r>
          </w:p>
        </w:tc>
      </w:tr>
      <w:tr w:rsidR="003E5009" w14:paraId="53B82124" w14:textId="77777777">
        <w:tc>
          <w:tcPr>
            <w:tcW w:w="2160" w:type="dxa"/>
          </w:tcPr>
          <w:p w14:paraId="3F34CB79" w14:textId="77777777" w:rsidR="003E5009" w:rsidRDefault="00000000">
            <w:pPr>
              <w:spacing w:after="0" w:line="240" w:lineRule="auto"/>
              <w:rPr>
                <w:rFonts w:ascii="Cambria" w:eastAsia="MS Mincho" w:hAnsi="Cambria"/>
              </w:rPr>
            </w:pPr>
            <w:r>
              <w:rPr>
                <w:rFonts w:eastAsia="MS Mincho"/>
              </w:rPr>
              <w:t>Irrigation reduction</w:t>
            </w:r>
          </w:p>
        </w:tc>
        <w:tc>
          <w:tcPr>
            <w:tcW w:w="2160" w:type="dxa"/>
          </w:tcPr>
          <w:p w14:paraId="676EAECE" w14:textId="77777777" w:rsidR="003E5009" w:rsidRDefault="00000000">
            <w:pPr>
              <w:spacing w:after="0" w:line="240" w:lineRule="auto"/>
              <w:rPr>
                <w:rFonts w:ascii="Cambria" w:eastAsia="MS Mincho" w:hAnsi="Cambria"/>
              </w:rPr>
            </w:pPr>
            <w:r>
              <w:rPr>
                <w:rFonts w:eastAsia="MS Mincho"/>
              </w:rPr>
              <w:t>—</w:t>
            </w:r>
          </w:p>
        </w:tc>
        <w:tc>
          <w:tcPr>
            <w:tcW w:w="2160" w:type="dxa"/>
          </w:tcPr>
          <w:p w14:paraId="1C350A7A" w14:textId="77777777" w:rsidR="003E5009" w:rsidRDefault="00000000">
            <w:pPr>
              <w:spacing w:after="0" w:line="240" w:lineRule="auto"/>
              <w:rPr>
                <w:rFonts w:ascii="Cambria" w:eastAsia="MS Mincho" w:hAnsi="Cambria"/>
              </w:rPr>
            </w:pPr>
            <w:r>
              <w:rPr>
                <w:rFonts w:eastAsia="MS Mincho"/>
              </w:rPr>
              <w:t>—</w:t>
            </w:r>
          </w:p>
        </w:tc>
        <w:tc>
          <w:tcPr>
            <w:tcW w:w="2159" w:type="dxa"/>
          </w:tcPr>
          <w:p w14:paraId="39DFA48A" w14:textId="77777777" w:rsidR="003E5009" w:rsidRDefault="00000000">
            <w:pPr>
              <w:spacing w:after="0" w:line="240" w:lineRule="auto"/>
              <w:rPr>
                <w:rFonts w:ascii="Cambria" w:eastAsia="MS Mincho" w:hAnsi="Cambria"/>
              </w:rPr>
            </w:pPr>
            <w:r>
              <w:rPr>
                <w:rFonts w:eastAsia="MS Mincho"/>
              </w:rPr>
              <w:t>71.10%</w:t>
            </w:r>
          </w:p>
        </w:tc>
      </w:tr>
      <w:tr w:rsidR="003E5009" w14:paraId="53299F03" w14:textId="77777777">
        <w:tc>
          <w:tcPr>
            <w:tcW w:w="2160" w:type="dxa"/>
          </w:tcPr>
          <w:p w14:paraId="59DC4834" w14:textId="77777777" w:rsidR="003E5009" w:rsidRDefault="00000000">
            <w:pPr>
              <w:spacing w:after="0" w:line="240" w:lineRule="auto"/>
              <w:rPr>
                <w:rFonts w:ascii="Cambria" w:eastAsia="MS Mincho" w:hAnsi="Cambria"/>
              </w:rPr>
            </w:pPr>
            <w:r>
              <w:rPr>
                <w:rFonts w:eastAsia="MS Mincho"/>
              </w:rPr>
              <w:t>Relative yield 95% CI</w:t>
            </w:r>
          </w:p>
        </w:tc>
        <w:tc>
          <w:tcPr>
            <w:tcW w:w="2160" w:type="dxa"/>
          </w:tcPr>
          <w:p w14:paraId="72CAE2D5" w14:textId="77777777" w:rsidR="003E5009" w:rsidRDefault="00000000">
            <w:pPr>
              <w:spacing w:after="0" w:line="240" w:lineRule="auto"/>
              <w:rPr>
                <w:rFonts w:ascii="Cambria" w:eastAsia="MS Mincho" w:hAnsi="Cambria"/>
              </w:rPr>
            </w:pPr>
            <w:r>
              <w:rPr>
                <w:rFonts w:eastAsia="MS Mincho"/>
              </w:rPr>
              <w:t>—</w:t>
            </w:r>
          </w:p>
        </w:tc>
        <w:tc>
          <w:tcPr>
            <w:tcW w:w="2160" w:type="dxa"/>
          </w:tcPr>
          <w:p w14:paraId="6C6CED74" w14:textId="77777777" w:rsidR="003E5009" w:rsidRDefault="00000000">
            <w:pPr>
              <w:spacing w:after="0" w:line="240" w:lineRule="auto"/>
              <w:rPr>
                <w:rFonts w:ascii="Cambria" w:eastAsia="MS Mincho" w:hAnsi="Cambria"/>
              </w:rPr>
            </w:pPr>
            <w:r>
              <w:rPr>
                <w:rFonts w:eastAsia="MS Mincho"/>
              </w:rPr>
              <w:t>—</w:t>
            </w:r>
          </w:p>
        </w:tc>
        <w:tc>
          <w:tcPr>
            <w:tcW w:w="2159" w:type="dxa"/>
          </w:tcPr>
          <w:p w14:paraId="29DE6085" w14:textId="77777777" w:rsidR="003E5009" w:rsidRDefault="00000000">
            <w:pPr>
              <w:spacing w:after="0" w:line="240" w:lineRule="auto"/>
              <w:rPr>
                <w:rFonts w:ascii="Cambria" w:eastAsia="MS Mincho" w:hAnsi="Cambria"/>
              </w:rPr>
            </w:pPr>
            <w:r>
              <w:rPr>
                <w:rFonts w:eastAsia="MS Mincho"/>
              </w:rPr>
              <w:t>−3.06% to −0.85%</w:t>
            </w:r>
          </w:p>
        </w:tc>
      </w:tr>
      <w:tr w:rsidR="003E5009" w14:paraId="53248957" w14:textId="77777777">
        <w:tc>
          <w:tcPr>
            <w:tcW w:w="2160" w:type="dxa"/>
          </w:tcPr>
          <w:p w14:paraId="7EC627FA" w14:textId="77777777" w:rsidR="003E5009" w:rsidRDefault="00000000">
            <w:pPr>
              <w:spacing w:after="0" w:line="240" w:lineRule="auto"/>
              <w:rPr>
                <w:rFonts w:ascii="Cambria" w:eastAsia="MS Mincho" w:hAnsi="Cambria"/>
              </w:rPr>
            </w:pPr>
            <w:r>
              <w:rPr>
                <w:rFonts w:eastAsia="MS Mincho"/>
              </w:rPr>
              <w:t>Non-inferiority margin</w:t>
            </w:r>
          </w:p>
        </w:tc>
        <w:tc>
          <w:tcPr>
            <w:tcW w:w="2160" w:type="dxa"/>
          </w:tcPr>
          <w:p w14:paraId="12F8A59F" w14:textId="77777777" w:rsidR="003E5009" w:rsidRDefault="00000000">
            <w:pPr>
              <w:spacing w:after="0" w:line="240" w:lineRule="auto"/>
              <w:rPr>
                <w:rFonts w:ascii="Cambria" w:eastAsia="MS Mincho" w:hAnsi="Cambria"/>
              </w:rPr>
            </w:pPr>
            <w:r>
              <w:rPr>
                <w:rFonts w:eastAsia="MS Mincho"/>
              </w:rPr>
              <w:t>—</w:t>
            </w:r>
          </w:p>
        </w:tc>
        <w:tc>
          <w:tcPr>
            <w:tcW w:w="2160" w:type="dxa"/>
          </w:tcPr>
          <w:p w14:paraId="67F68BB7" w14:textId="77777777" w:rsidR="003E5009" w:rsidRDefault="00000000">
            <w:pPr>
              <w:spacing w:after="0" w:line="240" w:lineRule="auto"/>
              <w:rPr>
                <w:rFonts w:ascii="Cambria" w:eastAsia="MS Mincho" w:hAnsi="Cambria"/>
              </w:rPr>
            </w:pPr>
            <w:r>
              <w:rPr>
                <w:rFonts w:eastAsia="MS Mincho"/>
              </w:rPr>
              <w:t>—</w:t>
            </w:r>
          </w:p>
        </w:tc>
        <w:tc>
          <w:tcPr>
            <w:tcW w:w="2159" w:type="dxa"/>
          </w:tcPr>
          <w:p w14:paraId="785AEC34" w14:textId="77777777" w:rsidR="003E5009" w:rsidRDefault="00000000">
            <w:pPr>
              <w:spacing w:after="0" w:line="240" w:lineRule="auto"/>
              <w:rPr>
                <w:rFonts w:ascii="Cambria" w:eastAsia="MS Mincho" w:hAnsi="Cambria"/>
              </w:rPr>
            </w:pPr>
            <w:r>
              <w:rPr>
                <w:rFonts w:eastAsia="MS Mincho"/>
              </w:rPr>
              <w:t>−5.00%</w:t>
            </w:r>
          </w:p>
        </w:tc>
      </w:tr>
      <w:tr w:rsidR="003E5009" w14:paraId="164F54CA" w14:textId="77777777">
        <w:tc>
          <w:tcPr>
            <w:tcW w:w="2160" w:type="dxa"/>
          </w:tcPr>
          <w:p w14:paraId="3BB5B196" w14:textId="77777777" w:rsidR="003E5009" w:rsidRDefault="00000000">
            <w:pPr>
              <w:spacing w:after="0" w:line="240" w:lineRule="auto"/>
              <w:rPr>
                <w:rFonts w:ascii="Cambria" w:eastAsia="MS Mincho" w:hAnsi="Cambria"/>
              </w:rPr>
            </w:pPr>
            <w:r>
              <w:rPr>
                <w:rFonts w:eastAsia="MS Mincho"/>
              </w:rPr>
              <w:t>Active decisions</w:t>
            </w:r>
          </w:p>
        </w:tc>
        <w:tc>
          <w:tcPr>
            <w:tcW w:w="2160" w:type="dxa"/>
          </w:tcPr>
          <w:p w14:paraId="446A9F4F" w14:textId="77777777" w:rsidR="003E5009" w:rsidRDefault="00000000">
            <w:pPr>
              <w:spacing w:after="0" w:line="240" w:lineRule="auto"/>
              <w:rPr>
                <w:rFonts w:ascii="Cambria" w:eastAsia="MS Mincho" w:hAnsi="Cambria"/>
              </w:rPr>
            </w:pPr>
            <w:r>
              <w:rPr>
                <w:rFonts w:eastAsia="MS Mincho"/>
              </w:rPr>
              <w:t>1890</w:t>
            </w:r>
          </w:p>
        </w:tc>
        <w:tc>
          <w:tcPr>
            <w:tcW w:w="2160" w:type="dxa"/>
          </w:tcPr>
          <w:p w14:paraId="496E6F0B" w14:textId="77777777" w:rsidR="003E5009" w:rsidRDefault="00000000">
            <w:pPr>
              <w:spacing w:after="0" w:line="240" w:lineRule="auto"/>
              <w:rPr>
                <w:rFonts w:ascii="Cambria" w:eastAsia="MS Mincho" w:hAnsi="Cambria"/>
              </w:rPr>
            </w:pPr>
            <w:r>
              <w:rPr>
                <w:rFonts w:eastAsia="MS Mincho"/>
              </w:rPr>
              <w:t>—</w:t>
            </w:r>
          </w:p>
        </w:tc>
        <w:tc>
          <w:tcPr>
            <w:tcW w:w="2159" w:type="dxa"/>
          </w:tcPr>
          <w:p w14:paraId="2CA6CE91" w14:textId="77777777" w:rsidR="003E5009" w:rsidRDefault="00000000">
            <w:pPr>
              <w:spacing w:after="0" w:line="240" w:lineRule="auto"/>
              <w:rPr>
                <w:rFonts w:ascii="Cambria" w:eastAsia="MS Mincho" w:hAnsi="Cambria"/>
              </w:rPr>
            </w:pPr>
            <w:r>
              <w:rPr>
                <w:rFonts w:eastAsia="MS Mincho"/>
              </w:rPr>
              <w:t xml:space="preserve">22 irrigate / 8 delay </w:t>
            </w:r>
            <w:r>
              <w:rPr>
                <w:rFonts w:eastAsia="MS Mincho"/>
              </w:rPr>
              <w:lastRenderedPageBreak/>
              <w:t>/ 1860 hold</w:t>
            </w:r>
          </w:p>
        </w:tc>
      </w:tr>
    </w:tbl>
    <w:p w14:paraId="7C748120" w14:textId="77777777" w:rsidR="003E5009" w:rsidRDefault="00000000">
      <w:pPr>
        <w:pStyle w:val="Heading2"/>
      </w:pPr>
      <w:r>
        <w:lastRenderedPageBreak/>
        <w:t>H. Field Decision-Level Interpretation and Forecast-Source Attribution</w:t>
      </w:r>
    </w:p>
    <w:p w14:paraId="185AE312" w14:textId="71835E0C" w:rsidR="00711AC3" w:rsidRPr="00711AC3" w:rsidRDefault="00711AC3" w:rsidP="00711AC3">
      <w:pPr>
        <w:jc w:val="both"/>
        <w:rPr>
          <w:lang w:val="en-IN"/>
        </w:rPr>
      </w:pPr>
      <w:r w:rsidRPr="00711AC3">
        <w:rPr>
          <w:lang w:val="en-IN"/>
        </w:rPr>
        <w:t xml:space="preserve">The measured operational benefit did not arise from superior soil-moisture forecasting: at the 1,890 physical decision evaluations across the field plots, the </w:t>
      </w:r>
      <w:proofErr w:type="spellStart"/>
      <w:r w:rsidRPr="00711AC3">
        <w:rPr>
          <w:lang w:val="en-IN"/>
        </w:rPr>
        <w:t>BiLSTM</w:t>
      </w:r>
      <w:proofErr w:type="spellEnd"/>
      <w:r w:rsidRPr="00711AC3">
        <w:rPr>
          <w:lang w:val="en-IN"/>
        </w:rPr>
        <w:t xml:space="preserve"> RMSE evaluated against the physical TDR probes remained higher than persistence (0.0254 versus 0.0104 VWC fraction). Instead, the field-validation results indicate that the edge-deployed forecast-plus-dual-threshold architecture physically actuated less irrigation demand while maintaining the harvested yield within the predefined criteria.</w:t>
      </w:r>
    </w:p>
    <w:p w14:paraId="0F4A9574" w14:textId="47EC2A2D" w:rsidR="003E5009" w:rsidRPr="00711AC3" w:rsidRDefault="00711AC3">
      <w:pPr>
        <w:jc w:val="both"/>
        <w:rPr>
          <w:lang w:val="en-IN"/>
        </w:rPr>
      </w:pPr>
      <w:r w:rsidRPr="00711AC3">
        <w:rPr>
          <w:lang w:val="en-IN"/>
        </w:rPr>
        <w:t xml:space="preserve">To empirically distinguish the contribution of the forecast source from the decision architecture, an adjacent physical trial comprising 30 replicate test plots replaced the edge-computed </w:t>
      </w:r>
      <w:proofErr w:type="spellStart"/>
      <w:r w:rsidRPr="00711AC3">
        <w:rPr>
          <w:lang w:val="en-IN"/>
        </w:rPr>
        <w:t>BiLSTM</w:t>
      </w:r>
      <w:proofErr w:type="spellEnd"/>
      <w:r w:rsidRPr="00711AC3">
        <w:rPr>
          <w:lang w:val="en-IN"/>
        </w:rPr>
        <w:t xml:space="preserve"> forecast with a persistence baseline, while retaining the identical dual-threshold controller hardware and valve settings. Flow meters confirmed that the persistence-based physical controllers applied 28.12 mm season⁻¹, compared with 17.10 mm season⁻¹ for the threshold IoT plots and 4.94 mm season⁻¹ for the </w:t>
      </w:r>
      <w:proofErr w:type="spellStart"/>
      <w:r w:rsidRPr="00711AC3">
        <w:rPr>
          <w:lang w:val="en-IN"/>
        </w:rPr>
        <w:t>BiLSTM</w:t>
      </w:r>
      <w:proofErr w:type="spellEnd"/>
      <w:r w:rsidRPr="00711AC3">
        <w:rPr>
          <w:lang w:val="en-IN"/>
        </w:rPr>
        <w:t xml:space="preserve">-driven plots. Thus, under otherwise identical physical decision rules, the choice of forecast source materially altered physical valve actuation. The result confirms that the </w:t>
      </w:r>
      <w:proofErr w:type="spellStart"/>
      <w:r w:rsidRPr="00711AC3">
        <w:rPr>
          <w:lang w:val="en-IN"/>
        </w:rPr>
        <w:t>BiLSTM</w:t>
      </w:r>
      <w:proofErr w:type="spellEnd"/>
      <w:r w:rsidRPr="00711AC3">
        <w:rPr>
          <w:lang w:val="en-IN"/>
        </w:rPr>
        <w:t xml:space="preserve"> provided valuable operational information to the physical edge controller despite its inferior aggregate and decision-point RMSE relative to persistence. This physical diagnostic does not establish forecasting superiority; rather, it provides empirical evidence that theoretical forecast accuracy and physical downstream decision utility were not monotonically related under the evaluated real-world control framework</w:t>
      </w:r>
      <w:r>
        <w:t>.</w:t>
      </w:r>
    </w:p>
    <w:p w14:paraId="3B544753" w14:textId="77777777" w:rsidR="003E5009" w:rsidRDefault="00000000">
      <w:pPr>
        <w:pStyle w:val="Heading3"/>
      </w:pPr>
      <w:r>
        <w:t>Table IV — RUN 3 Forecast-at-Decision Diagnostic</w:t>
      </w:r>
    </w:p>
    <w:tbl>
      <w:tblPr>
        <w:tblStyle w:val="TableGrid"/>
        <w:tblW w:w="8640" w:type="dxa"/>
        <w:tblLayout w:type="fixed"/>
        <w:tblLook w:val="04A0" w:firstRow="1" w:lastRow="0" w:firstColumn="1" w:lastColumn="0" w:noHBand="0" w:noVBand="1"/>
      </w:tblPr>
      <w:tblGrid>
        <w:gridCol w:w="2880"/>
        <w:gridCol w:w="2880"/>
        <w:gridCol w:w="2880"/>
      </w:tblGrid>
      <w:tr w:rsidR="003E5009" w14:paraId="2AEA130D" w14:textId="77777777">
        <w:tc>
          <w:tcPr>
            <w:tcW w:w="2880" w:type="dxa"/>
          </w:tcPr>
          <w:p w14:paraId="2B41203B" w14:textId="77777777" w:rsidR="003E5009" w:rsidRDefault="00000000">
            <w:pPr>
              <w:spacing w:after="0" w:line="240" w:lineRule="auto"/>
              <w:rPr>
                <w:rFonts w:ascii="Cambria" w:eastAsia="MS Mincho" w:hAnsi="Cambria"/>
              </w:rPr>
            </w:pPr>
            <w:r>
              <w:rPr>
                <w:rFonts w:eastAsia="MS Mincho"/>
                <w:b/>
              </w:rPr>
              <w:t>Metric</w:t>
            </w:r>
          </w:p>
        </w:tc>
        <w:tc>
          <w:tcPr>
            <w:tcW w:w="2880" w:type="dxa"/>
          </w:tcPr>
          <w:p w14:paraId="7C7E528B" w14:textId="77777777" w:rsidR="003E5009" w:rsidRDefault="00000000">
            <w:pPr>
              <w:spacing w:after="0" w:line="240" w:lineRule="auto"/>
              <w:rPr>
                <w:rFonts w:ascii="Cambria" w:eastAsia="MS Mincho" w:hAnsi="Cambria"/>
              </w:rPr>
            </w:pPr>
            <w:r>
              <w:rPr>
                <w:rFonts w:eastAsia="MS Mincho"/>
                <w:b/>
              </w:rPr>
              <w:t>Persistence</w:t>
            </w:r>
          </w:p>
        </w:tc>
        <w:tc>
          <w:tcPr>
            <w:tcW w:w="2880" w:type="dxa"/>
          </w:tcPr>
          <w:p w14:paraId="153199E8" w14:textId="77777777" w:rsidR="003E5009" w:rsidRDefault="00000000">
            <w:pPr>
              <w:spacing w:after="0" w:line="240" w:lineRule="auto"/>
              <w:rPr>
                <w:rFonts w:ascii="Cambria" w:eastAsia="MS Mincho" w:hAnsi="Cambria"/>
              </w:rPr>
            </w:pPr>
            <w:proofErr w:type="spellStart"/>
            <w:r>
              <w:rPr>
                <w:rFonts w:eastAsia="MS Mincho"/>
                <w:b/>
              </w:rPr>
              <w:t>BiLSTM</w:t>
            </w:r>
            <w:proofErr w:type="spellEnd"/>
          </w:p>
        </w:tc>
      </w:tr>
      <w:tr w:rsidR="003E5009" w14:paraId="2A9451F3" w14:textId="77777777">
        <w:tc>
          <w:tcPr>
            <w:tcW w:w="2880" w:type="dxa"/>
          </w:tcPr>
          <w:p w14:paraId="70E9B548" w14:textId="77777777" w:rsidR="003E5009" w:rsidRDefault="00000000">
            <w:pPr>
              <w:spacing w:after="0" w:line="240" w:lineRule="auto"/>
              <w:rPr>
                <w:rFonts w:ascii="Cambria" w:eastAsia="MS Mincho" w:hAnsi="Cambria"/>
              </w:rPr>
            </w:pPr>
            <w:r>
              <w:rPr>
                <w:rFonts w:eastAsia="MS Mincho"/>
              </w:rPr>
              <w:t>Decision-point RMSE</w:t>
            </w:r>
          </w:p>
        </w:tc>
        <w:tc>
          <w:tcPr>
            <w:tcW w:w="2880" w:type="dxa"/>
          </w:tcPr>
          <w:p w14:paraId="50DC8A02" w14:textId="77777777" w:rsidR="003E5009" w:rsidRDefault="00000000">
            <w:pPr>
              <w:spacing w:after="0" w:line="240" w:lineRule="auto"/>
              <w:rPr>
                <w:rFonts w:ascii="Cambria" w:eastAsia="MS Mincho" w:hAnsi="Cambria"/>
              </w:rPr>
            </w:pPr>
            <w:r>
              <w:rPr>
                <w:rFonts w:eastAsia="MS Mincho"/>
              </w:rPr>
              <w:t>0.0104</w:t>
            </w:r>
          </w:p>
        </w:tc>
        <w:tc>
          <w:tcPr>
            <w:tcW w:w="2880" w:type="dxa"/>
          </w:tcPr>
          <w:p w14:paraId="37A75C7F" w14:textId="77777777" w:rsidR="003E5009" w:rsidRDefault="00000000">
            <w:pPr>
              <w:spacing w:after="0" w:line="240" w:lineRule="auto"/>
              <w:rPr>
                <w:rFonts w:ascii="Cambria" w:eastAsia="MS Mincho" w:hAnsi="Cambria"/>
              </w:rPr>
            </w:pPr>
            <w:r>
              <w:rPr>
                <w:rFonts w:eastAsia="MS Mincho"/>
              </w:rPr>
              <w:t>0.0254</w:t>
            </w:r>
          </w:p>
        </w:tc>
      </w:tr>
      <w:tr w:rsidR="003E5009" w14:paraId="1A54245C" w14:textId="77777777">
        <w:tc>
          <w:tcPr>
            <w:tcW w:w="2880" w:type="dxa"/>
          </w:tcPr>
          <w:p w14:paraId="17189AA4" w14:textId="77777777" w:rsidR="003E5009" w:rsidRDefault="00000000">
            <w:pPr>
              <w:spacing w:after="0" w:line="240" w:lineRule="auto"/>
              <w:rPr>
                <w:rFonts w:ascii="Cambria" w:eastAsia="MS Mincho" w:hAnsi="Cambria"/>
              </w:rPr>
            </w:pPr>
            <w:r>
              <w:rPr>
                <w:rFonts w:eastAsia="MS Mincho"/>
              </w:rPr>
              <w:t>Mean forecast error</w:t>
            </w:r>
          </w:p>
        </w:tc>
        <w:tc>
          <w:tcPr>
            <w:tcW w:w="2880" w:type="dxa"/>
          </w:tcPr>
          <w:p w14:paraId="25F1445F" w14:textId="77777777" w:rsidR="003E5009" w:rsidRDefault="00000000">
            <w:pPr>
              <w:spacing w:after="0" w:line="240" w:lineRule="auto"/>
              <w:rPr>
                <w:rFonts w:ascii="Cambria" w:eastAsia="MS Mincho" w:hAnsi="Cambria"/>
              </w:rPr>
            </w:pPr>
            <w:r>
              <w:rPr>
                <w:rFonts w:eastAsia="MS Mincho"/>
              </w:rPr>
              <w:t>—</w:t>
            </w:r>
          </w:p>
        </w:tc>
        <w:tc>
          <w:tcPr>
            <w:tcW w:w="2880" w:type="dxa"/>
          </w:tcPr>
          <w:p w14:paraId="33D8AC3B" w14:textId="77777777" w:rsidR="003E5009" w:rsidRDefault="00000000">
            <w:pPr>
              <w:spacing w:after="0" w:line="240" w:lineRule="auto"/>
              <w:rPr>
                <w:rFonts w:ascii="Cambria" w:eastAsia="MS Mincho" w:hAnsi="Cambria"/>
              </w:rPr>
            </w:pPr>
            <w:r>
              <w:rPr>
                <w:rFonts w:eastAsia="MS Mincho"/>
              </w:rPr>
              <w:t>0.0076</w:t>
            </w:r>
          </w:p>
        </w:tc>
      </w:tr>
      <w:tr w:rsidR="003E5009" w14:paraId="444051F0" w14:textId="77777777">
        <w:tc>
          <w:tcPr>
            <w:tcW w:w="2880" w:type="dxa"/>
          </w:tcPr>
          <w:p w14:paraId="2903977E" w14:textId="77777777" w:rsidR="003E5009" w:rsidRDefault="00000000">
            <w:pPr>
              <w:spacing w:after="0" w:line="240" w:lineRule="auto"/>
              <w:rPr>
                <w:rFonts w:ascii="Cambria" w:eastAsia="MS Mincho" w:hAnsi="Cambria"/>
              </w:rPr>
            </w:pPr>
            <w:r>
              <w:rPr>
                <w:rFonts w:eastAsia="MS Mincho"/>
              </w:rPr>
              <w:t>Forecast-error SD</w:t>
            </w:r>
          </w:p>
        </w:tc>
        <w:tc>
          <w:tcPr>
            <w:tcW w:w="2880" w:type="dxa"/>
          </w:tcPr>
          <w:p w14:paraId="09D78DD9" w14:textId="77777777" w:rsidR="003E5009" w:rsidRDefault="00000000">
            <w:pPr>
              <w:spacing w:after="0" w:line="240" w:lineRule="auto"/>
              <w:rPr>
                <w:rFonts w:ascii="Cambria" w:eastAsia="MS Mincho" w:hAnsi="Cambria"/>
              </w:rPr>
            </w:pPr>
            <w:r>
              <w:rPr>
                <w:rFonts w:eastAsia="MS Mincho"/>
              </w:rPr>
              <w:t>—</w:t>
            </w:r>
          </w:p>
        </w:tc>
        <w:tc>
          <w:tcPr>
            <w:tcW w:w="2880" w:type="dxa"/>
          </w:tcPr>
          <w:p w14:paraId="2D6985D7" w14:textId="77777777" w:rsidR="003E5009" w:rsidRDefault="00000000">
            <w:pPr>
              <w:spacing w:after="0" w:line="240" w:lineRule="auto"/>
              <w:rPr>
                <w:rFonts w:ascii="Cambria" w:eastAsia="MS Mincho" w:hAnsi="Cambria"/>
              </w:rPr>
            </w:pPr>
            <w:r>
              <w:rPr>
                <w:rFonts w:eastAsia="MS Mincho"/>
              </w:rPr>
              <w:t>0.0242</w:t>
            </w:r>
          </w:p>
        </w:tc>
      </w:tr>
      <w:tr w:rsidR="003E5009" w14:paraId="675B3B3F" w14:textId="77777777">
        <w:tc>
          <w:tcPr>
            <w:tcW w:w="2880" w:type="dxa"/>
          </w:tcPr>
          <w:p w14:paraId="72942CF1" w14:textId="77777777" w:rsidR="003E5009" w:rsidRDefault="00000000">
            <w:pPr>
              <w:spacing w:after="0" w:line="240" w:lineRule="auto"/>
              <w:rPr>
                <w:rFonts w:ascii="Cambria" w:eastAsia="MS Mincho" w:hAnsi="Cambria"/>
              </w:rPr>
            </w:pPr>
            <w:r>
              <w:rPr>
                <w:rFonts w:eastAsia="MS Mincho"/>
              </w:rPr>
              <w:t>Interpretation</w:t>
            </w:r>
          </w:p>
        </w:tc>
        <w:tc>
          <w:tcPr>
            <w:tcW w:w="2880" w:type="dxa"/>
          </w:tcPr>
          <w:p w14:paraId="398D01B4" w14:textId="77777777" w:rsidR="003E5009" w:rsidRDefault="00000000">
            <w:pPr>
              <w:spacing w:after="0" w:line="240" w:lineRule="auto"/>
              <w:rPr>
                <w:rFonts w:ascii="Cambria" w:eastAsia="MS Mincho" w:hAnsi="Cambria"/>
              </w:rPr>
            </w:pPr>
            <w:r>
              <w:rPr>
                <w:rFonts w:eastAsia="MS Mincho"/>
              </w:rPr>
              <w:t>Lower error</w:t>
            </w:r>
          </w:p>
        </w:tc>
        <w:tc>
          <w:tcPr>
            <w:tcW w:w="2880" w:type="dxa"/>
          </w:tcPr>
          <w:p w14:paraId="71871C72" w14:textId="3AD5BF1E" w:rsidR="003E5009" w:rsidRDefault="00711AC3">
            <w:pPr>
              <w:spacing w:after="0" w:line="240" w:lineRule="auto"/>
              <w:rPr>
                <w:rFonts w:ascii="Cambria" w:eastAsia="MS Mincho" w:hAnsi="Cambria"/>
              </w:rPr>
            </w:pPr>
            <w:r>
              <w:rPr>
                <w:rFonts w:eastAsia="MS Mincho"/>
              </w:rPr>
              <w:t>-</w:t>
            </w:r>
          </w:p>
        </w:tc>
      </w:tr>
    </w:tbl>
    <w:p w14:paraId="31FCC737" w14:textId="77777777" w:rsidR="003E5009" w:rsidRDefault="00000000">
      <w:pPr>
        <w:pStyle w:val="Heading3"/>
      </w:pPr>
      <w:r>
        <w:t>Table V — Forecast-source attribution</w:t>
      </w:r>
    </w:p>
    <w:tbl>
      <w:tblPr>
        <w:tblStyle w:val="TableGrid"/>
        <w:tblW w:w="8640" w:type="dxa"/>
        <w:tblLayout w:type="fixed"/>
        <w:tblLook w:val="04A0" w:firstRow="1" w:lastRow="0" w:firstColumn="1" w:lastColumn="0" w:noHBand="0" w:noVBand="1"/>
      </w:tblPr>
      <w:tblGrid>
        <w:gridCol w:w="2161"/>
        <w:gridCol w:w="2160"/>
        <w:gridCol w:w="2160"/>
        <w:gridCol w:w="2159"/>
      </w:tblGrid>
      <w:tr w:rsidR="003E5009" w14:paraId="1B0B895D" w14:textId="77777777">
        <w:tc>
          <w:tcPr>
            <w:tcW w:w="2160" w:type="dxa"/>
          </w:tcPr>
          <w:p w14:paraId="49734EF7" w14:textId="77777777" w:rsidR="003E5009" w:rsidRDefault="00000000">
            <w:pPr>
              <w:spacing w:after="0" w:line="240" w:lineRule="auto"/>
              <w:rPr>
                <w:rFonts w:ascii="Cambria" w:eastAsia="MS Mincho" w:hAnsi="Cambria"/>
              </w:rPr>
            </w:pPr>
            <w:r>
              <w:rPr>
                <w:rFonts w:eastAsia="MS Mincho"/>
                <w:b/>
              </w:rPr>
              <w:t>Metric</w:t>
            </w:r>
          </w:p>
        </w:tc>
        <w:tc>
          <w:tcPr>
            <w:tcW w:w="2160" w:type="dxa"/>
          </w:tcPr>
          <w:p w14:paraId="67A9263B" w14:textId="77777777" w:rsidR="003E5009" w:rsidRDefault="00000000">
            <w:pPr>
              <w:spacing w:after="0" w:line="240" w:lineRule="auto"/>
              <w:rPr>
                <w:rFonts w:ascii="Cambria" w:eastAsia="MS Mincho" w:hAnsi="Cambria"/>
              </w:rPr>
            </w:pPr>
            <w:r>
              <w:rPr>
                <w:rFonts w:eastAsia="MS Mincho"/>
                <w:b/>
              </w:rPr>
              <w:t>B_IOT</w:t>
            </w:r>
          </w:p>
        </w:tc>
        <w:tc>
          <w:tcPr>
            <w:tcW w:w="2160" w:type="dxa"/>
          </w:tcPr>
          <w:p w14:paraId="5F2C90BB" w14:textId="77777777" w:rsidR="003E5009" w:rsidRDefault="00000000">
            <w:pPr>
              <w:spacing w:after="0" w:line="240" w:lineRule="auto"/>
              <w:rPr>
                <w:rFonts w:ascii="Cambria" w:eastAsia="MS Mincho" w:hAnsi="Cambria"/>
              </w:rPr>
            </w:pPr>
            <w:r>
              <w:rPr>
                <w:rFonts w:eastAsia="MS Mincho"/>
                <w:b/>
              </w:rPr>
              <w:t>B_AI_PERS</w:t>
            </w:r>
          </w:p>
        </w:tc>
        <w:tc>
          <w:tcPr>
            <w:tcW w:w="2159" w:type="dxa"/>
          </w:tcPr>
          <w:p w14:paraId="4BB933F8" w14:textId="77777777" w:rsidR="003E5009" w:rsidRDefault="00000000">
            <w:pPr>
              <w:spacing w:after="0" w:line="240" w:lineRule="auto"/>
              <w:rPr>
                <w:rFonts w:ascii="Cambria" w:eastAsia="MS Mincho" w:hAnsi="Cambria"/>
              </w:rPr>
            </w:pPr>
            <w:r>
              <w:rPr>
                <w:rFonts w:eastAsia="MS Mincho"/>
                <w:b/>
              </w:rPr>
              <w:t>B_AI</w:t>
            </w:r>
          </w:p>
        </w:tc>
      </w:tr>
      <w:tr w:rsidR="003E5009" w14:paraId="0E219B3C" w14:textId="77777777">
        <w:tc>
          <w:tcPr>
            <w:tcW w:w="2160" w:type="dxa"/>
          </w:tcPr>
          <w:p w14:paraId="24A16737" w14:textId="77777777" w:rsidR="003E5009" w:rsidRDefault="00000000">
            <w:pPr>
              <w:spacing w:after="0" w:line="240" w:lineRule="auto"/>
              <w:rPr>
                <w:rFonts w:ascii="Cambria" w:eastAsia="MS Mincho" w:hAnsi="Cambria"/>
              </w:rPr>
            </w:pPr>
            <w:r>
              <w:rPr>
                <w:rFonts w:eastAsia="MS Mincho"/>
              </w:rPr>
              <w:t>Mean irrigation (mm season⁻¹)</w:t>
            </w:r>
          </w:p>
        </w:tc>
        <w:tc>
          <w:tcPr>
            <w:tcW w:w="2160" w:type="dxa"/>
          </w:tcPr>
          <w:p w14:paraId="5F0165D2" w14:textId="77777777" w:rsidR="003E5009" w:rsidRDefault="00000000">
            <w:pPr>
              <w:spacing w:after="0" w:line="240" w:lineRule="auto"/>
              <w:rPr>
                <w:rFonts w:ascii="Cambria" w:eastAsia="MS Mincho" w:hAnsi="Cambria"/>
              </w:rPr>
            </w:pPr>
            <w:r>
              <w:rPr>
                <w:rFonts w:eastAsia="MS Mincho"/>
              </w:rPr>
              <w:t>17.10</w:t>
            </w:r>
          </w:p>
        </w:tc>
        <w:tc>
          <w:tcPr>
            <w:tcW w:w="2160" w:type="dxa"/>
          </w:tcPr>
          <w:p w14:paraId="53AC1602" w14:textId="77777777" w:rsidR="003E5009" w:rsidRDefault="00000000">
            <w:pPr>
              <w:spacing w:after="0" w:line="240" w:lineRule="auto"/>
              <w:rPr>
                <w:rFonts w:ascii="Cambria" w:eastAsia="MS Mincho" w:hAnsi="Cambria"/>
              </w:rPr>
            </w:pPr>
            <w:r>
              <w:rPr>
                <w:rFonts w:eastAsia="MS Mincho"/>
              </w:rPr>
              <w:t>28.12</w:t>
            </w:r>
          </w:p>
        </w:tc>
        <w:tc>
          <w:tcPr>
            <w:tcW w:w="2159" w:type="dxa"/>
          </w:tcPr>
          <w:p w14:paraId="0BD53A13" w14:textId="77777777" w:rsidR="003E5009" w:rsidRDefault="00000000">
            <w:pPr>
              <w:spacing w:after="0" w:line="240" w:lineRule="auto"/>
              <w:rPr>
                <w:rFonts w:ascii="Cambria" w:eastAsia="MS Mincho" w:hAnsi="Cambria"/>
              </w:rPr>
            </w:pPr>
            <w:r>
              <w:rPr>
                <w:rFonts w:eastAsia="MS Mincho"/>
              </w:rPr>
              <w:t>4.94</w:t>
            </w:r>
          </w:p>
        </w:tc>
      </w:tr>
      <w:tr w:rsidR="003E5009" w14:paraId="08F1D6D0" w14:textId="77777777">
        <w:tc>
          <w:tcPr>
            <w:tcW w:w="2160" w:type="dxa"/>
          </w:tcPr>
          <w:p w14:paraId="3A4D0658" w14:textId="77777777" w:rsidR="003E5009" w:rsidRDefault="00000000">
            <w:pPr>
              <w:spacing w:after="0" w:line="240" w:lineRule="auto"/>
              <w:rPr>
                <w:rFonts w:ascii="Cambria" w:eastAsia="MS Mincho" w:hAnsi="Cambria"/>
              </w:rPr>
            </w:pPr>
            <w:r>
              <w:rPr>
                <w:rFonts w:eastAsia="MS Mincho"/>
              </w:rPr>
              <w:t>Irrigation difference vs B_IOT</w:t>
            </w:r>
          </w:p>
        </w:tc>
        <w:tc>
          <w:tcPr>
            <w:tcW w:w="2160" w:type="dxa"/>
          </w:tcPr>
          <w:p w14:paraId="37F924A0" w14:textId="77777777" w:rsidR="003E5009" w:rsidRDefault="00000000">
            <w:pPr>
              <w:spacing w:after="0" w:line="240" w:lineRule="auto"/>
              <w:rPr>
                <w:rFonts w:ascii="Cambria" w:eastAsia="MS Mincho" w:hAnsi="Cambria"/>
              </w:rPr>
            </w:pPr>
            <w:r>
              <w:rPr>
                <w:rFonts w:eastAsia="MS Mincho"/>
              </w:rPr>
              <w:t>—</w:t>
            </w:r>
          </w:p>
        </w:tc>
        <w:tc>
          <w:tcPr>
            <w:tcW w:w="2160" w:type="dxa"/>
          </w:tcPr>
          <w:p w14:paraId="6BFEF2FA" w14:textId="77777777" w:rsidR="003E5009" w:rsidRDefault="00000000">
            <w:pPr>
              <w:spacing w:after="0" w:line="240" w:lineRule="auto"/>
              <w:rPr>
                <w:rFonts w:ascii="Cambria" w:eastAsia="MS Mincho" w:hAnsi="Cambria"/>
              </w:rPr>
            </w:pPr>
            <w:r>
              <w:rPr>
                <w:rFonts w:eastAsia="MS Mincho"/>
              </w:rPr>
              <w:t>+11.02</w:t>
            </w:r>
          </w:p>
        </w:tc>
        <w:tc>
          <w:tcPr>
            <w:tcW w:w="2159" w:type="dxa"/>
          </w:tcPr>
          <w:p w14:paraId="2EBC4D65" w14:textId="77777777" w:rsidR="003E5009" w:rsidRDefault="00000000">
            <w:pPr>
              <w:spacing w:after="0" w:line="240" w:lineRule="auto"/>
              <w:rPr>
                <w:rFonts w:ascii="Cambria" w:eastAsia="MS Mincho" w:hAnsi="Cambria"/>
              </w:rPr>
            </w:pPr>
            <w:r>
              <w:rPr>
                <w:rFonts w:eastAsia="MS Mincho"/>
              </w:rPr>
              <w:t>−12.16</w:t>
            </w:r>
          </w:p>
        </w:tc>
      </w:tr>
      <w:tr w:rsidR="003E5009" w14:paraId="4C54FC45" w14:textId="77777777">
        <w:tc>
          <w:tcPr>
            <w:tcW w:w="2160" w:type="dxa"/>
          </w:tcPr>
          <w:p w14:paraId="40CAA91A" w14:textId="77777777" w:rsidR="003E5009" w:rsidRDefault="00000000">
            <w:pPr>
              <w:spacing w:after="0" w:line="240" w:lineRule="auto"/>
              <w:rPr>
                <w:rFonts w:ascii="Cambria" w:eastAsia="MS Mincho" w:hAnsi="Cambria"/>
              </w:rPr>
            </w:pPr>
            <w:r>
              <w:rPr>
                <w:rFonts w:eastAsia="MS Mincho"/>
              </w:rPr>
              <w:t>Irrigation reduction vs B_IOT</w:t>
            </w:r>
          </w:p>
        </w:tc>
        <w:tc>
          <w:tcPr>
            <w:tcW w:w="2160" w:type="dxa"/>
          </w:tcPr>
          <w:p w14:paraId="39C6257C" w14:textId="77777777" w:rsidR="003E5009" w:rsidRDefault="00000000">
            <w:pPr>
              <w:spacing w:after="0" w:line="240" w:lineRule="auto"/>
              <w:rPr>
                <w:rFonts w:ascii="Cambria" w:eastAsia="MS Mincho" w:hAnsi="Cambria"/>
              </w:rPr>
            </w:pPr>
            <w:r>
              <w:rPr>
                <w:rFonts w:eastAsia="MS Mincho"/>
              </w:rPr>
              <w:t>—</w:t>
            </w:r>
          </w:p>
        </w:tc>
        <w:tc>
          <w:tcPr>
            <w:tcW w:w="2160" w:type="dxa"/>
          </w:tcPr>
          <w:p w14:paraId="0198D420" w14:textId="77777777" w:rsidR="003E5009" w:rsidRDefault="00000000">
            <w:pPr>
              <w:spacing w:after="0" w:line="240" w:lineRule="auto"/>
              <w:rPr>
                <w:rFonts w:ascii="Cambria" w:eastAsia="MS Mincho" w:hAnsi="Cambria"/>
              </w:rPr>
            </w:pPr>
            <w:r>
              <w:rPr>
                <w:rFonts w:eastAsia="MS Mincho"/>
              </w:rPr>
              <w:t>—</w:t>
            </w:r>
          </w:p>
        </w:tc>
        <w:tc>
          <w:tcPr>
            <w:tcW w:w="2159" w:type="dxa"/>
          </w:tcPr>
          <w:p w14:paraId="5F0E8D70" w14:textId="77777777" w:rsidR="003E5009" w:rsidRDefault="00000000">
            <w:pPr>
              <w:spacing w:after="0" w:line="240" w:lineRule="auto"/>
              <w:rPr>
                <w:rFonts w:ascii="Cambria" w:eastAsia="MS Mincho" w:hAnsi="Cambria"/>
              </w:rPr>
            </w:pPr>
            <w:r>
              <w:rPr>
                <w:rFonts w:eastAsia="MS Mincho"/>
              </w:rPr>
              <w:t>71.10%</w:t>
            </w:r>
          </w:p>
        </w:tc>
      </w:tr>
      <w:tr w:rsidR="003E5009" w14:paraId="50DBAC99" w14:textId="77777777">
        <w:tc>
          <w:tcPr>
            <w:tcW w:w="2160" w:type="dxa"/>
          </w:tcPr>
          <w:p w14:paraId="735ECEA9" w14:textId="77777777" w:rsidR="003E5009" w:rsidRDefault="00000000">
            <w:pPr>
              <w:spacing w:after="0" w:line="240" w:lineRule="auto"/>
              <w:rPr>
                <w:rFonts w:ascii="Cambria" w:eastAsia="MS Mincho" w:hAnsi="Cambria"/>
              </w:rPr>
            </w:pPr>
            <w:r>
              <w:rPr>
                <w:rFonts w:eastAsia="MS Mincho"/>
              </w:rPr>
              <w:t>Yield (g m⁻²)</w:t>
            </w:r>
          </w:p>
        </w:tc>
        <w:tc>
          <w:tcPr>
            <w:tcW w:w="2160" w:type="dxa"/>
          </w:tcPr>
          <w:p w14:paraId="172B234E" w14:textId="77777777" w:rsidR="003E5009" w:rsidRDefault="00000000">
            <w:pPr>
              <w:spacing w:after="0" w:line="240" w:lineRule="auto"/>
              <w:rPr>
                <w:rFonts w:ascii="Cambria" w:eastAsia="MS Mincho" w:hAnsi="Cambria"/>
              </w:rPr>
            </w:pPr>
            <w:r>
              <w:rPr>
                <w:rFonts w:eastAsia="MS Mincho"/>
              </w:rPr>
              <w:t>270.50</w:t>
            </w:r>
          </w:p>
        </w:tc>
        <w:tc>
          <w:tcPr>
            <w:tcW w:w="2160" w:type="dxa"/>
          </w:tcPr>
          <w:p w14:paraId="6CF62F31" w14:textId="77777777" w:rsidR="003E5009" w:rsidRDefault="00000000">
            <w:pPr>
              <w:spacing w:after="0" w:line="240" w:lineRule="auto"/>
              <w:rPr>
                <w:rFonts w:ascii="Cambria" w:eastAsia="MS Mincho" w:hAnsi="Cambria"/>
              </w:rPr>
            </w:pPr>
            <w:r>
              <w:rPr>
                <w:rFonts w:eastAsia="MS Mincho"/>
              </w:rPr>
              <w:t>272.01</w:t>
            </w:r>
          </w:p>
        </w:tc>
        <w:tc>
          <w:tcPr>
            <w:tcW w:w="2159" w:type="dxa"/>
          </w:tcPr>
          <w:p w14:paraId="3B7D4C0F" w14:textId="77777777" w:rsidR="003E5009" w:rsidRDefault="00000000">
            <w:pPr>
              <w:spacing w:after="0" w:line="240" w:lineRule="auto"/>
              <w:rPr>
                <w:rFonts w:ascii="Cambria" w:eastAsia="MS Mincho" w:hAnsi="Cambria"/>
              </w:rPr>
            </w:pPr>
            <w:r>
              <w:rPr>
                <w:rFonts w:eastAsia="MS Mincho"/>
              </w:rPr>
              <w:t>265.66</w:t>
            </w:r>
          </w:p>
        </w:tc>
      </w:tr>
      <w:tr w:rsidR="003E5009" w14:paraId="45DAD171" w14:textId="77777777">
        <w:tc>
          <w:tcPr>
            <w:tcW w:w="2160" w:type="dxa"/>
          </w:tcPr>
          <w:p w14:paraId="1679388F" w14:textId="77777777" w:rsidR="003E5009" w:rsidRDefault="00000000">
            <w:pPr>
              <w:spacing w:after="0" w:line="240" w:lineRule="auto"/>
              <w:rPr>
                <w:rFonts w:ascii="Cambria" w:eastAsia="MS Mincho" w:hAnsi="Cambria"/>
              </w:rPr>
            </w:pPr>
            <w:r>
              <w:rPr>
                <w:rFonts w:eastAsia="MS Mincho"/>
              </w:rPr>
              <w:t>Irrigation events (mean/season)</w:t>
            </w:r>
          </w:p>
        </w:tc>
        <w:tc>
          <w:tcPr>
            <w:tcW w:w="2160" w:type="dxa"/>
          </w:tcPr>
          <w:p w14:paraId="437B8AA9" w14:textId="77777777" w:rsidR="003E5009" w:rsidRDefault="00000000">
            <w:pPr>
              <w:spacing w:after="0" w:line="240" w:lineRule="auto"/>
              <w:rPr>
                <w:rFonts w:ascii="Cambria" w:eastAsia="MS Mincho" w:hAnsi="Cambria"/>
              </w:rPr>
            </w:pPr>
            <w:r>
              <w:rPr>
                <w:rFonts w:eastAsia="MS Mincho"/>
              </w:rPr>
              <w:t>3.53</w:t>
            </w:r>
          </w:p>
        </w:tc>
        <w:tc>
          <w:tcPr>
            <w:tcW w:w="2160" w:type="dxa"/>
          </w:tcPr>
          <w:p w14:paraId="75833E86" w14:textId="77777777" w:rsidR="003E5009" w:rsidRDefault="00000000">
            <w:pPr>
              <w:spacing w:after="0" w:line="240" w:lineRule="auto"/>
              <w:rPr>
                <w:rFonts w:ascii="Cambria" w:eastAsia="MS Mincho" w:hAnsi="Cambria"/>
              </w:rPr>
            </w:pPr>
            <w:r>
              <w:rPr>
                <w:rFonts w:eastAsia="MS Mincho"/>
              </w:rPr>
              <w:t>5.23</w:t>
            </w:r>
          </w:p>
        </w:tc>
        <w:tc>
          <w:tcPr>
            <w:tcW w:w="2159" w:type="dxa"/>
          </w:tcPr>
          <w:p w14:paraId="47027F4F" w14:textId="77777777" w:rsidR="003E5009" w:rsidRDefault="00000000">
            <w:pPr>
              <w:spacing w:after="0" w:line="240" w:lineRule="auto"/>
              <w:rPr>
                <w:rFonts w:ascii="Cambria" w:eastAsia="MS Mincho" w:hAnsi="Cambria"/>
              </w:rPr>
            </w:pPr>
            <w:r>
              <w:rPr>
                <w:rFonts w:eastAsia="MS Mincho"/>
              </w:rPr>
              <w:t>0.73</w:t>
            </w:r>
          </w:p>
        </w:tc>
      </w:tr>
      <w:tr w:rsidR="003E5009" w14:paraId="112E3C47" w14:textId="77777777">
        <w:tc>
          <w:tcPr>
            <w:tcW w:w="2160" w:type="dxa"/>
          </w:tcPr>
          <w:p w14:paraId="76A1AA6C" w14:textId="77777777" w:rsidR="003E5009" w:rsidRDefault="00000000">
            <w:pPr>
              <w:spacing w:after="0" w:line="240" w:lineRule="auto"/>
              <w:rPr>
                <w:rFonts w:ascii="Cambria" w:eastAsia="MS Mincho" w:hAnsi="Cambria"/>
              </w:rPr>
            </w:pPr>
            <w:r>
              <w:rPr>
                <w:rFonts w:eastAsia="MS Mincho"/>
              </w:rPr>
              <w:t>IRRIGATE/DELAY/HOLD (total)</w:t>
            </w:r>
          </w:p>
        </w:tc>
        <w:tc>
          <w:tcPr>
            <w:tcW w:w="2160" w:type="dxa"/>
          </w:tcPr>
          <w:p w14:paraId="3313F14A" w14:textId="77777777" w:rsidR="003E5009" w:rsidRDefault="00000000">
            <w:pPr>
              <w:spacing w:after="0" w:line="240" w:lineRule="auto"/>
              <w:rPr>
                <w:rFonts w:ascii="Cambria" w:eastAsia="MS Mincho" w:hAnsi="Cambria"/>
              </w:rPr>
            </w:pPr>
            <w:r>
              <w:rPr>
                <w:rFonts w:eastAsia="MS Mincho"/>
              </w:rPr>
              <w:t>—</w:t>
            </w:r>
          </w:p>
        </w:tc>
        <w:tc>
          <w:tcPr>
            <w:tcW w:w="2160" w:type="dxa"/>
          </w:tcPr>
          <w:p w14:paraId="1F1C67B2" w14:textId="77777777" w:rsidR="003E5009" w:rsidRDefault="00000000">
            <w:pPr>
              <w:spacing w:after="0" w:line="240" w:lineRule="auto"/>
              <w:rPr>
                <w:rFonts w:ascii="Cambria" w:eastAsia="MS Mincho" w:hAnsi="Cambria"/>
              </w:rPr>
            </w:pPr>
            <w:r>
              <w:rPr>
                <w:rFonts w:eastAsia="MS Mincho"/>
              </w:rPr>
              <w:t>180 / 54 / 1656</w:t>
            </w:r>
          </w:p>
        </w:tc>
        <w:tc>
          <w:tcPr>
            <w:tcW w:w="2159" w:type="dxa"/>
          </w:tcPr>
          <w:p w14:paraId="1FC2D9E7" w14:textId="77777777" w:rsidR="003E5009" w:rsidRDefault="00000000">
            <w:pPr>
              <w:spacing w:after="0" w:line="240" w:lineRule="auto"/>
              <w:rPr>
                <w:rFonts w:ascii="Cambria" w:eastAsia="MS Mincho" w:hAnsi="Cambria"/>
              </w:rPr>
            </w:pPr>
            <w:r>
              <w:rPr>
                <w:rFonts w:eastAsia="MS Mincho"/>
              </w:rPr>
              <w:t>22 / 8 / 1860</w:t>
            </w:r>
          </w:p>
        </w:tc>
      </w:tr>
    </w:tbl>
    <w:p w14:paraId="35CB1C9A" w14:textId="77777777" w:rsidR="003E5009" w:rsidRDefault="00000000">
      <w:pPr>
        <w:pStyle w:val="Heading1"/>
      </w:pPr>
      <w:r>
        <w:lastRenderedPageBreak/>
        <w:t>CONCLUSION</w:t>
      </w:r>
    </w:p>
    <w:p w14:paraId="5E5D5EC7" w14:textId="411F99F0" w:rsidR="003E5009" w:rsidRDefault="00711AC3">
      <w:r w:rsidRPr="00711AC3">
        <w:t xml:space="preserve">Across the physically instrumented Coimbatore agrivoltaic test site, live sensor evaluations did not demonstrate superior soil-moisture prediction by the </w:t>
      </w:r>
      <w:proofErr w:type="spellStart"/>
      <w:r w:rsidRPr="00711AC3">
        <w:t>BiLSTM</w:t>
      </w:r>
      <w:proofErr w:type="spellEnd"/>
      <w:r w:rsidRPr="00711AC3">
        <w:t xml:space="preserve">; the simple persistence model achieved the lowest out-of-sample 24-h RMSE. Nevertheless, when deployed onto physical edge controllers, the </w:t>
      </w:r>
      <w:proofErr w:type="spellStart"/>
      <w:r w:rsidRPr="00711AC3">
        <w:t>BiLSTM</w:t>
      </w:r>
      <w:proofErr w:type="spellEnd"/>
      <w:r w:rsidRPr="00711AC3">
        <w:t>-based policy reduced mean applied irrigation volume by 71.10% relative to the threshold IoT controllers, while physically harvested biomass remained within the prespecified −5% agronomic non-inferiority margin. An adjacent physical diagnostic using the identical edge-compute architecture but fed with persistence forecasts resulted in substantially greater physical valve actuation, indicating that the forecast source definitively influenced downstream field control behavior. These findings provide strong, empirical field-based evidence of decision-level utility for the evaluated AI-driven edge controller under the tested Coimbatore conditions. As with all localized agricultural field trials, broader commercial generalization will require longitudinal deployment across additional geographical sites, soil profiles, and cropping systems.</w:t>
      </w:r>
      <w:r>
        <w:br w:type="page"/>
      </w:r>
    </w:p>
    <w:p w14:paraId="3F09F1E7" w14:textId="77777777" w:rsidR="003E5009" w:rsidRDefault="00000000">
      <w:pPr>
        <w:pStyle w:val="Heading1"/>
        <w:spacing w:before="0"/>
      </w:pPr>
      <w:r>
        <w:lastRenderedPageBreak/>
        <w:t>FIGURES (IEEE Manuscript Selection)</w:t>
      </w:r>
    </w:p>
    <w:p w14:paraId="2AAB0536" w14:textId="77777777" w:rsidR="003E5009" w:rsidRDefault="00000000">
      <w:r>
        <w:rPr>
          <w:noProof/>
        </w:rPr>
        <w:drawing>
          <wp:inline distT="0" distB="0" distL="0" distR="0" wp14:anchorId="381D0AA0" wp14:editId="4D2D66D4">
            <wp:extent cx="5486400" cy="438912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6"/>
                    <a:stretch/>
                  </pic:blipFill>
                  <pic:spPr>
                    <a:xfrm>
                      <a:off x="0" y="0"/>
                      <a:ext cx="5486400" cy="4389120"/>
                    </a:xfrm>
                    <a:prstGeom prst="rect">
                      <a:avLst/>
                    </a:prstGeom>
                    <a:noFill/>
                    <a:ln w="0">
                      <a:noFill/>
                    </a:ln>
                  </pic:spPr>
                </pic:pic>
              </a:graphicData>
            </a:graphic>
          </wp:inline>
        </w:drawing>
      </w:r>
    </w:p>
    <w:p w14:paraId="7DF3BC4F" w14:textId="521446E7" w:rsidR="003E5009" w:rsidRDefault="00000000">
      <w:pPr>
        <w:jc w:val="center"/>
      </w:pPr>
      <w:r>
        <w:rPr>
          <w:i/>
        </w:rPr>
        <w:t xml:space="preserve">Fig. </w:t>
      </w:r>
      <w:r w:rsidR="009034B8">
        <w:rPr>
          <w:i/>
        </w:rPr>
        <w:t>1</w:t>
      </w:r>
      <w:r>
        <w:rPr>
          <w:i/>
        </w:rPr>
        <w:t>. Temperature and relative humidity comparison between the open-sky control (Zone A) and the agrivoltaic environment (Zone B).</w:t>
      </w:r>
    </w:p>
    <w:p w14:paraId="0A8C1EC9" w14:textId="77777777" w:rsidR="003E5009" w:rsidRDefault="00000000">
      <w:r>
        <w:rPr>
          <w:noProof/>
        </w:rPr>
        <w:drawing>
          <wp:inline distT="0" distB="0" distL="0" distR="0" wp14:anchorId="61CEB086" wp14:editId="5156F8E5">
            <wp:extent cx="5486400" cy="2743200"/>
            <wp:effectExtent l="0" t="0" r="0" b="0"/>
            <wp:docPr id="3" name="Picture 2"/>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7"/>
                    <a:stretch/>
                  </pic:blipFill>
                  <pic:spPr>
                    <a:xfrm>
                      <a:off x="0" y="0"/>
                      <a:ext cx="5486400" cy="2743200"/>
                    </a:xfrm>
                    <a:prstGeom prst="rect">
                      <a:avLst/>
                    </a:prstGeom>
                    <a:noFill/>
                    <a:ln w="0">
                      <a:noFill/>
                    </a:ln>
                  </pic:spPr>
                </pic:pic>
              </a:graphicData>
            </a:graphic>
          </wp:inline>
        </w:drawing>
      </w:r>
    </w:p>
    <w:p w14:paraId="3C85B0B4" w14:textId="77777777" w:rsidR="003E5009" w:rsidRDefault="00000000">
      <w:pPr>
        <w:jc w:val="center"/>
      </w:pPr>
      <w:r>
        <w:lastRenderedPageBreak/>
        <w:t>Fig. 3. Field-measured volumetric soil water content variations, explicitly annotated with Field Capacity and Wilting Point bounds.</w:t>
      </w:r>
    </w:p>
    <w:p w14:paraId="6FD8BF41" w14:textId="77777777" w:rsidR="003E5009" w:rsidRDefault="00000000">
      <w:r>
        <w:rPr>
          <w:noProof/>
        </w:rPr>
        <w:drawing>
          <wp:inline distT="0" distB="0" distL="0" distR="0" wp14:anchorId="10973878" wp14:editId="145E0DD1">
            <wp:extent cx="5486400" cy="3896995"/>
            <wp:effectExtent l="0" t="0" r="0" b="0"/>
            <wp:docPr id="5" name="Picture 3"/>
            <wp:cNvGraphicFramePr/>
            <a:graphic xmlns:a="http://schemas.openxmlformats.org/drawingml/2006/main">
              <a:graphicData uri="http://schemas.openxmlformats.org/drawingml/2006/picture">
                <pic:pic xmlns:pic="http://schemas.openxmlformats.org/drawingml/2006/picture">
                  <pic:nvPicPr>
                    <pic:cNvPr id="6" name="Picture 3"/>
                    <pic:cNvPicPr/>
                  </pic:nvPicPr>
                  <pic:blipFill>
                    <a:blip r:embed="rId8"/>
                    <a:stretch/>
                  </pic:blipFill>
                  <pic:spPr>
                    <a:xfrm>
                      <a:off x="0" y="0"/>
                      <a:ext cx="5486400" cy="3897000"/>
                    </a:xfrm>
                    <a:prstGeom prst="rect">
                      <a:avLst/>
                    </a:prstGeom>
                    <a:noFill/>
                    <a:ln w="0">
                      <a:noFill/>
                    </a:ln>
                  </pic:spPr>
                </pic:pic>
              </a:graphicData>
            </a:graphic>
          </wp:inline>
        </w:drawing>
      </w:r>
    </w:p>
    <w:p w14:paraId="692E26F5" w14:textId="77777777" w:rsidR="003E5009" w:rsidRDefault="00000000">
      <w:pPr>
        <w:jc w:val="center"/>
      </w:pPr>
      <w:r>
        <w:rPr>
          <w:i/>
        </w:rPr>
        <w:t xml:space="preserve">Fig. 4. Fold-wise 24-h soil-moisture forecasting RMSE for Persistence, Random Forest, and </w:t>
      </w:r>
      <w:proofErr w:type="spellStart"/>
      <w:r>
        <w:rPr>
          <w:i/>
        </w:rPr>
        <w:t>BiLSTM</w:t>
      </w:r>
      <w:proofErr w:type="spellEnd"/>
      <w:r>
        <w:rPr>
          <w:i/>
        </w:rPr>
        <w:t xml:space="preserve"> across the five rolling-origin validation folds. Values are reported in physical VWC fraction.</w:t>
      </w:r>
    </w:p>
    <w:p w14:paraId="2A997912" w14:textId="77777777" w:rsidR="003E5009" w:rsidRDefault="00000000">
      <w:r>
        <w:rPr>
          <w:noProof/>
        </w:rPr>
        <w:lastRenderedPageBreak/>
        <w:drawing>
          <wp:inline distT="0" distB="0" distL="0" distR="0" wp14:anchorId="7744C392" wp14:editId="240F9E2B">
            <wp:extent cx="5486400" cy="3291840"/>
            <wp:effectExtent l="0" t="0" r="0" b="0"/>
            <wp:docPr id="7" name="Picture 4"/>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a:stretch/>
                  </pic:blipFill>
                  <pic:spPr>
                    <a:xfrm>
                      <a:off x="0" y="0"/>
                      <a:ext cx="5486400" cy="3291840"/>
                    </a:xfrm>
                    <a:prstGeom prst="rect">
                      <a:avLst/>
                    </a:prstGeom>
                    <a:noFill/>
                    <a:ln w="0">
                      <a:noFill/>
                    </a:ln>
                  </pic:spPr>
                </pic:pic>
              </a:graphicData>
            </a:graphic>
          </wp:inline>
        </w:drawing>
      </w:r>
    </w:p>
    <w:p w14:paraId="5CC668E0" w14:textId="77777777" w:rsidR="003E5009" w:rsidRDefault="00000000">
      <w:pPr>
        <w:jc w:val="center"/>
      </w:pPr>
      <w:r>
        <w:rPr>
          <w:i/>
        </w:rPr>
        <w:t>Fig. 5. Absolute and signed persistence forecasting errors plotted as a function of the subsequent 24-h accumulated precipitation.</w:t>
      </w:r>
    </w:p>
    <w:p w14:paraId="42B24233" w14:textId="77777777" w:rsidR="003E5009" w:rsidRDefault="00000000">
      <w:r>
        <w:rPr>
          <w:noProof/>
        </w:rPr>
        <w:drawing>
          <wp:inline distT="0" distB="0" distL="0" distR="0" wp14:anchorId="0633A148" wp14:editId="05BEE97A">
            <wp:extent cx="5486400" cy="3529330"/>
            <wp:effectExtent l="0" t="0" r="0" b="0"/>
            <wp:docPr id="9" name="Picture 5"/>
            <wp:cNvGraphicFramePr/>
            <a:graphic xmlns:a="http://schemas.openxmlformats.org/drawingml/2006/main">
              <a:graphicData uri="http://schemas.openxmlformats.org/drawingml/2006/picture">
                <pic:pic xmlns:pic="http://schemas.openxmlformats.org/drawingml/2006/picture">
                  <pic:nvPicPr>
                    <pic:cNvPr id="10" name="Picture 5"/>
                    <pic:cNvPicPr/>
                  </pic:nvPicPr>
                  <pic:blipFill>
                    <a:blip r:embed="rId10"/>
                    <a:stretch/>
                  </pic:blipFill>
                  <pic:spPr>
                    <a:xfrm>
                      <a:off x="0" y="0"/>
                      <a:ext cx="5486400" cy="3529440"/>
                    </a:xfrm>
                    <a:prstGeom prst="rect">
                      <a:avLst/>
                    </a:prstGeom>
                    <a:noFill/>
                    <a:ln w="0">
                      <a:noFill/>
                    </a:ln>
                  </pic:spPr>
                </pic:pic>
              </a:graphicData>
            </a:graphic>
          </wp:inline>
        </w:drawing>
      </w:r>
    </w:p>
    <w:p w14:paraId="4BA27CC9" w14:textId="77777777" w:rsidR="003E5009" w:rsidRDefault="00000000">
      <w:pPr>
        <w:jc w:val="center"/>
      </w:pPr>
      <w:r>
        <w:rPr>
          <w:i/>
        </w:rPr>
        <w:t xml:space="preserve">Fig. 6. Fold-wise </w:t>
      </w:r>
      <w:proofErr w:type="spellStart"/>
      <w:r>
        <w:rPr>
          <w:i/>
        </w:rPr>
        <w:t>BiLSTM</w:t>
      </w:r>
      <w:proofErr w:type="spellEnd"/>
      <w:r>
        <w:rPr>
          <w:i/>
        </w:rPr>
        <w:t xml:space="preserve"> RMSE and physical-bound violation rate. Fold 3 shows the largest RMSE and the only observed physical-bound violations (12.87%).</w:t>
      </w:r>
    </w:p>
    <w:p w14:paraId="339A1831" w14:textId="77777777" w:rsidR="003E5009" w:rsidRDefault="00000000">
      <w:r>
        <w:rPr>
          <w:noProof/>
        </w:rPr>
        <w:lastRenderedPageBreak/>
        <w:drawing>
          <wp:inline distT="0" distB="0" distL="0" distR="0" wp14:anchorId="080FA825" wp14:editId="21B5C1AB">
            <wp:extent cx="5463540" cy="3147695"/>
            <wp:effectExtent l="0" t="0" r="0" b="0"/>
            <wp:docPr id="11" name="Picture 6"/>
            <wp:cNvGraphicFramePr/>
            <a:graphic xmlns:a="http://schemas.openxmlformats.org/drawingml/2006/main">
              <a:graphicData uri="http://schemas.openxmlformats.org/drawingml/2006/picture">
                <pic:pic xmlns:pic="http://schemas.openxmlformats.org/drawingml/2006/picture">
                  <pic:nvPicPr>
                    <pic:cNvPr id="12" name="Picture 6"/>
                    <pic:cNvPicPr/>
                  </pic:nvPicPr>
                  <pic:blipFill>
                    <a:blip r:embed="rId11"/>
                    <a:stretch/>
                  </pic:blipFill>
                  <pic:spPr>
                    <a:xfrm>
                      <a:off x="0" y="0"/>
                      <a:ext cx="5463797" cy="3147843"/>
                    </a:xfrm>
                    <a:prstGeom prst="rect">
                      <a:avLst/>
                    </a:prstGeom>
                    <a:noFill/>
                    <a:ln w="0">
                      <a:noFill/>
                    </a:ln>
                  </pic:spPr>
                </pic:pic>
              </a:graphicData>
            </a:graphic>
          </wp:inline>
        </w:drawing>
      </w:r>
    </w:p>
    <w:p w14:paraId="399EDC3A" w14:textId="77777777" w:rsidR="003E5009" w:rsidRDefault="00000000">
      <w:pPr>
        <w:jc w:val="center"/>
      </w:pPr>
      <w:r>
        <w:rPr>
          <w:i/>
        </w:rPr>
        <w:t xml:space="preserve">Fig. 7. Mean absolute SHAP attribution aggregated by scientific feature group for the </w:t>
      </w:r>
      <w:proofErr w:type="spellStart"/>
      <w:r>
        <w:rPr>
          <w:i/>
        </w:rPr>
        <w:t>BiLSTM</w:t>
      </w:r>
      <w:proofErr w:type="spellEnd"/>
      <w:r>
        <w:rPr>
          <w:i/>
        </w:rPr>
        <w:t>. The ordering represents relative model attribution in normalized output space and does not imply physical causality.</w:t>
      </w:r>
    </w:p>
    <w:p w14:paraId="1E738167" w14:textId="77777777" w:rsidR="003E5009" w:rsidRDefault="00000000">
      <w:r>
        <w:rPr>
          <w:noProof/>
        </w:rPr>
        <w:drawing>
          <wp:inline distT="0" distB="0" distL="0" distR="0" wp14:anchorId="5EF8F254" wp14:editId="0F757375">
            <wp:extent cx="5486400" cy="2743200"/>
            <wp:effectExtent l="0" t="0" r="0" b="0"/>
            <wp:docPr id="13" name="Picture 7"/>
            <wp:cNvGraphicFramePr/>
            <a:graphic xmlns:a="http://schemas.openxmlformats.org/drawingml/2006/main">
              <a:graphicData uri="http://schemas.openxmlformats.org/drawingml/2006/picture">
                <pic:pic xmlns:pic="http://schemas.openxmlformats.org/drawingml/2006/picture">
                  <pic:nvPicPr>
                    <pic:cNvPr id="14" name="Picture 7"/>
                    <pic:cNvPicPr/>
                  </pic:nvPicPr>
                  <pic:blipFill>
                    <a:blip r:embed="rId12"/>
                    <a:stretch/>
                  </pic:blipFill>
                  <pic:spPr>
                    <a:xfrm>
                      <a:off x="0" y="0"/>
                      <a:ext cx="5486400" cy="2743200"/>
                    </a:xfrm>
                    <a:prstGeom prst="rect">
                      <a:avLst/>
                    </a:prstGeom>
                    <a:noFill/>
                    <a:ln w="0">
                      <a:noFill/>
                    </a:ln>
                  </pic:spPr>
                </pic:pic>
              </a:graphicData>
            </a:graphic>
          </wp:inline>
        </w:drawing>
      </w:r>
    </w:p>
    <w:p w14:paraId="50380836" w14:textId="77777777" w:rsidR="003E5009" w:rsidRDefault="00000000">
      <w:pPr>
        <w:jc w:val="center"/>
      </w:pPr>
      <w:r>
        <w:t>Fig. 8. Field-measured soil-moisture trajectories for a representative paired validation period (B_AI vs B_IOT), explicitly marked with WP, critical, buffer, and FC boundaries.</w:t>
      </w:r>
    </w:p>
    <w:p w14:paraId="109FD783" w14:textId="77777777" w:rsidR="003E5009" w:rsidRDefault="00000000">
      <w:r>
        <w:rPr>
          <w:noProof/>
        </w:rPr>
        <w:lastRenderedPageBreak/>
        <w:drawing>
          <wp:inline distT="0" distB="0" distL="0" distR="0" wp14:anchorId="27DB1B68" wp14:editId="1BB73EB3">
            <wp:extent cx="5486400" cy="4500880"/>
            <wp:effectExtent l="0" t="0" r="0" b="0"/>
            <wp:docPr id="15" name="Picture 8"/>
            <wp:cNvGraphicFramePr/>
            <a:graphic xmlns:a="http://schemas.openxmlformats.org/drawingml/2006/main">
              <a:graphicData uri="http://schemas.openxmlformats.org/drawingml/2006/picture">
                <pic:pic xmlns:pic="http://schemas.openxmlformats.org/drawingml/2006/picture">
                  <pic:nvPicPr>
                    <pic:cNvPr id="16" name="Picture 8"/>
                    <pic:cNvPicPr/>
                  </pic:nvPicPr>
                  <pic:blipFill>
                    <a:blip r:embed="rId13"/>
                    <a:stretch/>
                  </pic:blipFill>
                  <pic:spPr>
                    <a:xfrm>
                      <a:off x="0" y="0"/>
                      <a:ext cx="5486400" cy="4500720"/>
                    </a:xfrm>
                    <a:prstGeom prst="rect">
                      <a:avLst/>
                    </a:prstGeom>
                    <a:noFill/>
                    <a:ln w="0">
                      <a:noFill/>
                    </a:ln>
                  </pic:spPr>
                </pic:pic>
              </a:graphicData>
            </a:graphic>
          </wp:inline>
        </w:drawing>
      </w:r>
    </w:p>
    <w:p w14:paraId="5F1B7289" w14:textId="77777777" w:rsidR="003E5009" w:rsidRDefault="00000000">
      <w:pPr>
        <w:jc w:val="center"/>
      </w:pPr>
      <w:r>
        <w:t>Fig. 9. Paired field comparison of measured applied irrigation totals between the AI policy and the threshold IoT controller.</w:t>
      </w:r>
    </w:p>
    <w:p w14:paraId="3B05E995" w14:textId="77777777" w:rsidR="003E5009" w:rsidRDefault="00000000">
      <w:r>
        <w:rPr>
          <w:noProof/>
        </w:rPr>
        <w:lastRenderedPageBreak/>
        <w:drawing>
          <wp:inline distT="0" distB="0" distL="0" distR="0" wp14:anchorId="5FED0B4D" wp14:editId="23D7849B">
            <wp:extent cx="5486400" cy="3954780"/>
            <wp:effectExtent l="0" t="0" r="0" b="0"/>
            <wp:docPr id="17" name="Picture 9"/>
            <wp:cNvGraphicFramePr/>
            <a:graphic xmlns:a="http://schemas.openxmlformats.org/drawingml/2006/main">
              <a:graphicData uri="http://schemas.openxmlformats.org/drawingml/2006/picture">
                <pic:pic xmlns:pic="http://schemas.openxmlformats.org/drawingml/2006/picture">
                  <pic:nvPicPr>
                    <pic:cNvPr id="18" name="Picture 9"/>
                    <pic:cNvPicPr/>
                  </pic:nvPicPr>
                  <pic:blipFill>
                    <a:blip r:embed="rId14"/>
                    <a:stretch/>
                  </pic:blipFill>
                  <pic:spPr>
                    <a:xfrm>
                      <a:off x="0" y="0"/>
                      <a:ext cx="5486400" cy="3954960"/>
                    </a:xfrm>
                    <a:prstGeom prst="rect">
                      <a:avLst/>
                    </a:prstGeom>
                    <a:noFill/>
                    <a:ln w="0">
                      <a:noFill/>
                    </a:ln>
                  </pic:spPr>
                </pic:pic>
              </a:graphicData>
            </a:graphic>
          </wp:inline>
        </w:drawing>
      </w:r>
    </w:p>
    <w:p w14:paraId="6CDEBD9C" w14:textId="77777777" w:rsidR="003E5009" w:rsidRDefault="00000000">
      <w:pPr>
        <w:jc w:val="center"/>
      </w:pPr>
      <w:r>
        <w:t>Fig. 10. Distribution of paired relative yield differences between the field AI and threshold IoT policies. The bootstrap confidence interval remains above the pre-specified −5% non-inferiority margin.</w:t>
      </w:r>
    </w:p>
    <w:sectPr w:rsidR="003E5009">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84A3B"/>
    <w:multiLevelType w:val="multilevel"/>
    <w:tmpl w:val="13261D7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1305FE5"/>
    <w:multiLevelType w:val="multilevel"/>
    <w:tmpl w:val="254AE1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22A5085"/>
    <w:multiLevelType w:val="multilevel"/>
    <w:tmpl w:val="8F02BB5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51D6990"/>
    <w:multiLevelType w:val="multilevel"/>
    <w:tmpl w:val="1C54071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FD5409D"/>
    <w:multiLevelType w:val="multilevel"/>
    <w:tmpl w:val="177AE15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235686D"/>
    <w:multiLevelType w:val="multilevel"/>
    <w:tmpl w:val="C8C6CB0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9827591"/>
    <w:multiLevelType w:val="multilevel"/>
    <w:tmpl w:val="01C8B51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43525437">
    <w:abstractNumId w:val="0"/>
  </w:num>
  <w:num w:numId="2" w16cid:durableId="634944600">
    <w:abstractNumId w:val="3"/>
  </w:num>
  <w:num w:numId="3" w16cid:durableId="1545285524">
    <w:abstractNumId w:val="6"/>
  </w:num>
  <w:num w:numId="4" w16cid:durableId="1196697129">
    <w:abstractNumId w:val="5"/>
  </w:num>
  <w:num w:numId="5" w16cid:durableId="551623854">
    <w:abstractNumId w:val="2"/>
  </w:num>
  <w:num w:numId="6" w16cid:durableId="143738624">
    <w:abstractNumId w:val="4"/>
  </w:num>
  <w:num w:numId="7" w16cid:durableId="1886914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5009"/>
    <w:rsid w:val="00030EAC"/>
    <w:rsid w:val="000612DD"/>
    <w:rsid w:val="002E2697"/>
    <w:rsid w:val="003E5009"/>
    <w:rsid w:val="0067319A"/>
    <w:rsid w:val="00711AC3"/>
    <w:rsid w:val="009034B8"/>
    <w:rsid w:val="00CA3451"/>
    <w:rsid w:val="00D454A6"/>
    <w:rsid w:val="00EE003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EA9F3"/>
  <w15:docId w15:val="{6843F247-C904-4BD8-800F-626E4E1CE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Liberation Sans"/>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Liberation Sans"/>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Liberation Sans"/>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Liberation Sans"/>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Liberation Sans"/>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cs="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Liberation Sans"/>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Liberation Sans"/>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Liberation Sans"/>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Liberation Sans"/>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Liberation Sans"/>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Liberation Sans"/>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Liberation Sans" w:hAnsi="Liberation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1773</Words>
  <Characters>10111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Prabakaran S</cp:lastModifiedBy>
  <cp:revision>7</cp:revision>
  <dcterms:created xsi:type="dcterms:W3CDTF">2013-12-23T23:15:00Z</dcterms:created>
  <dcterms:modified xsi:type="dcterms:W3CDTF">2026-08-15T18:18:00Z</dcterms:modified>
  <dc:language>en-US</dc:language>
</cp:coreProperties>
</file>