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Physics-Informed Domain Adaptation and Safety-Constrained Machine Learning for Smart Agrivoltaic Irrigation Control</w:t>
      </w:r>
    </w:p>
    <w:p>
      <w:pPr>
        <w:jc w:val="center"/>
      </w:pPr>
      <w:r>
        <w:rPr>
          <w:i/>
          <w:color w:val="4B5563"/>
          <w:sz w:val="20"/>
        </w:rPr>
        <w:t>Prabakaran et al.</w:t>
        <w:br/>
        <w:t>IEEE Transactions on AgriFood Electronics / Sustainable Energy</w:t>
      </w:r>
    </w:p>
    <w:p/>
    <w:p>
      <w:pPr>
        <w:pStyle w:val="Heading1"/>
      </w:pPr>
      <w:r>
        <w:rPr>
          <w:b/>
          <w:color w:val="1E3A8A"/>
        </w:rPr>
        <w:t>III. EXPERIMENTAL RESULTS AND VALIDATION ANALYSIS</w:t>
      </w:r>
    </w:p>
    <w:p>
      <w:pPr>
        <w:pStyle w:val="Heading2"/>
      </w:pPr>
      <w:r>
        <w:t>A. RUN 1: Environmental &amp; Agronomic Physics Simulation Baseline</w:t>
      </w:r>
    </w:p>
    <w:p>
      <w:r>
        <w:t>A physical microclimate model was established for Zone A (Open Field) and Zone B (Agrivoltaic Shaded Treatment). Simulation parameters assumed a baseline solar radiation attenuation of 21.0% under PV panels, suppressing potential evapotranspiration (ET0) and altering soil thermal dynamics.</w:t>
      </w:r>
    </w:p>
    <w:p>
      <w:pPr>
        <w:pStyle w:val="Heading2"/>
      </w:pPr>
      <w:r>
        <w:t>B. RUN 2 &amp; 2B: 24-h Soil-Moisture Sequence Benchmark &amp; State-Persistence Trap</w:t>
      </w:r>
    </w:p>
    <w:p>
      <w:r>
        <w:t>Evaluating continuous soil-moisture sequence forecasting across standard machine learning architectures revealed a severe state-persistence trap. Because root-zone soil water exhibits high temporal autocorrelation (R² = 0.6768), simple persistence baselines outperform complex deep learning models (BiLSTM) for 24-h soil moisture trajectory prediction.</w:t>
      </w:r>
    </w:p>
    <w:p>
      <w:r>
        <w:rPr>
          <w:b/>
        </w:rPr>
        <w:t>TABLE II: SOIL-MOISTURE SEQUENCE FORECASTING BENCHMARK (RUN 2 &amp; 2B)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Model Architecture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RMSE (VWC %)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MAE (VWC %)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State Persistence Diagnostic</w:t>
            </w:r>
          </w:p>
        </w:tc>
      </w:tr>
      <w:tr>
        <w:tc>
          <w:tcPr>
            <w:tcW w:type="dxa" w:w="2340"/>
          </w:tcPr>
          <w:p>
            <w:r>
              <w:t>Persistence Baseline (θ_t)</w:t>
            </w:r>
          </w:p>
        </w:tc>
        <w:tc>
          <w:tcPr>
            <w:tcW w:type="dxa" w:w="2340"/>
          </w:tcPr>
          <w:p>
            <w:r>
              <w:t>0.90%</w:t>
            </w:r>
          </w:p>
        </w:tc>
        <w:tc>
          <w:tcPr>
            <w:tcW w:type="dxa" w:w="2340"/>
          </w:tcPr>
          <w:p>
            <w:r>
              <w:t>0.56%</w:t>
            </w:r>
          </w:p>
        </w:tc>
        <w:tc>
          <w:tcPr>
            <w:tcW w:type="dxa" w:w="2340"/>
          </w:tcPr>
          <w:p>
            <w:r>
              <w:t>WINNER (R² = 0.6768)</w:t>
            </w:r>
          </w:p>
        </w:tc>
      </w:tr>
      <w:tr>
        <w:tc>
          <w:tcPr>
            <w:tcW w:type="dxa" w:w="2340"/>
            <w:shd w:fill="F3F4F6"/>
          </w:tcPr>
          <w:p>
            <w:r>
              <w:t>Random Forest Regressor</w:t>
            </w:r>
          </w:p>
        </w:tc>
        <w:tc>
          <w:tcPr>
            <w:tcW w:type="dxa" w:w="2340"/>
            <w:shd w:fill="F3F4F6"/>
          </w:tcPr>
          <w:p>
            <w:r>
              <w:t>1.12%</w:t>
            </w:r>
          </w:p>
        </w:tc>
        <w:tc>
          <w:tcPr>
            <w:tcW w:type="dxa" w:w="2340"/>
            <w:shd w:fill="F3F4F6"/>
          </w:tcPr>
          <w:p>
            <w:r>
              <w:t>0.78%</w:t>
            </w:r>
          </w:p>
        </w:tc>
        <w:tc>
          <w:tcPr>
            <w:tcW w:type="dxa" w:w="2340"/>
            <w:shd w:fill="F3F4F6"/>
          </w:tcPr>
          <w:p>
            <w:r>
              <w:t>Lags State Shifts</w:t>
            </w:r>
          </w:p>
        </w:tc>
      </w:tr>
      <w:tr>
        <w:tc>
          <w:tcPr>
            <w:tcW w:type="dxa" w:w="2340"/>
          </w:tcPr>
          <w:p>
            <w:r>
              <w:t>HistGradientBoosting</w:t>
            </w:r>
          </w:p>
        </w:tc>
        <w:tc>
          <w:tcPr>
            <w:tcW w:type="dxa" w:w="2340"/>
          </w:tcPr>
          <w:p>
            <w:r>
              <w:t>1.15%</w:t>
            </w:r>
          </w:p>
        </w:tc>
        <w:tc>
          <w:tcPr>
            <w:tcW w:type="dxa" w:w="2340"/>
          </w:tcPr>
          <w:p>
            <w:r>
              <w:t>0.81%</w:t>
            </w:r>
          </w:p>
        </w:tc>
        <w:tc>
          <w:tcPr>
            <w:tcW w:type="dxa" w:w="2340"/>
          </w:tcPr>
          <w:p>
            <w:r>
              <w:t>Over-smooths Transitions</w:t>
            </w:r>
          </w:p>
        </w:tc>
      </w:tr>
      <w:tr>
        <w:tc>
          <w:tcPr>
            <w:tcW w:type="dxa" w:w="2340"/>
            <w:shd w:fill="F3F4F6"/>
          </w:tcPr>
          <w:p>
            <w:r>
              <w:t>Multi-Output BiLSTM</w:t>
            </w:r>
          </w:p>
        </w:tc>
        <w:tc>
          <w:tcPr>
            <w:tcW w:type="dxa" w:w="2340"/>
            <w:shd w:fill="F3F4F6"/>
          </w:tcPr>
          <w:p>
            <w:r>
              <w:t>1.24%</w:t>
            </w:r>
          </w:p>
        </w:tc>
        <w:tc>
          <w:tcPr>
            <w:tcW w:type="dxa" w:w="2340"/>
            <w:shd w:fill="F3F4F6"/>
          </w:tcPr>
          <w:p>
            <w:r>
              <w:t>0.89%</w:t>
            </w:r>
          </w:p>
        </w:tc>
        <w:tc>
          <w:tcPr>
            <w:tcW w:type="dxa" w:w="2340"/>
            <w:shd w:fill="F3F4F6"/>
          </w:tcPr>
          <w:p>
            <w:r>
              <w:t>Fails Persistence Gate</w:t>
            </w:r>
          </w:p>
        </w:tc>
      </w:tr>
    </w:tbl>
    <w:p/>
    <w:p>
      <w:pPr>
        <w:pStyle w:val="Heading2"/>
      </w:pPr>
      <w:r>
        <w:t>C. RUN 2C: Target Reformulation (IR*) &amp; Safety-Constrained Forecaster Selection</w:t>
      </w:r>
    </w:p>
    <w:p>
      <w:r>
        <w:t>To resolve the persistence trap, the forecasting target was reformulated to physical minimum sufficient 24-h irrigation requirement (IR*). Nested temporal cross-validation on the reachable evaluation set established ElasticNet Linear Regression as the safety-eligible winner (RMSE = 8.92 mm, FNR = 0.00%, |ICE90| = 0.0811).</w:t>
      </w:r>
    </w:p>
    <w:p>
      <w:r>
        <w:rPr>
          <w:b/>
        </w:rPr>
        <w:t>TABLE III: RUN 2C SAFETY-CONSTRAINED MODEL SELECTION BENCHMARK (ZONE B OPERATIONAL MODE)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Model Architecture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RMSE (IR mm)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FNR Rate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|ICE90| Error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Selection Status</w:t>
            </w:r>
          </w:p>
        </w:tc>
      </w:tr>
      <w:tr>
        <w:tc>
          <w:tcPr>
            <w:tcW w:type="dxa" w:w="1872"/>
            <w:shd w:fill="DCFCE7"/>
          </w:tcPr>
          <w:p>
            <w:r>
              <w:t>ElasticNet Linear Regression</w:t>
            </w:r>
          </w:p>
        </w:tc>
        <w:tc>
          <w:tcPr>
            <w:tcW w:type="dxa" w:w="1872"/>
            <w:shd w:fill="DCFCE7"/>
          </w:tcPr>
          <w:p>
            <w:r>
              <w:t>8.92 mm</w:t>
            </w:r>
          </w:p>
        </w:tc>
        <w:tc>
          <w:tcPr>
            <w:tcW w:type="dxa" w:w="1872"/>
            <w:shd w:fill="DCFCE7"/>
          </w:tcPr>
          <w:p>
            <w:r>
              <w:t>0.00%</w:t>
            </w:r>
          </w:p>
        </w:tc>
        <w:tc>
          <w:tcPr>
            <w:tcW w:type="dxa" w:w="1872"/>
            <w:shd w:fill="DCFCE7"/>
          </w:tcPr>
          <w:p>
            <w:r>
              <w:t>0.0811</w:t>
            </w:r>
          </w:p>
        </w:tc>
        <w:tc>
          <w:tcPr>
            <w:tcW w:type="dxa" w:w="1872"/>
            <w:shd w:fill="DCFCE7"/>
          </w:tcPr>
          <w:p>
            <w:r>
              <w:t>FROZEN WINNER</w:t>
            </w:r>
          </w:p>
        </w:tc>
      </w:tr>
      <w:tr>
        <w:tc>
          <w:tcPr>
            <w:tcW w:type="dxa" w:w="1872"/>
            <w:shd w:fill="F3F4F6"/>
          </w:tcPr>
          <w:p>
            <w:r>
              <w:t>Quantile Random Forest</w:t>
            </w:r>
          </w:p>
        </w:tc>
        <w:tc>
          <w:tcPr>
            <w:tcW w:type="dxa" w:w="1872"/>
            <w:shd w:fill="F3F4F6"/>
          </w:tcPr>
          <w:p>
            <w:r>
              <w:t>10.91 mm</w:t>
            </w:r>
          </w:p>
        </w:tc>
        <w:tc>
          <w:tcPr>
            <w:tcW w:type="dxa" w:w="1872"/>
            <w:shd w:fill="F3F4F6"/>
          </w:tcPr>
          <w:p>
            <w:r>
              <w:t>2.29%</w:t>
            </w:r>
          </w:p>
        </w:tc>
        <w:tc>
          <w:tcPr>
            <w:tcW w:type="dxa" w:w="1872"/>
            <w:shd w:fill="F3F4F6"/>
          </w:tcPr>
          <w:p>
            <w:r>
              <w:t>0.1000</w:t>
            </w:r>
          </w:p>
        </w:tc>
        <w:tc>
          <w:tcPr>
            <w:tcW w:type="dxa" w:w="1872"/>
            <w:shd w:fill="F3F4F6"/>
          </w:tcPr>
          <w:p>
            <w:r>
              <w:t>ELIGIBLE</w:t>
            </w:r>
          </w:p>
        </w:tc>
      </w:tr>
      <w:tr>
        <w:tc>
          <w:tcPr>
            <w:tcW w:type="dxa" w:w="1872"/>
          </w:tcPr>
          <w:p>
            <w:r>
              <w:t>HistGradientBoosting</w:t>
            </w:r>
          </w:p>
        </w:tc>
        <w:tc>
          <w:tcPr>
            <w:tcW w:type="dxa" w:w="1872"/>
          </w:tcPr>
          <w:p>
            <w:r>
              <w:t>11.42 mm</w:t>
            </w:r>
          </w:p>
        </w:tc>
        <w:tc>
          <w:tcPr>
            <w:tcW w:type="dxa" w:w="1872"/>
          </w:tcPr>
          <w:p>
            <w:r>
              <w:t>7.17%</w:t>
            </w:r>
          </w:p>
        </w:tc>
        <w:tc>
          <w:tcPr>
            <w:tcW w:type="dxa" w:w="1872"/>
          </w:tcPr>
          <w:p>
            <w:r>
              <w:t>0.0985</w:t>
            </w:r>
          </w:p>
        </w:tc>
        <w:tc>
          <w:tcPr>
            <w:tcW w:type="dxa" w:w="1872"/>
          </w:tcPr>
          <w:p>
            <w:r>
              <w:t>ELIGIBLE</w:t>
            </w:r>
          </w:p>
        </w:tc>
      </w:tr>
      <w:tr>
        <w:tc>
          <w:tcPr>
            <w:tcW w:type="dxa" w:w="1872"/>
            <w:shd w:fill="F3F4F6"/>
          </w:tcPr>
          <w:p>
            <w:r>
              <w:t>Multi-Output BiLSTM</w:t>
            </w:r>
          </w:p>
        </w:tc>
        <w:tc>
          <w:tcPr>
            <w:tcW w:type="dxa" w:w="1872"/>
            <w:shd w:fill="F3F4F6"/>
          </w:tcPr>
          <w:p>
            <w:r>
              <w:t>12.03 mm</w:t>
            </w:r>
          </w:p>
        </w:tc>
        <w:tc>
          <w:tcPr>
            <w:tcW w:type="dxa" w:w="1872"/>
            <w:shd w:fill="F3F4F6"/>
          </w:tcPr>
          <w:p>
            <w:r>
              <w:t>0.00%</w:t>
            </w:r>
          </w:p>
        </w:tc>
        <w:tc>
          <w:tcPr>
            <w:tcW w:type="dxa" w:w="1872"/>
            <w:shd w:fill="F3F4F6"/>
          </w:tcPr>
          <w:p>
            <w:r>
              <w:t>0.3082</w:t>
            </w:r>
          </w:p>
        </w:tc>
        <w:tc>
          <w:tcPr>
            <w:tcW w:type="dxa" w:w="1872"/>
            <w:shd w:fill="F3F4F6"/>
          </w:tcPr>
          <w:p>
            <w:r>
              <w:t>CALIBRATION FAIL</w:t>
            </w:r>
          </w:p>
        </w:tc>
      </w:tr>
      <w:tr>
        <w:tc>
          <w:tcPr>
            <w:tcW w:type="dxa" w:w="1872"/>
          </w:tcPr>
          <w:p>
            <w:r>
              <w:t>Physics-Only Forecast Policy</w:t>
            </w:r>
          </w:p>
        </w:tc>
        <w:tc>
          <w:tcPr>
            <w:tcW w:type="dxa" w:w="1872"/>
          </w:tcPr>
          <w:p>
            <w:r>
              <w:t>31.68 mm</w:t>
            </w:r>
          </w:p>
        </w:tc>
        <w:tc>
          <w:tcPr>
            <w:tcW w:type="dxa" w:w="1872"/>
          </w:tcPr>
          <w:p>
            <w:r>
              <w:t>20.74%</w:t>
            </w:r>
          </w:p>
        </w:tc>
        <w:tc>
          <w:tcPr>
            <w:tcW w:type="dxa" w:w="1872"/>
          </w:tcPr>
          <w:p>
            <w:r>
              <w:t>0.2210</w:t>
            </w:r>
          </w:p>
        </w:tc>
        <w:tc>
          <w:tcPr>
            <w:tcW w:type="dxa" w:w="1872"/>
          </w:tcPr>
          <w:p>
            <w:r>
              <w:t>INELIGIBLE</w:t>
            </w:r>
          </w:p>
        </w:tc>
      </w:tr>
      <w:tr>
        <w:tc>
          <w:tcPr>
            <w:tcW w:type="dxa" w:w="1872"/>
            <w:shd w:fill="F3F4F6"/>
          </w:tcPr>
          <w:p>
            <w:r>
              <w:t>Persistence Baseline</w:t>
            </w:r>
          </w:p>
        </w:tc>
        <w:tc>
          <w:tcPr>
            <w:tcW w:type="dxa" w:w="1872"/>
            <w:shd w:fill="F3F4F6"/>
          </w:tcPr>
          <w:p>
            <w:r>
              <w:t>34.36 mm</w:t>
            </w:r>
          </w:p>
        </w:tc>
        <w:tc>
          <w:tcPr>
            <w:tcW w:type="dxa" w:w="1872"/>
            <w:shd w:fill="F3F4F6"/>
          </w:tcPr>
          <w:p>
            <w:r>
              <w:t>32.76%</w:t>
            </w:r>
          </w:p>
        </w:tc>
        <w:tc>
          <w:tcPr>
            <w:tcW w:type="dxa" w:w="1872"/>
            <w:shd w:fill="F3F4F6"/>
          </w:tcPr>
          <w:p>
            <w:r>
              <w:t>0.2850</w:t>
            </w:r>
          </w:p>
        </w:tc>
        <w:tc>
          <w:tcPr>
            <w:tcW w:type="dxa" w:w="1872"/>
            <w:shd w:fill="F3F4F6"/>
          </w:tcPr>
          <w:p>
            <w:r>
              <w:t>INELIGIBLE</w:t>
            </w:r>
          </w:p>
        </w:tc>
      </w:tr>
    </w:tbl>
    <w:p/>
    <w:p>
      <w:r>
        <w:rPr>
          <w:b/>
        </w:rPr>
        <w:t>TABLE VI: STANDARDIZED ELASTICNET FEATURE ATTRIBUTIONS AND WEIGHTS (β_std)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Predictor Feature Symbol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Standardized Weight β_std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Physical Decision Impact</w:t>
            </w:r>
          </w:p>
        </w:tc>
      </w:tr>
      <w:tr>
        <w:tc>
          <w:tcPr>
            <w:tcW w:type="dxa" w:w="3120"/>
          </w:tcPr>
          <w:p>
            <w:r>
              <w:t>fc_P (Forecast 24h Rainfall)</w:t>
            </w:r>
          </w:p>
        </w:tc>
        <w:tc>
          <w:tcPr>
            <w:tcW w:type="dxa" w:w="3120"/>
          </w:tcPr>
          <w:p>
            <w:r>
              <w:t>-3.3264</w:t>
            </w:r>
          </w:p>
        </w:tc>
        <w:tc>
          <w:tcPr>
            <w:tcW w:type="dxa" w:w="3120"/>
          </w:tcPr>
          <w:p>
            <w:r>
              <w:t>Strongly Reduces IR (Dominant Credit)</w:t>
            </w:r>
          </w:p>
        </w:tc>
      </w:tr>
      <w:tr>
        <w:tc>
          <w:tcPr>
            <w:tcW w:type="dxa" w:w="3120"/>
            <w:shd w:fill="F3F4F6"/>
          </w:tcPr>
          <w:p>
            <w:r>
              <w:t>curr_theta (Current Soil Moisture)</w:t>
            </w:r>
          </w:p>
        </w:tc>
        <w:tc>
          <w:tcPr>
            <w:tcW w:type="dxa" w:w="3120"/>
            <w:shd w:fill="F3F4F6"/>
          </w:tcPr>
          <w:p>
            <w:r>
              <w:t>-1.4901</w:t>
            </w:r>
          </w:p>
        </w:tc>
        <w:tc>
          <w:tcPr>
            <w:tcW w:type="dxa" w:w="3120"/>
            <w:shd w:fill="F3F4F6"/>
          </w:tcPr>
          <w:p>
            <w:r>
              <w:t>Reduces IR (Storage Replenishment)</w:t>
            </w:r>
          </w:p>
        </w:tc>
      </w:tr>
      <w:tr>
        <w:tc>
          <w:tcPr>
            <w:tcW w:type="dxa" w:w="3120"/>
          </w:tcPr>
          <w:p>
            <w:r>
              <w:t>hist_T (Past Mean Air Temp)</w:t>
            </w:r>
          </w:p>
        </w:tc>
        <w:tc>
          <w:tcPr>
            <w:tcW w:type="dxa" w:w="3120"/>
          </w:tcPr>
          <w:p>
            <w:r>
              <w:t>+1.1092</w:t>
            </w:r>
          </w:p>
        </w:tc>
        <w:tc>
          <w:tcPr>
            <w:tcW w:type="dxa" w:w="3120"/>
          </w:tcPr>
          <w:p>
            <w:r>
              <w:t>Increases IR (Thermal ET Demand)</w:t>
            </w:r>
          </w:p>
        </w:tc>
      </w:tr>
      <w:tr>
        <w:tc>
          <w:tcPr>
            <w:tcW w:type="dxa" w:w="3120"/>
            <w:shd w:fill="F3F4F6"/>
          </w:tcPr>
          <w:p>
            <w:r>
              <w:t>fc_u (Forecast Wind Speed)</w:t>
            </w:r>
          </w:p>
        </w:tc>
        <w:tc>
          <w:tcPr>
            <w:tcW w:type="dxa" w:w="3120"/>
            <w:shd w:fill="F3F4F6"/>
          </w:tcPr>
          <w:p>
            <w:r>
              <w:t>-0.7420</w:t>
            </w:r>
          </w:p>
        </w:tc>
        <w:tc>
          <w:tcPr>
            <w:tcW w:type="dxa" w:w="3120"/>
            <w:shd w:fill="F3F4F6"/>
          </w:tcPr>
          <w:p>
            <w:r>
              <w:t>Aerodynamic Transport Adjustment</w:t>
            </w:r>
          </w:p>
        </w:tc>
      </w:tr>
      <w:tr>
        <w:tc>
          <w:tcPr>
            <w:tcW w:type="dxa" w:w="3120"/>
          </w:tcPr>
          <w:p>
            <w:r>
              <w:t>hist_P (Past 24h Rainfall)</w:t>
            </w:r>
          </w:p>
        </w:tc>
        <w:tc>
          <w:tcPr>
            <w:tcW w:type="dxa" w:w="3120"/>
          </w:tcPr>
          <w:p>
            <w:r>
              <w:t>+0.5528</w:t>
            </w:r>
          </w:p>
        </w:tc>
        <w:tc>
          <w:tcPr>
            <w:tcW w:type="dxa" w:w="3120"/>
          </w:tcPr>
          <w:p>
            <w:r>
              <w:t>Antecedent Storage Adjustment</w:t>
            </w:r>
          </w:p>
        </w:tc>
      </w:tr>
      <w:tr>
        <w:tc>
          <w:tcPr>
            <w:tcW w:type="dxa" w:w="3120"/>
            <w:shd w:fill="F3F4F6"/>
          </w:tcPr>
          <w:p>
            <w:r>
              <w:t>fc_RH (Forecast Relative Humidity)</w:t>
            </w:r>
          </w:p>
        </w:tc>
        <w:tc>
          <w:tcPr>
            <w:tcW w:type="dxa" w:w="3120"/>
            <w:shd w:fill="F3F4F6"/>
          </w:tcPr>
          <w:p>
            <w:r>
              <w:t>-0.3152</w:t>
            </w:r>
          </w:p>
        </w:tc>
        <w:tc>
          <w:tcPr>
            <w:tcW w:type="dxa" w:w="3120"/>
            <w:shd w:fill="F3F4F6"/>
          </w:tcPr>
          <w:p>
            <w:r>
              <w:t>Lower VPD Reduces IR</w:t>
            </w:r>
          </w:p>
        </w:tc>
      </w:tr>
      <w:tr>
        <w:tc>
          <w:tcPr>
            <w:tcW w:type="dxa" w:w="3120"/>
          </w:tcPr>
          <w:p>
            <w:r>
              <w:t>fc_Rs (Forecast Solar Radiation)</w:t>
            </w:r>
          </w:p>
        </w:tc>
        <w:tc>
          <w:tcPr>
            <w:tcW w:type="dxa" w:w="3120"/>
          </w:tcPr>
          <w:p>
            <w:r>
              <w:t>+0.2544</w:t>
            </w:r>
          </w:p>
        </w:tc>
        <w:tc>
          <w:tcPr>
            <w:tcW w:type="dxa" w:w="3120"/>
          </w:tcPr>
          <w:p>
            <w:r>
              <w:t>Radiation Evapotranspiration ETc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eature_Attributions_SH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Fig. 3. Standardized ElasticNet feature attributions (β_std) and SHAP importance spectrum.</w:t>
      </w:r>
    </w:p>
    <w:p/>
    <w:p>
      <w:pPr>
        <w:pStyle w:val="Heading2"/>
      </w:pPr>
      <w:r>
        <w:t>D. RUN 3A &amp; 3B: Closed-Loop Single-Season &amp; 30-Season Monte Carlo Simulation</w:t>
      </w:r>
    </w:p>
    <w:p>
      <w:r>
        <w:t>Evaluating the ElasticNet controller in closed-loop across a 70-day dry spell (RUN 3A) proved that it triggers targeted irrigation events eliminating all stress. In a 30-season Monte Carlo simulation (RUN 3B-EN), ElasticNet achieved paired yield non-inferiority relative to threshold IoT control (+0.9425% mean yield diff, 95% CI [+0.564%, +1.370%]) while saving 38.20% water relative to Persistence.</w:t>
      </w:r>
    </w:p>
    <w:p>
      <w:r>
        <w:rPr>
          <w:b/>
        </w:rPr>
        <w:t>TABLE IV: SINGLE-SEASON CLOSED-LOOP CONTROLLER PERFORMANCE (RUN 3A, 70-DAY ZONE 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Control Policy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Seasonal Applied IR (mm)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Harvest Yield (kg/ha)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Crop Stress Exposure Hours</w:t>
            </w:r>
          </w:p>
        </w:tc>
      </w:tr>
      <w:tr>
        <w:tc>
          <w:tcPr>
            <w:tcW w:type="dxa" w:w="2340"/>
          </w:tcPr>
          <w:p>
            <w:r>
              <w:t>B-IOT (Threshold Control)</w:t>
            </w:r>
          </w:p>
        </w:tc>
        <w:tc>
          <w:tcPr>
            <w:tcW w:type="dxa" w:w="2340"/>
          </w:tcPr>
          <w:p>
            <w:r>
              <w:t>0.00 mm</w:t>
            </w:r>
          </w:p>
        </w:tc>
        <w:tc>
          <w:tcPr>
            <w:tcW w:type="dxa" w:w="2340"/>
          </w:tcPr>
          <w:p>
            <w:r>
              <w:t>2558.56 kg/ha</w:t>
            </w:r>
          </w:p>
        </w:tc>
        <w:tc>
          <w:tcPr>
            <w:tcW w:type="dxa" w:w="2340"/>
          </w:tcPr>
          <w:p>
            <w:r>
              <w:t>7.5 hrs</w:t>
            </w:r>
          </w:p>
        </w:tc>
      </w:tr>
      <w:tr>
        <w:tc>
          <w:tcPr>
            <w:tcW w:type="dxa" w:w="2340"/>
            <w:shd w:fill="F3F4F6"/>
          </w:tcPr>
          <w:p>
            <w:r>
              <w:t>B-LSTM (BiLSTM Controller)</w:t>
            </w:r>
          </w:p>
        </w:tc>
        <w:tc>
          <w:tcPr>
            <w:tcW w:type="dxa" w:w="2340"/>
            <w:shd w:fill="F3F4F6"/>
          </w:tcPr>
          <w:p>
            <w:r>
              <w:t>0.00 mm</w:t>
            </w:r>
          </w:p>
        </w:tc>
        <w:tc>
          <w:tcPr>
            <w:tcW w:type="dxa" w:w="2340"/>
            <w:shd w:fill="F3F4F6"/>
          </w:tcPr>
          <w:p>
            <w:r>
              <w:t>2558.56 kg/ha</w:t>
            </w:r>
          </w:p>
        </w:tc>
        <w:tc>
          <w:tcPr>
            <w:tcW w:type="dxa" w:w="2340"/>
            <w:shd w:fill="F3F4F6"/>
          </w:tcPr>
          <w:p>
            <w:r>
              <w:t>7.5 hrs</w:t>
            </w:r>
          </w:p>
        </w:tc>
      </w:tr>
      <w:tr>
        <w:tc>
          <w:tcPr>
            <w:tcW w:type="dxa" w:w="2340"/>
          </w:tcPr>
          <w:p>
            <w:r>
              <w:t>B-FIX (Calendar Schedule)</w:t>
            </w:r>
          </w:p>
        </w:tc>
        <w:tc>
          <w:tcPr>
            <w:tcW w:type="dxa" w:w="2340"/>
          </w:tcPr>
          <w:p>
            <w:r>
              <w:t>115.00 mm</w:t>
            </w:r>
          </w:p>
        </w:tc>
        <w:tc>
          <w:tcPr>
            <w:tcW w:type="dxa" w:w="2340"/>
          </w:tcPr>
          <w:p>
            <w:r>
              <w:t>2558.97 kg/ha</w:t>
            </w:r>
          </w:p>
        </w:tc>
        <w:tc>
          <w:tcPr>
            <w:tcW w:type="dxa" w:w="2340"/>
          </w:tcPr>
          <w:p>
            <w:r>
              <w:t>0.0 hrs</w:t>
            </w:r>
          </w:p>
        </w:tc>
      </w:tr>
      <w:tr>
        <w:tc>
          <w:tcPr>
            <w:tcW w:type="dxa" w:w="2340"/>
            <w:shd w:fill="F3F4F6"/>
          </w:tcPr>
          <w:p>
            <w:r>
              <w:t>B-AI-PERS (Persistence AI)</w:t>
            </w:r>
          </w:p>
        </w:tc>
        <w:tc>
          <w:tcPr>
            <w:tcW w:type="dxa" w:w="2340"/>
            <w:shd w:fill="F3F4F6"/>
          </w:tcPr>
          <w:p>
            <w:r>
              <w:t>201.29 mm</w:t>
            </w:r>
          </w:p>
        </w:tc>
        <w:tc>
          <w:tcPr>
            <w:tcW w:type="dxa" w:w="2340"/>
            <w:shd w:fill="F3F4F6"/>
          </w:tcPr>
          <w:p>
            <w:r>
              <w:t>2558.97 kg/ha</w:t>
            </w:r>
          </w:p>
        </w:tc>
        <w:tc>
          <w:tcPr>
            <w:tcW w:type="dxa" w:w="2340"/>
            <w:shd w:fill="F3F4F6"/>
          </w:tcPr>
          <w:p>
            <w:r>
              <w:t>0.0 hrs</w:t>
            </w:r>
          </w:p>
        </w:tc>
      </w:tr>
      <w:tr>
        <w:tc>
          <w:tcPr>
            <w:tcW w:type="dxa" w:w="2340"/>
            <w:shd w:fill="DCFCE7"/>
          </w:tcPr>
          <w:p>
            <w:r>
              <w:t>B-AI-EN (Proposed ElasticNet)</w:t>
            </w:r>
          </w:p>
        </w:tc>
        <w:tc>
          <w:tcPr>
            <w:tcW w:type="dxa" w:w="2340"/>
            <w:shd w:fill="DCFCE7"/>
          </w:tcPr>
          <w:p>
            <w:r>
              <w:t>52.74 mm</w:t>
            </w:r>
          </w:p>
        </w:tc>
        <w:tc>
          <w:tcPr>
            <w:tcW w:type="dxa" w:w="2340"/>
            <w:shd w:fill="DCFCE7"/>
          </w:tcPr>
          <w:p>
            <w:r>
              <w:t>2558.97 kg/ha</w:t>
            </w:r>
          </w:p>
        </w:tc>
        <w:tc>
          <w:tcPr>
            <w:tcW w:type="dxa" w:w="2340"/>
            <w:shd w:fill="DCFCE7"/>
          </w:tcPr>
          <w:p>
            <w:r>
              <w:t>0.0 hrs (Eliminated)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ingle_Season_Traject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Fig. 4. Single-season closed-loop soil moisture trajectories across 70 simulation days.</w:t>
      </w:r>
    </w:p>
    <w:p/>
    <w:p>
      <w:r>
        <w:rPr>
          <w:b/>
        </w:rPr>
        <w:t>TABLE V: 30-SEASON MONTE CARLO CLOSED-LOOP EVALUATION (RUN 3B-EN)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Control Policy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Applied IR (mm)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Stress Hours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Yield (kg/ha)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</w:rPr>
              <w:t>Paired Yield Diff vs IOT (%)</w:t>
            </w:r>
          </w:p>
        </w:tc>
      </w:tr>
      <w:tr>
        <w:tc>
          <w:tcPr>
            <w:tcW w:type="dxa" w:w="1872"/>
          </w:tcPr>
          <w:p>
            <w:r>
              <w:t>B-FIX (Calendar Schedule)</w:t>
            </w:r>
          </w:p>
        </w:tc>
        <w:tc>
          <w:tcPr>
            <w:tcW w:type="dxa" w:w="1872"/>
          </w:tcPr>
          <w:p>
            <w:r>
              <w:t>115.00 mm</w:t>
            </w:r>
          </w:p>
        </w:tc>
        <w:tc>
          <w:tcPr>
            <w:tcW w:type="dxa" w:w="1872"/>
          </w:tcPr>
          <w:p>
            <w:r>
              <w:t>92.8 hrs</w:t>
            </w:r>
          </w:p>
        </w:tc>
        <w:tc>
          <w:tcPr>
            <w:tcW w:type="dxa" w:w="1872"/>
          </w:tcPr>
          <w:p>
            <w:r>
              <w:t>2704.02 kg/ha</w:t>
            </w:r>
          </w:p>
        </w:tc>
        <w:tc>
          <w:tcPr>
            <w:tcW w:type="dxa" w:w="1872"/>
          </w:tcPr>
          <w:p>
            <w:r>
              <w:t>-0.396%</w:t>
            </w:r>
          </w:p>
        </w:tc>
      </w:tr>
      <w:tr>
        <w:tc>
          <w:tcPr>
            <w:tcW w:type="dxa" w:w="1872"/>
            <w:shd w:fill="F3F4F6"/>
          </w:tcPr>
          <w:p>
            <w:r>
              <w:t>B-IOT (Threshold Control)</w:t>
            </w:r>
          </w:p>
        </w:tc>
        <w:tc>
          <w:tcPr>
            <w:tcW w:type="dxa" w:w="1872"/>
            <w:shd w:fill="F3F4F6"/>
          </w:tcPr>
          <w:p>
            <w:r>
              <w:t>199.02 mm</w:t>
            </w:r>
          </w:p>
        </w:tc>
        <w:tc>
          <w:tcPr>
            <w:tcW w:type="dxa" w:w="1872"/>
            <w:shd w:fill="F3F4F6"/>
          </w:tcPr>
          <w:p>
            <w:r>
              <w:t>108.9 hrs</w:t>
            </w:r>
          </w:p>
        </w:tc>
        <w:tc>
          <w:tcPr>
            <w:tcW w:type="dxa" w:w="1872"/>
            <w:shd w:fill="F3F4F6"/>
          </w:tcPr>
          <w:p>
            <w:r>
              <w:t>2714.79 kg/ha</w:t>
            </w:r>
          </w:p>
        </w:tc>
        <w:tc>
          <w:tcPr>
            <w:tcW w:type="dxa" w:w="1872"/>
            <w:shd w:fill="F3F4F6"/>
          </w:tcPr>
          <w:p>
            <w:r>
              <w:t>0.000% (Baseline)</w:t>
            </w:r>
          </w:p>
        </w:tc>
      </w:tr>
      <w:tr>
        <w:tc>
          <w:tcPr>
            <w:tcW w:type="dxa" w:w="1872"/>
          </w:tcPr>
          <w:p>
            <w:r>
              <w:t>B-AI-PERS (Persistence AI)</w:t>
            </w:r>
          </w:p>
        </w:tc>
        <w:tc>
          <w:tcPr>
            <w:tcW w:type="dxa" w:w="1872"/>
          </w:tcPr>
          <w:p>
            <w:r>
              <w:t>406.46 mm</w:t>
            </w:r>
          </w:p>
        </w:tc>
        <w:tc>
          <w:tcPr>
            <w:tcW w:type="dxa" w:w="1872"/>
          </w:tcPr>
          <w:p>
            <w:r>
              <w:t>37.2 hrs</w:t>
            </w:r>
          </w:p>
        </w:tc>
        <w:tc>
          <w:tcPr>
            <w:tcW w:type="dxa" w:w="1872"/>
          </w:tcPr>
          <w:p>
            <w:r>
              <w:t>2765.91 kg/ha</w:t>
            </w:r>
          </w:p>
        </w:tc>
        <w:tc>
          <w:tcPr>
            <w:tcW w:type="dxa" w:w="1872"/>
          </w:tcPr>
          <w:p>
            <w:r>
              <w:t>+1.883%</w:t>
            </w:r>
          </w:p>
        </w:tc>
      </w:tr>
      <w:tr>
        <w:tc>
          <w:tcPr>
            <w:tcW w:type="dxa" w:w="1872"/>
            <w:shd w:fill="F3F4F6"/>
          </w:tcPr>
          <w:p>
            <w:r>
              <w:t>B-PHYS (Physics-Only)</w:t>
            </w:r>
          </w:p>
        </w:tc>
        <w:tc>
          <w:tcPr>
            <w:tcW w:type="dxa" w:w="1872"/>
            <w:shd w:fill="F3F4F6"/>
          </w:tcPr>
          <w:p>
            <w:r>
              <w:t>253.89 mm</w:t>
            </w:r>
          </w:p>
        </w:tc>
        <w:tc>
          <w:tcPr>
            <w:tcW w:type="dxa" w:w="1872"/>
            <w:shd w:fill="F3F4F6"/>
          </w:tcPr>
          <w:p>
            <w:r>
              <w:t>73.4 hrs</w:t>
            </w:r>
          </w:p>
        </w:tc>
        <w:tc>
          <w:tcPr>
            <w:tcW w:type="dxa" w:w="1872"/>
            <w:shd w:fill="F3F4F6"/>
          </w:tcPr>
          <w:p>
            <w:r>
              <w:t>2740.10 kg/ha</w:t>
            </w:r>
          </w:p>
        </w:tc>
        <w:tc>
          <w:tcPr>
            <w:tcW w:type="dxa" w:w="1872"/>
            <w:shd w:fill="F3F4F6"/>
          </w:tcPr>
          <w:p>
            <w:r>
              <w:t>+0.932%</w:t>
            </w:r>
          </w:p>
        </w:tc>
      </w:tr>
      <w:tr>
        <w:tc>
          <w:tcPr>
            <w:tcW w:type="dxa" w:w="1872"/>
          </w:tcPr>
          <w:p>
            <w:r>
              <w:t>B-LSTM (BiLSTM Controller)</w:t>
            </w:r>
          </w:p>
        </w:tc>
        <w:tc>
          <w:tcPr>
            <w:tcW w:type="dxa" w:w="1872"/>
          </w:tcPr>
          <w:p>
            <w:r>
              <w:t>0.00 mm</w:t>
            </w:r>
          </w:p>
        </w:tc>
        <w:tc>
          <w:tcPr>
            <w:tcW w:type="dxa" w:w="1872"/>
          </w:tcPr>
          <w:p>
            <w:r>
              <w:t>129.0 hrs</w:t>
            </w:r>
          </w:p>
        </w:tc>
        <w:tc>
          <w:tcPr>
            <w:tcW w:type="dxa" w:w="1872"/>
          </w:tcPr>
          <w:p>
            <w:r>
              <w:t>2649.00 kg/ha</w:t>
            </w:r>
          </w:p>
        </w:tc>
        <w:tc>
          <w:tcPr>
            <w:tcW w:type="dxa" w:w="1872"/>
          </w:tcPr>
          <w:p>
            <w:r>
              <w:t>-2.423%</w:t>
            </w:r>
          </w:p>
        </w:tc>
      </w:tr>
      <w:tr>
        <w:tc>
          <w:tcPr>
            <w:tcW w:type="dxa" w:w="1872"/>
            <w:shd w:fill="DCFCE7"/>
          </w:tcPr>
          <w:p>
            <w:r>
              <w:t>B-AI-EN (Proposed ElasticNet)</w:t>
            </w:r>
          </w:p>
        </w:tc>
        <w:tc>
          <w:tcPr>
            <w:tcW w:type="dxa" w:w="1872"/>
            <w:shd w:fill="DCFCE7"/>
          </w:tcPr>
          <w:p>
            <w:r>
              <w:t>251.18 mm</w:t>
            </w:r>
          </w:p>
        </w:tc>
        <w:tc>
          <w:tcPr>
            <w:tcW w:type="dxa" w:w="1872"/>
            <w:shd w:fill="DCFCE7"/>
          </w:tcPr>
          <w:p>
            <w:r>
              <w:t>73.4 hrs</w:t>
            </w:r>
          </w:p>
        </w:tc>
        <w:tc>
          <w:tcPr>
            <w:tcW w:type="dxa" w:w="1872"/>
            <w:shd w:fill="DCFCE7"/>
          </w:tcPr>
          <w:p>
            <w:r>
              <w:t>2740.10 kg/ha</w:t>
            </w:r>
          </w:p>
        </w:tc>
        <w:tc>
          <w:tcPr>
            <w:tcW w:type="dxa" w:w="1872"/>
            <w:shd w:fill="DCFCE7"/>
          </w:tcPr>
          <w:p>
            <w:r>
              <w:t>+0.9425% (95% CI: [+0.564%, +1.370%])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233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Water_Stress_Pareto_Front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Fig. 5. 30-season Water–Stress Pareto Optimization Frontier.</w:t>
      </w:r>
    </w:p>
    <w:p/>
    <w:p>
      <w:pPr>
        <w:pStyle w:val="Heading2"/>
      </w:pPr>
      <w:r>
        <w:t>E. RUN 4A–4D: Real Field Campaign Provenance &amp; Microclimate Divergence Audit</w:t>
      </w:r>
    </w:p>
    <w:p>
      <w:r>
        <w:t>A 32-calendar-day field campaign acquired 46,080 raw 2-minute sensor observations, which were quality-controlled and deterministically resampled to 18,432 five-minute analytical observations. Zone B exhibited a 38.9% lux-derived shortwave radiation reduction, a -0.113 kPa VPD shift, a -0.43 °C air temperature shift, a +1.17% RH boost, and a -0.48 °C soil temperature shift.</w:t>
      </w:r>
    </w:p>
    <w:p>
      <w:r>
        <w:rPr>
          <w:b/>
        </w:rPr>
        <w:t>TABLE I: REAL FIELD AGRIVOLTAIC MICROCLIMATE DIVERGENCE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Microclimate Parameter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Zone A (Open)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Zone B (Agrivoltaic)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Observed Divergence &amp; Mechanism</w:t>
            </w:r>
          </w:p>
        </w:tc>
      </w:tr>
      <w:tr>
        <w:tc>
          <w:tcPr>
            <w:tcW w:type="dxa" w:w="2340"/>
          </w:tcPr>
          <w:p>
            <w:r>
              <w:t>Lux-Derived Shortwave Radiation</w:t>
            </w:r>
          </w:p>
        </w:tc>
        <w:tc>
          <w:tcPr>
            <w:tcW w:type="dxa" w:w="2340"/>
          </w:tcPr>
          <w:p>
            <w:r>
              <w:t>Baseline (100%)</w:t>
            </w:r>
          </w:p>
        </w:tc>
        <w:tc>
          <w:tcPr>
            <w:tcW w:type="dxa" w:w="2340"/>
          </w:tcPr>
          <w:p>
            <w:r>
              <w:t>61.1%</w:t>
            </w:r>
          </w:p>
        </w:tc>
        <w:tc>
          <w:tcPr>
            <w:tcW w:type="dxa" w:w="2340"/>
          </w:tcPr>
          <w:p>
            <w:r>
              <w:t>-38.9% (Panel shading attenuation)</w:t>
            </w:r>
          </w:p>
        </w:tc>
      </w:tr>
      <w:tr>
        <w:tc>
          <w:tcPr>
            <w:tcW w:type="dxa" w:w="2340"/>
            <w:shd w:fill="F3F4F6"/>
          </w:tcPr>
          <w:p>
            <w:r>
              <w:t>Peak Daytime VPD</w:t>
            </w:r>
          </w:p>
        </w:tc>
        <w:tc>
          <w:tcPr>
            <w:tcW w:type="dxa" w:w="2340"/>
            <w:shd w:fill="F3F4F6"/>
          </w:tcPr>
          <w:p>
            <w:r>
              <w:t>1.240 kPa</w:t>
            </w:r>
          </w:p>
        </w:tc>
        <w:tc>
          <w:tcPr>
            <w:tcW w:type="dxa" w:w="2340"/>
            <w:shd w:fill="F3F4F6"/>
          </w:tcPr>
          <w:p>
            <w:r>
              <w:t>1.127 kPa</w:t>
            </w:r>
          </w:p>
        </w:tc>
        <w:tc>
          <w:tcPr>
            <w:tcW w:type="dxa" w:w="2340"/>
            <w:shd w:fill="F3F4F6"/>
          </w:tcPr>
          <w:p>
            <w:r>
              <w:t>-0.113 kPa (Suppressed evaporative demand)</w:t>
            </w:r>
          </w:p>
        </w:tc>
      </w:tr>
      <w:tr>
        <w:tc>
          <w:tcPr>
            <w:tcW w:type="dxa" w:w="2340"/>
          </w:tcPr>
          <w:p>
            <w:r>
              <w:t>Peak Daytime Air Temperature</w:t>
            </w:r>
          </w:p>
        </w:tc>
        <w:tc>
          <w:tcPr>
            <w:tcW w:type="dxa" w:w="2340"/>
          </w:tcPr>
          <w:p>
            <w:r>
              <w:t>31.25 °C</w:t>
            </w:r>
          </w:p>
        </w:tc>
        <w:tc>
          <w:tcPr>
            <w:tcW w:type="dxa" w:w="2340"/>
          </w:tcPr>
          <w:p>
            <w:r>
              <w:t>30.82 °C</w:t>
            </w:r>
          </w:p>
        </w:tc>
        <w:tc>
          <w:tcPr>
            <w:tcW w:type="dxa" w:w="2340"/>
          </w:tcPr>
          <w:p>
            <w:r>
              <w:t>-0.43 °C (Lower midday thermal storage)</w:t>
            </w:r>
          </w:p>
        </w:tc>
      </w:tr>
      <w:tr>
        <w:tc>
          <w:tcPr>
            <w:tcW w:type="dxa" w:w="2340"/>
            <w:shd w:fill="F3F4F6"/>
          </w:tcPr>
          <w:p>
            <w:r>
              <w:t>Peak Daytime Relative Humidity</w:t>
            </w:r>
          </w:p>
        </w:tc>
        <w:tc>
          <w:tcPr>
            <w:tcW w:type="dxa" w:w="2340"/>
            <w:shd w:fill="F3F4F6"/>
          </w:tcPr>
          <w:p>
            <w:r>
              <w:t>62.40%</w:t>
            </w:r>
          </w:p>
        </w:tc>
        <w:tc>
          <w:tcPr>
            <w:tcW w:type="dxa" w:w="2340"/>
            <w:shd w:fill="F3F4F6"/>
          </w:tcPr>
          <w:p>
            <w:r>
              <w:t>63.57%</w:t>
            </w:r>
          </w:p>
        </w:tc>
        <w:tc>
          <w:tcPr>
            <w:tcW w:type="dxa" w:w="2340"/>
            <w:shd w:fill="F3F4F6"/>
          </w:tcPr>
          <w:p>
            <w:r>
              <w:t>+1.17% (Transpirational vapor retention)</w:t>
            </w:r>
          </w:p>
        </w:tc>
      </w:tr>
      <w:tr>
        <w:tc>
          <w:tcPr>
            <w:tcW w:type="dxa" w:w="2340"/>
          </w:tcPr>
          <w:p>
            <w:r>
              <w:t>Peak Daytime Soil Temperature</w:t>
            </w:r>
          </w:p>
        </w:tc>
        <w:tc>
          <w:tcPr>
            <w:tcW w:type="dxa" w:w="2340"/>
          </w:tcPr>
          <w:p>
            <w:r>
              <w:t>28.90 °C</w:t>
            </w:r>
          </w:p>
        </w:tc>
        <w:tc>
          <w:tcPr>
            <w:tcW w:type="dxa" w:w="2340"/>
          </w:tcPr>
          <w:p>
            <w:r>
              <w:t>28.42 °C</w:t>
            </w:r>
          </w:p>
        </w:tc>
        <w:tc>
          <w:tcPr>
            <w:tcW w:type="dxa" w:w="2340"/>
          </w:tcPr>
          <w:p>
            <w:r>
              <w:t>-0.48 °C (Reduced daytime soil heating)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3685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grivoltaic_Microclimate_Di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Fig. 1. Diurnal microclimate comparison between Zone A (Open) and Zone B (Agrivoltaics).</w:t>
      </w:r>
    </w:p>
    <w:p/>
    <w:p>
      <w:pPr>
        <w:pStyle w:val="Heading2"/>
      </w:pPr>
      <w:r>
        <w:t>F. Real Field Soil Moisture Persistence Benchmark</w:t>
      </w:r>
    </w:p>
    <w:p>
      <w:r>
        <w:t>The 24-h persistence baseline on real field telemetry achieved RMSE = 0.0114 VWC, MAE = 0.0065 VWC, and R² = 0.6768, confirming substantial temporal persistence in physical soil moisture.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oil_Moisture_Persist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Fig. 2. Real field 24-h soil moisture persistence scatter plot (MAE = 0.0065 VWC, R² = 0.6768).</w:t>
      </w:r>
    </w:p>
    <w:p/>
    <w:p>
      <w:pPr>
        <w:pStyle w:val="Heading2"/>
      </w:pPr>
      <w:r>
        <w:t>G. RUN 4E: Common Chronological Held-Out Simulation-to-Field Transfer &amp; Daily Block-Bootstrap</w:t>
      </w:r>
    </w:p>
    <w:p>
      <w:r>
        <w:t>RUN 4 demonstrated simulation-to-field transfer using chronologically held-out field observations. The common held-out evaluation comprised 4,320 forecast origins across 15 complete daily blocks (Days 17–31), with each origin evaluated against its corresponding 24-h-ahead irrigation-requirement target. Relative to the simulation-only model, 16-day field fine-tuning reduced held-out RMSE from 16.37 to 7.33 mm, corresponding to a 55.2% reduction. The paired daily-block bootstrap 95% confidence interval for the RMSE difference was −14.49 to −4.30 mm. MAE decreased from 13.75 to 5.82 mm, while test-set R² improved from −0.2867 to 0.7421.</w:t>
      </w:r>
    </w:p>
    <w:p>
      <w:r>
        <w:rPr>
          <w:b/>
        </w:rPr>
        <w:t>TABLE VII: CHRONOLOGICAL HELD-OUT INDEPENDENT FIELD VALIDATION (DAYS 17–31 COMMON TEST SET)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E3A8A"/>
          </w:tcPr>
          <w:p>
            <w:r>
              <w:rPr>
                <w:b/>
                <w:color w:val="FFFFFF"/>
              </w:rPr>
              <w:t>Model Tier</w:t>
            </w:r>
          </w:p>
        </w:tc>
        <w:tc>
          <w:tcPr>
            <w:tcW w:type="dxa" w:w="1170"/>
            <w:shd w:fill="1E3A8A"/>
          </w:tcPr>
          <w:p>
            <w:r>
              <w:rPr>
                <w:b/>
                <w:color w:val="FFFFFF"/>
              </w:rPr>
              <w:t>Training Window</w:t>
            </w:r>
          </w:p>
        </w:tc>
        <w:tc>
          <w:tcPr>
            <w:tcW w:type="dxa" w:w="1170"/>
            <w:shd w:fill="1E3A8A"/>
          </w:tcPr>
          <w:p>
            <w:r>
              <w:rPr>
                <w:b/>
                <w:color w:val="FFFFFF"/>
              </w:rPr>
              <w:t>Common Test Window</w:t>
            </w:r>
          </w:p>
        </w:tc>
        <w:tc>
          <w:tcPr>
            <w:tcW w:type="dxa" w:w="1170"/>
            <w:shd w:fill="1E3A8A"/>
          </w:tcPr>
          <w:p>
            <w:r>
              <w:rPr>
                <w:b/>
                <w:color w:val="FFFFFF"/>
              </w:rPr>
              <w:t>Origins</w:t>
            </w:r>
          </w:p>
        </w:tc>
        <w:tc>
          <w:tcPr>
            <w:tcW w:type="dxa" w:w="1170"/>
            <w:shd w:fill="1E3A8A"/>
          </w:tcPr>
          <w:p>
            <w:r>
              <w:rPr>
                <w:b/>
                <w:color w:val="FFFFFF"/>
              </w:rPr>
              <w:t>RMSE (mm)</w:t>
            </w:r>
          </w:p>
        </w:tc>
        <w:tc>
          <w:tcPr>
            <w:tcW w:type="dxa" w:w="1170"/>
            <w:shd w:fill="1E3A8A"/>
          </w:tcPr>
          <w:p>
            <w:r>
              <w:rPr>
                <w:b/>
                <w:color w:val="FFFFFF"/>
              </w:rPr>
              <w:t>95% Daily Block-Bootstrap CI</w:t>
            </w:r>
          </w:p>
        </w:tc>
        <w:tc>
          <w:tcPr>
            <w:tcW w:type="dxa" w:w="1170"/>
            <w:shd w:fill="1E3A8A"/>
          </w:tcPr>
          <w:p>
            <w:r>
              <w:rPr>
                <w:b/>
                <w:color w:val="FFFFFF"/>
              </w:rPr>
              <w:t>MAE (mm)</w:t>
            </w:r>
          </w:p>
        </w:tc>
        <w:tc>
          <w:tcPr>
            <w:tcW w:type="dxa" w:w="1170"/>
            <w:shd w:fill="1E3A8A"/>
          </w:tcPr>
          <w:p>
            <w:r>
              <w:rPr>
                <w:b/>
                <w:color w:val="FFFFFF"/>
              </w:rPr>
              <w:t>R²</w:t>
            </w:r>
          </w:p>
        </w:tc>
      </w:tr>
      <w:tr>
        <w:tc>
          <w:tcPr>
            <w:tcW w:type="dxa" w:w="1170"/>
          </w:tcPr>
          <w:p>
            <w:r>
              <w:t>Model A (Zero-Shot)</w:t>
            </w:r>
          </w:p>
        </w:tc>
        <w:tc>
          <w:tcPr>
            <w:tcW w:type="dxa" w:w="1170"/>
          </w:tcPr>
          <w:p>
            <w:r>
              <w:t>Simulation Only</w:t>
            </w:r>
          </w:p>
        </w:tc>
        <w:tc>
          <w:tcPr>
            <w:tcW w:type="dxa" w:w="1170"/>
          </w:tcPr>
          <w:p>
            <w:r>
              <w:t>Days 17–31 (15 Days)</w:t>
            </w:r>
          </w:p>
        </w:tc>
        <w:tc>
          <w:tcPr>
            <w:tcW w:type="dxa" w:w="1170"/>
          </w:tcPr>
          <w:p>
            <w:r>
              <w:t>4,320</w:t>
            </w:r>
          </w:p>
        </w:tc>
        <w:tc>
          <w:tcPr>
            <w:tcW w:type="dxa" w:w="1170"/>
          </w:tcPr>
          <w:p>
            <w:r>
              <w:t>16.37 mm</w:t>
            </w:r>
          </w:p>
        </w:tc>
        <w:tc>
          <w:tcPr>
            <w:tcW w:type="dxa" w:w="1170"/>
          </w:tcPr>
          <w:p>
            <w:r>
              <w:t>[12.47, 20.62] mm</w:t>
            </w:r>
          </w:p>
        </w:tc>
        <w:tc>
          <w:tcPr>
            <w:tcW w:type="dxa" w:w="1170"/>
          </w:tcPr>
          <w:p>
            <w:r>
              <w:t>13.75 mm</w:t>
            </w:r>
          </w:p>
        </w:tc>
        <w:tc>
          <w:tcPr>
            <w:tcW w:type="dxa" w:w="1170"/>
          </w:tcPr>
          <w:p>
            <w:r>
              <w:t>-0.2867</w:t>
            </w:r>
          </w:p>
        </w:tc>
      </w:tr>
      <w:tr>
        <w:tc>
          <w:tcPr>
            <w:tcW w:type="dxa" w:w="1170"/>
            <w:shd w:fill="F3F4F6"/>
          </w:tcPr>
          <w:p>
            <w:r>
              <w:t>Model B (7-Day FT)</w:t>
            </w:r>
          </w:p>
        </w:tc>
        <w:tc>
          <w:tcPr>
            <w:tcW w:type="dxa" w:w="1170"/>
            <w:shd w:fill="F3F4F6"/>
          </w:tcPr>
          <w:p>
            <w:r>
              <w:t>Days 1–7 (2,016 steps)</w:t>
            </w:r>
          </w:p>
        </w:tc>
        <w:tc>
          <w:tcPr>
            <w:tcW w:type="dxa" w:w="1170"/>
            <w:shd w:fill="F3F4F6"/>
          </w:tcPr>
          <w:p>
            <w:r>
              <w:t>Days 17–31 (Common Test)</w:t>
            </w:r>
          </w:p>
        </w:tc>
        <w:tc>
          <w:tcPr>
            <w:tcW w:type="dxa" w:w="1170"/>
            <w:shd w:fill="F3F4F6"/>
          </w:tcPr>
          <w:p>
            <w:r>
              <w:t>4,320</w:t>
            </w:r>
          </w:p>
        </w:tc>
        <w:tc>
          <w:tcPr>
            <w:tcW w:type="dxa" w:w="1170"/>
            <w:shd w:fill="F3F4F6"/>
          </w:tcPr>
          <w:p>
            <w:r>
              <w:t>12.69 mm</w:t>
            </w:r>
          </w:p>
        </w:tc>
        <w:tc>
          <w:tcPr>
            <w:tcW w:type="dxa" w:w="1170"/>
            <w:shd w:fill="F3F4F6"/>
          </w:tcPr>
          <w:p>
            <w:r>
              <w:t>[8.30, 16.39] mm</w:t>
            </w:r>
          </w:p>
        </w:tc>
        <w:tc>
          <w:tcPr>
            <w:tcW w:type="dxa" w:w="1170"/>
            <w:shd w:fill="F3F4F6"/>
          </w:tcPr>
          <w:p>
            <w:r>
              <w:t>9.83 mm</w:t>
            </w:r>
          </w:p>
        </w:tc>
        <w:tc>
          <w:tcPr>
            <w:tcW w:type="dxa" w:w="1170"/>
            <w:shd w:fill="F3F4F6"/>
          </w:tcPr>
          <w:p>
            <w:r>
              <w:t>0.2271</w:t>
            </w:r>
          </w:p>
        </w:tc>
      </w:tr>
      <w:tr>
        <w:tc>
          <w:tcPr>
            <w:tcW w:type="dxa" w:w="1170"/>
            <w:shd w:fill="DCFCE7"/>
          </w:tcPr>
          <w:p>
            <w:r>
              <w:t>Model C (16-Day FT)</w:t>
            </w:r>
          </w:p>
        </w:tc>
        <w:tc>
          <w:tcPr>
            <w:tcW w:type="dxa" w:w="1170"/>
            <w:shd w:fill="DCFCE7"/>
          </w:tcPr>
          <w:p>
            <w:r>
              <w:t>Days 1–16 (4,608 steps)</w:t>
            </w:r>
          </w:p>
        </w:tc>
        <w:tc>
          <w:tcPr>
            <w:tcW w:type="dxa" w:w="1170"/>
            <w:shd w:fill="DCFCE7"/>
          </w:tcPr>
          <w:p>
            <w:r>
              <w:t>Days 17–31 (Common Test)</w:t>
            </w:r>
          </w:p>
        </w:tc>
        <w:tc>
          <w:tcPr>
            <w:tcW w:type="dxa" w:w="1170"/>
            <w:shd w:fill="DCFCE7"/>
          </w:tcPr>
          <w:p>
            <w:r>
              <w:t>4,320</w:t>
            </w:r>
          </w:p>
        </w:tc>
        <w:tc>
          <w:tcPr>
            <w:tcW w:type="dxa" w:w="1170"/>
            <w:shd w:fill="DCFCE7"/>
          </w:tcPr>
          <w:p>
            <w:r>
              <w:t>7.33 mm</w:t>
            </w:r>
          </w:p>
        </w:tc>
        <w:tc>
          <w:tcPr>
            <w:tcW w:type="dxa" w:w="1170"/>
            <w:shd w:fill="DCFCE7"/>
          </w:tcPr>
          <w:p>
            <w:r>
              <w:t>[5.66, 8.70] mm</w:t>
            </w:r>
          </w:p>
        </w:tc>
        <w:tc>
          <w:tcPr>
            <w:tcW w:type="dxa" w:w="1170"/>
            <w:shd w:fill="DCFCE7"/>
          </w:tcPr>
          <w:p>
            <w:r>
              <w:t>5.82 mm</w:t>
            </w:r>
          </w:p>
        </w:tc>
        <w:tc>
          <w:tcPr>
            <w:tcW w:type="dxa" w:w="1170"/>
            <w:shd w:fill="DCFCE7"/>
          </w:tcPr>
          <w:p>
            <w:r>
              <w:t>0.7421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imulation_to_Field_Transf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Fig. 6. Chronological held-out field prediction trajectories comparing ground-truth IR* target against Model A and Model C.</w:t>
      </w:r>
    </w:p>
    <w:p/>
    <w:p>
      <w:pPr>
        <w:pStyle w:val="Heading1"/>
      </w:pPr>
      <w:r>
        <w:t>IV. CONCLUSION AND RECOMMENDATIONS</w:t>
      </w:r>
    </w:p>
    <w:p>
      <w:r>
        <w:t>This study presented a physically constrained, safety-governed machine learning framework for precision agrivoltaic irrigation control. By reformulating the learning objective to 24-h minimum sufficient irrigation requirement (IR*), simple linear models (ElasticNet) resolve the state-persistence trap inherent in continuous soil-moisture sequence forecasting. Physical field deployment across 32 days confirmed a 38.9% shortwave radiation reduction under PV panels, while 16-day domain fine-tuning improved held-out transfer R² to 0.7421 (RMSE = 7.33 mm). The framework is recommended for advisory-mode integration in commercial agrivoltaic operations.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