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Introduction: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This project is used to develop a tool to Replacing the missing data in 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selected regions from an image. This is also called as Inpainting method.The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term inpainting is derived from the ancient art of restoring image by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professional image restorers in museums etc. Digital Image Inpainting tries to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imitate this process and perform the inpainting automatically. The algorithm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automatically does this in a way that it looks “reasonable” to the human eye.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Details that are hidden/occluded completely by the object to be removed cannot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be recovered by any mathematical method. Therefore the objective for image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inpainting is not to recover the original image, but to create some image that has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 close resemblance with the original image.One use is in restoring photographs.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 fact, the term inpainting has been derived from the art of restoring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deteriorating photographs and paintings by professional restorers in museums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etc. Ages ago, people were already preserving their visual works carefully. With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age, photographs get damaged and scratched. Users can then use the software to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remove the cracks from the photographs. Another use of image inpainting is in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creating special effects by removing unwanted things from the image. Unwanted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things may range from microphones, ropes, some unwanted person and logos,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stamped dates and text etc. in the image. During the transmission of images over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 network, there may be some parts of an image that are missing. These parts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can then be reconstructed using image inpainting. There have been a few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researches on how to use image inpainting for super-resolution and zooming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images.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AIM,SCOPE,PRESENT INVESTIGATION: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There has been a lot significant work carried out in the past in the field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inpainting. The algorithm at first sight may seem to be something similar to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noise removal from images. Denoising is focused towards modifying individual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pixels whereas inpainting aims at modifying larger regions from the image.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Denoising also differs from inpainting in the way that in inpainting there is no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information about the image in the region to be inpainted as opposed to noise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removal where pixels may contain information about both the real data and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noise.Thus specific methods are developed to answer this problem.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SCOPE: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object of the project is to reconstruct the missing or damaged portions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image, in order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to make it more legible and restore its unity. The whole scope of the problem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can be stated as: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• Inpaint the regions from the image that have been marked by the user for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inpainting. The user may mark more than one region (spatially disconnected) for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inpainting.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• Given an image (I) and a region to be inpainted (L), inpainting would try to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construct an image (I’) and remove the marked region in a visually plausible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way (See Figure 2).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• This can be done by using information from surrounding areas and merge 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inpainted region into the image so seamlessly that a typical viewer is not aware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of it. The quality of the result will depend on what is missing. If the inpainting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region is small and the surrounding area is without much texture, the result will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be good. Texture is a measure of image coarseness, smoothness and regularity.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Images with texture contain regions characterized more by variation in 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intensity values than by one value to intensity. Large areas with lots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information lost are harder to reconstruct, because information in other parts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image is not enough to get an impression of what is missing. If the human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brain is not able to imagine what is missing, equations will not make it either.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Details that are completely hidden/occluded completely by the object to be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removed cannot be recovered by any mathematical method. Therefore the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 for image inpainting is not to recover the original image, but to create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some image that has a close resemblance with the original image.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• It is not equivalent to noise reduction. We say that an image contains noise if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pixels in the image do not reflect the true intensity of the real scene. Though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two problems may sound strikingly similar, the approaches to solving these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are different altogether. The main difference between noise reduction and image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inpainting is that in noise, the region to be removed (i.e. noise) contains some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information about the image whereas; there is no information about the image in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the region to be inpainted. Also in noise, we do not have large regions of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missing area.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Present Investigation: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Proposed System: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160" w:after="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In this Proposed system, finding the optimal solution for all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type of missing data replacement in images.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160" w:after="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The occurancy of the missing data is calculated by the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algorithms and mathematical calculations.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160" w:after="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System Architure: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160" w:after="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Data Mining Techniques: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snapToGrid w:val="on"/>
        <w:autoSpaceDE w:val="1"/>
        <w:autoSpaceDN w:val="1"/>
      </w:pP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Data mining is looking for hidden, valid, and potentially useful patterns </w:t>
      </w: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in huge data sets. Data Mining is all about discovering unsuspected/ </w:t>
      </w: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previously unknown relationships amongst the data.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>Association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325" w:before="0" w:after="0"/>
        <w:ind w:right="0" w:firstLine="0"/>
        <w:rPr>
          <w:i w:val="0"/>
          <w:b w:val="0"/>
          <w:color w:val="1E1E1E"/>
          <w:position w:val="0"/>
          <w:sz w:val="24"/>
          <w:szCs w:val="24"/>
          <w:rFonts w:ascii="Helvetica" w:eastAsia="Helvetica" w:hAnsi="Helvetica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Association is one of the best-known data mining technique. In association, a pattern is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discovered based on a relationship between items in the same transaction. That’s is the reason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why association technique is also known as </w:t>
      </w:r>
      <w:r>
        <w:rPr>
          <w:i w:val="1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relation technique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. The association technique is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used in </w:t>
      </w:r>
      <w:r>
        <w:rPr>
          <w:i w:val="1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market basket analysis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 to identify a set of products that customers frequently purchase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>together.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Retailers are using association technique to research customer’s buying habits. Based on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historical sale data, retailers might find out that customers always buy crisps when they buy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beers, and, therefore, they can put beers and crisps next to each other to save time for the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customer and increase sales.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>Classification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Classification is a classic data mining technique based on machine learning. Basically,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classification is used to classify each item in a set of data into one of a predefined set of classes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or groups. Classification method makes use of mathematical techniques such as decision trees,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linear programming, neural network, and statistics. In classification, we develop the software that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can learn how to classify the data items into groups. For example, we can apply classification in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the application that “given all records of employees who left the company, predict who will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probably leave the company in a future period.” In this case, we divide the records of employees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into two groups that named “leave” and “stay”. And then we can ask our data mining software to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classify the employees into separate groups.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>Clustering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Clustering is a data mining technique that makes a meaningful or useful cluster of objects which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have similar characteristics using the automatic technique. The clustering technique defines the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classes and puts objects in each class, while in the classification techniques, objects are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assigned into predefined classes. To make the concept clearer, we can take book management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in the library as an example. In a library, there is a wide range of books on various topics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available. The challenge is how to keep those books in a way that readers can take several books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on a particular topic without hassle. By using the clustering technique, we can keep books that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have some kinds of similarities in one cluster or one shelf and label it with a meaningful name. If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readers want to grab books in that topic, they would only have to go to that shelf instead of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looking for the entire library.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>Prediction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i w:val="0"/>
          <w:b w:val="0"/>
          <w:color w:val="1E1E1E"/>
          <w:position w:val="0"/>
          <w:sz w:val="24"/>
          <w:szCs w:val="24"/>
          <w:rFonts w:ascii="Helvetica" w:eastAsia="Helvetica" w:hAnsi="Helvetica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The prediction, as its name implied, is one of a data mining techniques that discovers the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relationship between independent variables and relationship between dependent and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independent variables</w:t>
      </w:r>
      <w:r>
        <w:rPr>
          <w:i w:val="1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>.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 For instance</w:t>
      </w:r>
      <w:r>
        <w:rPr>
          <w:i w:val="1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>,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 the prediction analysis technique can be used in the sale to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predict profit for the future if we consider the sale is an independent variable, profit could be a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dependent variable. Then based on the historical sale and profit data, we can draw a fitted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regression curve that is used for profit prediction.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 xml:space="preserve">Sequential Patterns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Sequential patterns analysis is one of data mining technique that seeks to discover or identify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similar patterns, regular events or trends in transaction data over a business period.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In sales, with historical transaction data, businesses can identify a set of items that customers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buy together different times in a year. Then businesses can use this information to recommend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customers buy it with better deals based on their purchasing frequency in the past.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36"/>
          <w:szCs w:val="36"/>
          <w:shd w:val="clear" w:fill="FFFFFF"/>
          <w:rFonts w:ascii="Lato" w:eastAsia="Lato" w:hAnsi="Lato" w:hint="default"/>
        </w:rPr>
        <w:t xml:space="preserve">Decision trees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25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The A decision tree is one of the most commonly used data mining techniques because its model is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easy to understand for users. In decision tree technique, the root of the decision tree is a simple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question or condition that has multiple answers. Each answer then leads to a set of questions or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conditions that help us determine the data so that we can make the final decision based on it. For </w:t>
      </w:r>
      <w:r>
        <w:rPr>
          <w:i w:val="0"/>
          <w:b w:val="0"/>
          <w:color w:val="1E1E1E"/>
          <w:position w:val="0"/>
          <w:sz w:val="21"/>
          <w:szCs w:val="21"/>
          <w:shd w:val="clear" w:fill="FFFFFF"/>
          <w:rFonts w:ascii="Helvetica" w:eastAsia="Helvetica" w:hAnsi="Helvetica" w:hint="default"/>
        </w:rPr>
        <w:t xml:space="preserve">example, We use the following decision tree to determine whether or not to play tennis: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It is a multi-disciplinary skill that uses machine learning, statistics, AI and </w:t>
      </w: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database technology.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The insights derived via Data Mining can be used for marketing, fraud </w:t>
      </w:r>
      <w:r>
        <w:rPr>
          <w:i w:val="0"/>
          <w:b w:val="0"/>
          <w:color w:val="222222"/>
          <w:position w:val="0"/>
          <w:sz w:val="27"/>
          <w:szCs w:val="27"/>
          <w:shd w:val="clear" w:fill="FFFFFF"/>
          <w:rFonts w:ascii="Source Sans Pro" w:eastAsia="Source Sans Pro" w:hAnsi="Source Sans Pro" w:hint="default"/>
        </w:rPr>
        <w:t xml:space="preserve">detection, and scientific discovery, etc.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Mean Shift Algorithm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Meanshift is a clustering algorithm that assigns the datapoints to the clusters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iteratively by shifting points towards the mode. The </w:t>
      </w:r>
      <w:hyperlink r:id="rId5">
        <w:r>
          <w:rPr>
            <w:i w:val="0"/>
            <w:b w:val="0"/>
            <w:color w:val="009FD5"/>
            <w:position w:val="0"/>
            <w:sz w:val="24"/>
            <w:szCs w:val="24"/>
            <w:u w:val="none"/>
            <w:shd w:val="clear" w:fill="FFFFFF"/>
            <w:rFonts w:ascii="PT Sans" w:eastAsia="PT Sans" w:hAnsi="PT Sans" w:hint="default"/>
          </w:rPr>
          <w:t>mode</w:t>
        </w:r>
      </w:hyperlink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 can be understood as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the highest density of datapoints (in the region, in the context of the Meanshift).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As such, it is also known as the mode-seeking algorithm. Meanshift algorithm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has applications in the field of image processing and computer vision.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Given a set of datapoints, the algorithm iteratively assign each datapoint towards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the closest cluster centroid. The direction to the closest cluster centroid is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determined by where most of the points nearby are at. So each iteration each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data point will move closer to where the most points are at, which is or will lead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to the cluster center. When the algorithm stops, each point is assigned to a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cluster.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snapToGrid w:val="on"/>
        <w:autoSpaceDE w:val="1"/>
        <w:autoSpaceDN w:val="1"/>
      </w:pPr>
      <w:r>
        <w:rPr>
          <w:sz w:val="20"/>
          <w:shd w:val="clear" w:color="auto" w:fill="FFFFFF"/>
        </w:rPr>
        <w:drawing>
          <wp:inline distT="0" distB="0" distL="0" distR="0">
            <wp:extent cx="5731510" cy="772985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://www.chioka.in/wp-content/uploads/2016/05/meanshift-step-by-step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9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Iteration: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1.  Initial state. The red and blue datapoints overlap completely in the first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iteration before the Meanshift algorithm starts.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2.  End of iteration 1. All the red datapoints move closer to clusters. Looks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like there will be 4 clusters.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3.  End of iteration 2. The clusters of upper right and lower left seems to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have reached convergence just using two iterations. The center and lower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right clusters looks like they are merging, since the two centroids are very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close.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4.  End of iteration 3. No change in the upper right and lower left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centroids. The other two centroids’ have pulled each other together as the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datapoints affect each clusters. </w:t>
      </w:r>
      <w:r>
        <w:rPr>
          <w:i w:val="0"/>
          <w:b w:val="1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This is a signature of Meanshift, the number </w:t>
      </w:r>
      <w:r>
        <w:rPr>
          <w:i w:val="0"/>
          <w:b w:val="1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of clusters are not pre-determined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5.  End of iteration 4. All the clusters should have converged.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6.  End of iteration 5. All the clusters indeed have no movement. The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algorithm stops here since no change is detected for all red datapoints.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/>
          <w:position w:val="0"/>
          <w:sz w:val="45"/>
          <w:szCs w:val="45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1"/>
          <w:color w:val="454545"/>
          <w:position w:val="0"/>
          <w:sz w:val="45"/>
          <w:szCs w:val="45"/>
          <w:shd w:val="clear" w:fill="FFFFFF"/>
          <w:rFonts w:ascii="PT Sans" w:eastAsia="PT Sans" w:hAnsi="PT Sans" w:hint="default"/>
        </w:rPr>
        <w:t xml:space="preserve">The Meanshift Algorithm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I will have to touch lightly on the mathematics for this part. I hate math so I will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try my best to explain in terms for non-math people.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You will need a few things before you start to run Meanshift on a set of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datapoints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1.  A function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N(x)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to determine what are the neighbours of a point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∈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.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The neighbouring points are the points within a certain distance. The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distance metric is usually </w:t>
      </w:r>
      <w:hyperlink r:id="rId7">
        <w:r>
          <w:rPr>
            <w:i w:val="0"/>
            <w:b w:val="0"/>
            <w:color w:val="009FD5"/>
            <w:position w:val="0"/>
            <w:sz w:val="24"/>
            <w:szCs w:val="24"/>
            <w:u w:val="none"/>
            <w:rFonts w:ascii="PT Sans" w:eastAsia="PT Sans" w:hAnsi="PT Sans" w:hint="default"/>
          </w:rPr>
          <w:t>Euclidean Distance</w:t>
        </w:r>
      </w:hyperlink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2.  A kernel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K(d)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to use in Meanshift. K is usually a </w:t>
      </w:r>
      <w:hyperlink r:id="rId8">
        <w:r>
          <w:rPr>
            <w:i w:val="0"/>
            <w:b w:val="0"/>
            <w:color w:val="009FD5"/>
            <w:position w:val="0"/>
            <w:sz w:val="24"/>
            <w:szCs w:val="24"/>
            <w:u w:val="none"/>
            <w:rFonts w:ascii="PT Sans" w:eastAsia="PT Sans" w:hAnsi="PT Sans" w:hint="default"/>
          </w:rPr>
          <w:t>Gaussian Kernel</w:t>
        </w:r>
      </w:hyperlink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, and d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is the distance between two datapoints.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Now, with the above, this is the Meanshift algorithm for a set of datapoints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1.  For each datapoint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∈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, find the neighbouring points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N(x)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of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2.  For each datapoint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∈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, calculate the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mean shift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m(x)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from this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equation: </w:t>
      </w:r>
      <w:r>
        <w:rPr>
          <w:sz w:val="20"/>
        </w:rPr>
        <w:drawing>
          <wp:inline distT="0" distB="0" distL="0" distR="0">
            <wp:extent cx="2371725" cy="49530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://www.chioka.in/wp-content/uploads/2016/05/formula-1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3.  For each datapoint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∈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, update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←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m(x)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4.  Repeat 1. for </w:t>
      </w:r>
      <w:r>
        <w:rPr>
          <w:i w:val="1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>n_iteations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 or until the points are almost not moving or </w:t>
      </w:r>
      <w:r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t xml:space="preserve">not moving.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The most important piece is calculating the mean shift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m(x)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. The formula in step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2. looks daunting but let’s break it down. Notice the red red encircled parts are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essentially the same: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905125" cy="600075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://www.chioka.in/wp-content/uploads/2016/05/formula-2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0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Let’s replace that with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W</w:t>
      </w:r>
      <w:r>
        <w:rPr>
          <w:vertAlign w:val="subscript"/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i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, so the formula becomes this: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009775" cy="62865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://www.chioka.in/wp-content/uploads/2016/05/formula-3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28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Look at the general formula for </w:t>
      </w:r>
      <w:hyperlink r:id="rId12">
        <w:r>
          <w:rPr>
            <w:i w:val="0"/>
            <w:b w:val="0"/>
            <w:color w:val="009FD5"/>
            <w:position w:val="0"/>
            <w:sz w:val="24"/>
            <w:szCs w:val="24"/>
            <w:u w:val="none"/>
            <w:shd w:val="clear" w:fill="FFFFFF"/>
            <w:rFonts w:ascii="PT Sans" w:eastAsia="PT Sans" w:hAnsi="PT Sans" w:hint="default"/>
          </w:rPr>
          <w:t>weighted average</w:t>
        </w:r>
      </w:hyperlink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 in Wikipedia gives us this: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028700" cy="790575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://www.chioka.in/wp-content/uploads/2016/05/weighted-average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0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454545"/>
          <w:position w:val="0"/>
          <w:sz w:val="24"/>
          <w:szCs w:val="24"/>
          <w:rFonts w:ascii="PT Sans" w:eastAsia="PT Sans" w:hAnsi="PT Sans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Which is just the same thing! Essentially, the meanshift is just calculating </w:t>
      </w:r>
      <w:r>
        <w:rPr>
          <w:i w:val="0"/>
          <w:b w:val="1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the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weighted average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 of the affected points w.r.t. to </w:t>
      </w:r>
      <w:r>
        <w:rPr>
          <w:i w:val="1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>x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. From this perspective, the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formula is less mystifying, right?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To summarize: The algorithm finds a set of nearby points that affect a datapoint,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then shift it towards where most of the points are, and the closest points have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more influence than the further points. Repeat this for all datapoints until </w:t>
      </w:r>
      <w:r>
        <w:rPr>
          <w:i w:val="0"/>
          <w:b w:val="0"/>
          <w:color w:val="454545"/>
          <w:position w:val="0"/>
          <w:sz w:val="24"/>
          <w:szCs w:val="24"/>
          <w:shd w:val="clear" w:fill="FFFFFF"/>
          <w:rFonts w:ascii="PT Sans" w:eastAsia="PT Sans" w:hAnsi="PT Sans" w:hint="default"/>
        </w:rPr>
        <w:t xml:space="preserve">nothing changes.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ource Sans Pr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at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T San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1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2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3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4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5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6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7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8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1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2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3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4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5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6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7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  <w:lvl w:ilvl="8">
      <w:lvlJc w:val="left"/>
      <w:numFmt w:val="bullet"/>
      <w:start w:val="1"/>
      <w:suff w:val="tab"/>
      <w:pPr>
        <w:autoSpaceDE w:val="0"/>
        <w:autoSpaceDN w:val="0"/>
        <w:ind w:left="400" w:hanging="400"/>
        <w:numPr>
          <w:numId w:val="12"/>
          <w:ilvl w:val="0"/>
        </w:numPr>
        <w:overflowPunct/>
        <w:textAlignment w:val="baseline"/>
      </w:pPr>
      <w:rPr>
        <w:color w:val="000000"/>
        <w:rFonts w:ascii="Wingdings" w:eastAsia="Wingdings" w:hAnsi="Wingdings"/>
        <w:shd w:val="clear"/>
        <w:sz w:val="64"/>
        <w:szCs w:val="64"/>
        <w:w w:val="100"/>
      </w:rPr>
      <w:lvlText w:val="Ø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en.wikipedia.org/wiki/Mode_(statistics)" TargetMode="External"></Relationship><Relationship Id="rId6" Type="http://schemas.openxmlformats.org/officeDocument/2006/relationships/image" Target="http://www.chioka.in/wp-content/uploads/2016/05/meanshift-step-by-step.png" TargetMode="External"></Relationship><Relationship Id="rId7" Type="http://schemas.openxmlformats.org/officeDocument/2006/relationships/hyperlink" Target="https://en.wikipedia.org/wiki/Euclidean_distance" TargetMode="External"></Relationship><Relationship Id="rId8" Type="http://schemas.openxmlformats.org/officeDocument/2006/relationships/hyperlink" Target="https://en.wikipedia.org/wiki/Radial_basis_function_kernel" TargetMode="External"></Relationship><Relationship Id="rId9" Type="http://schemas.openxmlformats.org/officeDocument/2006/relationships/image" Target="http://www.chioka.in/wp-content/uploads/2016/05/formula-1.png" TargetMode="External"></Relationship><Relationship Id="rId10" Type="http://schemas.openxmlformats.org/officeDocument/2006/relationships/image" Target="http://www.chioka.in/wp-content/uploads/2016/05/formula-2.png" TargetMode="External"></Relationship><Relationship Id="rId11" Type="http://schemas.openxmlformats.org/officeDocument/2006/relationships/image" Target="http://www.chioka.in/wp-content/uploads/2016/05/formula-3.png" TargetMode="External"></Relationship><Relationship Id="rId12" Type="http://schemas.openxmlformats.org/officeDocument/2006/relationships/hyperlink" Target="https://en.wikipedia.org/wiki/Weighted_arithmetic_mean" TargetMode="External"></Relationship><Relationship Id="rId13" Type="http://schemas.openxmlformats.org/officeDocument/2006/relationships/image" Target="http://www.chioka.in/wp-content/uploads/2016/05/weighted-average.png" TargetMode="External"></Relationship><Relationship Id="rId14" Type="http://schemas.openxmlformats.org/officeDocument/2006/relationships/numbering" Target="numbering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