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E3A5F"/>
          <w:sz w:val="40"/>
          <w:szCs w:val="40"/>
        </w:rPr>
        <w:t xml:space="preserve">Automated Financial ETL &amp; Executive Dashboard</w:t>
      </w:r>
    </w:p>
    <w:p>
      <w:pPr>
        <w:spacing w:after="60" w:before="0"/>
        <w:jc w:val="center"/>
      </w:pPr>
      <w:r>
        <w:rPr>
          <w:rFonts w:ascii="Arial" w:cs="Arial" w:eastAsia="Arial" w:hAnsi="Arial"/>
          <w:color w:val="6B7280"/>
          <w:sz w:val="22"/>
          <w:szCs w:val="22"/>
        </w:rPr>
        <w:t xml:space="preserve">Portfolio Project 1  |  Arun Prabakar Vadaseri Rajendran</w:t>
      </w:r>
    </w:p>
    <w:p>
      <w:pPr>
        <w:spacing w:after="60" w:before="0"/>
        <w:jc w:val="center"/>
      </w:pPr>
      <w:r>
        <w:rPr>
          <w:rFonts w:ascii="Arial" w:cs="Arial" w:eastAsia="Arial" w:hAnsi="Arial"/>
          <w:color w:val="9CA3AF"/>
          <w:sz w:val="20"/>
          <w:szCs w:val="20"/>
        </w:rPr>
        <w:t xml:space="preserve">MABA  •  Technology Innovation Management  •  Carleton University</w:t>
      </w:r>
    </w:p>
    <w:p>
      <w:pPr>
        <w:pBdr>
          <w:bottom w:val="single" w:color="2563EB" w:sz="6" w:space="1"/>
        </w:pBdr>
        <w:spacing w:after="240" w:before="0"/>
        <w:jc w:val="center"/>
      </w:pPr>
      <w:r>
        <w:rPr>
          <w:rFonts w:ascii="Arial" w:cs="Arial" w:eastAsia="Arial" w:hAnsi="Arial"/>
          <w:color w:val="2563EB"/>
          <w:sz w:val="20"/>
          <w:szCs w:val="20"/>
        </w:rPr>
        <w:t xml:space="preserve">linkedin.com/in/arun-prabakar-vadaseri-rajendran</w:t>
      </w:r>
    </w:p>
    <w:p>
      <w:pPr>
        <w:pStyle w:val="Heading1"/>
        <w:spacing w:after="120" w:before="300"/>
      </w:pPr>
      <w:r>
        <w:rPr>
          <w:rFonts w:ascii="Arial" w:cs="Arial" w:eastAsia="Arial" w:hAnsi="Arial"/>
          <w:b/>
          <w:bCs/>
          <w:color w:val="1E3A5F"/>
          <w:sz w:val="28"/>
          <w:szCs w:val="28"/>
        </w:rPr>
        <w:t xml:space="preserve">1. Project Overview</w:t>
      </w:r>
    </w:p>
    <w:p>
      <w:pPr>
        <w:spacing w:after="60" w:before="60"/>
      </w:pPr>
      <w:r>
        <w:rPr>
          <w:rFonts w:ascii="Arial" w:cs="Arial" w:eastAsia="Arial" w:hAnsi="Arial"/>
          <w:sz w:val="22"/>
          <w:szCs w:val="22"/>
        </w:rPr>
        <w:t xml:space="preserve">This project demonstrates a complete, production-style data pipeline that takes messy financial exports—the kind a real accounting firm client hands you—and automatically transforms them into a live, interactive executive dashboard. Every step is automated: no manual copy-paste, no reformatting, no waiting.</w:t>
      </w:r>
    </w:p>
    <w:p>
      <w:pPr>
        <w:spacing w:after="60" w:before="60"/>
      </w:pPr>
      <w:r>
        <w:rPr>
          <w:rFonts w:ascii="Arial" w:cs="Arial" w:eastAsia="Arial" w:hAnsi="Arial"/>
          <w:sz w:val="22"/>
          <w:szCs w:val="22"/>
        </w:rPr>
        <w:t xml:space="preserve">The project is framed around Northgate Advisory Partners, a fictional mid-market accounting firm bridging the gap between legacy systems (Sage 50, QuickBooks) and modern automated analytics. This is a real and common pain point for small and mid-size accounting firms across Canada.</w:t>
      </w:r>
    </w:p>
    <w:p>
      <w:pPr>
        <w:pStyle w:val="Heading1"/>
        <w:spacing w:after="120" w:before="300"/>
      </w:pPr>
      <w:r>
        <w:rPr>
          <w:rFonts w:ascii="Arial" w:cs="Arial" w:eastAsia="Arial" w:hAnsi="Arial"/>
          <w:b/>
          <w:bCs/>
          <w:color w:val="1E3A5F"/>
          <w:sz w:val="28"/>
          <w:szCs w:val="28"/>
        </w:rPr>
        <w:t xml:space="preserve">2. The Problem This Solves</w:t>
      </w:r>
    </w:p>
    <w:p>
      <w:pPr>
        <w:spacing w:after="60" w:before="60"/>
      </w:pPr>
      <w:r>
        <w:rPr>
          <w:rFonts w:ascii="Arial" w:cs="Arial" w:eastAsia="Arial" w:hAnsi="Arial"/>
          <w:sz w:val="22"/>
          <w:szCs w:val="22"/>
        </w:rPr>
        <w:t xml:space="preserve">Most small accounting firms operate with data scattered across Sage, QuickBooks, and Excel. Each system exports data in its own format. The result is:</w:t>
      </w:r>
    </w:p>
    <w:p>
      <w:pPr>
        <w:pStyle w:val="ListParagraph"/>
        <w:numPr>
          <w:ilvl w:val="0"/>
          <w:numId w:val="2"/>
        </w:numPr>
        <w:spacing w:after="40" w:before="40"/>
      </w:pPr>
      <w:r>
        <w:rPr>
          <w:rFonts w:ascii="Arial" w:cs="Arial" w:eastAsia="Arial" w:hAnsi="Arial"/>
          <w:sz w:val="22"/>
          <w:szCs w:val="22"/>
        </w:rPr>
        <w:t xml:space="preserve">Mixed date formats (MM/DD/YYYY, DD-Mon-YYYY, YYYY-MM-DD) in the same file</w:t>
      </w:r>
    </w:p>
    <w:p>
      <w:pPr>
        <w:pStyle w:val="ListParagraph"/>
        <w:numPr>
          <w:ilvl w:val="0"/>
          <w:numId w:val="2"/>
        </w:numPr>
        <w:spacing w:after="40" w:before="40"/>
      </w:pPr>
      <w:r>
        <w:rPr>
          <w:rFonts w:ascii="Arial" w:cs="Arial" w:eastAsia="Arial" w:hAnsi="Arial"/>
          <w:sz w:val="22"/>
          <w:szCs w:val="22"/>
        </w:rPr>
        <w:t xml:space="preserve">Dollar signs and commas embedded in numeric fields</w:t>
      </w:r>
    </w:p>
    <w:p>
      <w:pPr>
        <w:pStyle w:val="ListParagraph"/>
        <w:numPr>
          <w:ilvl w:val="0"/>
          <w:numId w:val="2"/>
        </w:numPr>
        <w:spacing w:after="40" w:before="40"/>
      </w:pPr>
      <w:r>
        <w:rPr>
          <w:rFonts w:ascii="Arial" w:cs="Arial" w:eastAsia="Arial" w:hAnsi="Arial"/>
          <w:sz w:val="22"/>
          <w:szCs w:val="22"/>
        </w:rPr>
        <w:t xml:space="preserve">Inconsistent account codes (1000, ACC-1000, acc-1000)</w:t>
      </w:r>
    </w:p>
    <w:p>
      <w:pPr>
        <w:pStyle w:val="ListParagraph"/>
        <w:numPr>
          <w:ilvl w:val="0"/>
          <w:numId w:val="2"/>
        </w:numPr>
        <w:spacing w:after="40" w:before="40"/>
      </w:pPr>
      <w:r>
        <w:rPr>
          <w:rFonts w:ascii="Arial" w:cs="Arial" w:eastAsia="Arial" w:hAnsi="Arial"/>
          <w:sz w:val="22"/>
          <w:szCs w:val="22"/>
        </w:rPr>
        <w:t xml:space="preserve">Duplicate rows, blank rows, and inconsistent casing</w:t>
      </w:r>
    </w:p>
    <w:p>
      <w:pPr>
        <w:pStyle w:val="ListParagraph"/>
        <w:numPr>
          <w:ilvl w:val="0"/>
          <w:numId w:val="2"/>
        </w:numPr>
        <w:spacing w:after="40" w:before="40"/>
      </w:pPr>
      <w:r>
        <w:rPr>
          <w:rFonts w:ascii="Arial" w:cs="Arial" w:eastAsia="Arial" w:hAnsi="Arial"/>
          <w:sz w:val="22"/>
          <w:szCs w:val="22"/>
        </w:rPr>
        <w:t xml:space="preserve">No live dashboard—just monthly spreadsheets emailed after the fact</w:t>
      </w:r>
    </w:p>
    <w:p>
      <w:pPr>
        <w:spacing w:after="60" w:before="100"/>
      </w:pPr>
      <w:r>
        <w:rPr>
          <w:rFonts w:ascii="Arial" w:cs="Arial" w:eastAsia="Arial" w:hAnsi="Arial"/>
          <w:sz w:val="22"/>
          <w:szCs w:val="22"/>
        </w:rPr>
        <w:t xml:space="preserve">This project eliminates all of that with an automated ETL pipeline that runs in under two minutes.</w:t>
      </w:r>
    </w:p>
    <w:p>
      <w:pPr>
        <w:pStyle w:val="Heading1"/>
        <w:spacing w:after="120" w:before="300"/>
      </w:pPr>
      <w:r>
        <w:rPr>
          <w:rFonts w:ascii="Arial" w:cs="Arial" w:eastAsia="Arial" w:hAnsi="Arial"/>
          <w:b/>
          <w:bCs/>
          <w:color w:val="1E3A5F"/>
          <w:sz w:val="28"/>
          <w:szCs w:val="28"/>
        </w:rPr>
        <w:t xml:space="preserve">3. Technology Stack</w:t>
      </w:r>
    </w:p>
    <w:p>
      <w:pPr>
        <w:spacing w:after="60" w:before="60"/>
      </w:pPr>
      <w:r>
        <w:rPr>
          <w:rFonts w:ascii="Arial" w:cs="Arial" w:eastAsia="Arial" w:hAnsi="Arial"/>
          <w:sz w:val="22"/>
          <w:szCs w:val="22"/>
        </w:rPr>
        <w:t xml:space="preserve">The project uses a fully open-source, Mac-compatible stack—no paid subscriptions required beyond Python itself.</w:t>
      </w:r>
    </w:p>
    <w:p>
      <w:pPr>
        <w:spacing w:after="12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Technology Used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Cleaning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3 + pandas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(via Python sqlite3)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Queries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 (window functions: LAG, AVG OVER)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Streamlit + Plotly (interactive, deployable)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Streamlit Cloud (free, public shareable URL)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Version Control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 + GitHub</w:t>
            </w:r>
          </w:p>
        </w:tc>
      </w:tr>
    </w:tbl>
    <w:p>
      <w:pPr>
        <w:pStyle w:val="Heading1"/>
        <w:spacing w:after="120" w:before="300"/>
      </w:pPr>
      <w:r>
        <w:rPr>
          <w:rFonts w:ascii="Arial" w:cs="Arial" w:eastAsia="Arial" w:hAnsi="Arial"/>
          <w:b/>
          <w:bCs/>
          <w:color w:val="1E3A5F"/>
          <w:sz w:val="28"/>
          <w:szCs w:val="28"/>
        </w:rPr>
        <w:t xml:space="preserve">4. Multi-AI Workflow</w:t>
      </w:r>
    </w:p>
    <w:p>
      <w:pPr>
        <w:spacing w:after="60" w:before="60"/>
      </w:pPr>
      <w:r>
        <w:rPr>
          <w:rFonts w:ascii="Arial" w:cs="Arial" w:eastAsia="Arial" w:hAnsi="Arial"/>
          <w:sz w:val="22"/>
          <w:szCs w:val="22"/>
        </w:rPr>
        <w:t xml:space="preserve">A key design goal was demonstrating how different AI tools are best used for different tasks—not just using one AI for everything. This mirrors how modern analytics professionals should operate.</w:t>
      </w:r>
    </w:p>
    <w:p>
      <w:pPr>
        <w:spacing w:after="12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960"/>
      </w:tblGrid>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AI Tool</w:t>
            </w:r>
          </w:p>
        </w:tc>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Why This Tool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Gemini (free)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generation prompt + business narrative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 ideation; free-tier access for non-coders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(Anthropic)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Python &amp; SQL code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Strongest for logic-heavy code, SQL, and structured outputs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Microsoft Copilot (free)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Documentation refinement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Integrated with Office tools for written outputs</w:t>
            </w:r>
          </w:p>
        </w:tc>
      </w:tr>
    </w:tbl>
    <w:p>
      <w:pPr>
        <w:pStyle w:val="Heading1"/>
        <w:spacing w:after="120" w:before="300"/>
      </w:pPr>
      <w:r>
        <w:rPr>
          <w:rFonts w:ascii="Arial" w:cs="Arial" w:eastAsia="Arial" w:hAnsi="Arial"/>
          <w:b/>
          <w:bCs/>
          <w:color w:val="1E3A5F"/>
          <w:sz w:val="28"/>
          <w:szCs w:val="28"/>
        </w:rPr>
        <w:t xml:space="preserve">5. Pipeline Walkthrough</w:t>
      </w:r>
    </w:p>
    <w:p>
      <w:pPr>
        <w:pStyle w:val="Heading2"/>
        <w:spacing w:after="80" w:before="200"/>
      </w:pPr>
      <w:r>
        <w:rPr>
          <w:rFonts w:ascii="Arial" w:cs="Arial" w:eastAsia="Arial" w:hAnsi="Arial"/>
          <w:b/>
          <w:bCs/>
          <w:color w:val="374151"/>
          <w:sz w:val="24"/>
          <w:szCs w:val="24"/>
        </w:rPr>
        <w:t xml:space="preserve">Step 1 — Generate Dummy Data (01_generate_data.py)</w:t>
      </w:r>
    </w:p>
    <w:p>
      <w:pPr>
        <w:spacing w:after="60" w:before="60"/>
      </w:pPr>
      <w:r>
        <w:rPr>
          <w:rFonts w:ascii="Arial" w:cs="Arial" w:eastAsia="Arial" w:hAnsi="Arial"/>
          <w:sz w:val="22"/>
          <w:szCs w:val="22"/>
        </w:rPr>
        <w:t xml:space="preserve">Creates 200 rows of General Ledger transactions and 80 Accounts Receivable invoices, intentionally seeded with every type of data quality issue found in real QuickBooks/Sage exports: mixed date formats, currency symbols in numeric fields, inconsistent account code formats, duplicate rows, and blank rows.</w:t>
      </w:r>
    </w:p>
    <w:p>
      <w:pPr>
        <w:pStyle w:val="Heading2"/>
        <w:spacing w:after="80" w:before="200"/>
      </w:pPr>
      <w:r>
        <w:rPr>
          <w:rFonts w:ascii="Arial" w:cs="Arial" w:eastAsia="Arial" w:hAnsi="Arial"/>
          <w:b/>
          <w:bCs/>
          <w:color w:val="374151"/>
          <w:sz w:val="24"/>
          <w:szCs w:val="24"/>
        </w:rPr>
        <w:t xml:space="preserve">Step 2 — Clean the Data (02_clean_data.py)</w:t>
      </w:r>
    </w:p>
    <w:p>
      <w:pPr>
        <w:spacing w:after="60" w:before="60"/>
      </w:pPr>
      <w:r>
        <w:rPr>
          <w:rFonts w:ascii="Arial" w:cs="Arial" w:eastAsia="Arial" w:hAnsi="Arial"/>
          <w:sz w:val="22"/>
          <w:szCs w:val="22"/>
        </w:rPr>
        <w:t xml:space="preserve">A pandas-based cleaning script standardises all data into analysis-ready format. Key operations:</w:t>
      </w:r>
    </w:p>
    <w:p>
      <w:pPr>
        <w:pStyle w:val="ListParagraph"/>
        <w:numPr>
          <w:ilvl w:val="0"/>
          <w:numId w:val="2"/>
        </w:numPr>
        <w:spacing w:after="40" w:before="40"/>
      </w:pPr>
      <w:r>
        <w:rPr>
          <w:rFonts w:ascii="Arial" w:cs="Arial" w:eastAsia="Arial" w:hAnsi="Arial"/>
          <w:sz w:val="22"/>
          <w:szCs w:val="22"/>
        </w:rPr>
        <w:t xml:space="preserve">Date parsing: handles all mixed formats, outputs YYYY-MM-DD</w:t>
      </w:r>
    </w:p>
    <w:p>
      <w:pPr>
        <w:pStyle w:val="ListParagraph"/>
        <w:numPr>
          <w:ilvl w:val="0"/>
          <w:numId w:val="2"/>
        </w:numPr>
        <w:spacing w:after="40" w:before="40"/>
      </w:pPr>
      <w:r>
        <w:rPr>
          <w:rFonts w:ascii="Arial" w:cs="Arial" w:eastAsia="Arial" w:hAnsi="Arial"/>
          <w:sz w:val="22"/>
          <w:szCs w:val="22"/>
        </w:rPr>
        <w:t xml:space="preserve">Amount cleaning: strips $ and commas, casts to float</w:t>
      </w:r>
    </w:p>
    <w:p>
      <w:pPr>
        <w:pStyle w:val="ListParagraph"/>
        <w:numPr>
          <w:ilvl w:val="0"/>
          <w:numId w:val="2"/>
        </w:numPr>
        <w:spacing w:after="40" w:before="40"/>
      </w:pPr>
      <w:r>
        <w:rPr>
          <w:rFonts w:ascii="Arial" w:cs="Arial" w:eastAsia="Arial" w:hAnsi="Arial"/>
          <w:sz w:val="22"/>
          <w:szCs w:val="22"/>
        </w:rPr>
        <w:t xml:space="preserve">Account code normalisation: strips ACC- prefix and whitespace</w:t>
      </w:r>
    </w:p>
    <w:p>
      <w:pPr>
        <w:pStyle w:val="ListParagraph"/>
        <w:numPr>
          <w:ilvl w:val="0"/>
          <w:numId w:val="2"/>
        </w:numPr>
        <w:spacing w:after="40" w:before="40"/>
      </w:pPr>
      <w:r>
        <w:rPr>
          <w:rFonts w:ascii="Arial" w:cs="Arial" w:eastAsia="Arial" w:hAnsi="Arial"/>
          <w:sz w:val="22"/>
          <w:szCs w:val="22"/>
        </w:rPr>
        <w:t xml:space="preserve">Duplicate and blank row removal</w:t>
      </w:r>
    </w:p>
    <w:p>
      <w:pPr>
        <w:pStyle w:val="ListParagraph"/>
        <w:numPr>
          <w:ilvl w:val="0"/>
          <w:numId w:val="2"/>
        </w:numPr>
        <w:spacing w:after="40" w:before="40"/>
      </w:pPr>
      <w:r>
        <w:rPr>
          <w:rFonts w:ascii="Arial" w:cs="Arial" w:eastAsia="Arial" w:hAnsi="Arial"/>
          <w:sz w:val="22"/>
          <w:szCs w:val="22"/>
        </w:rPr>
        <w:t xml:space="preserve">Title-case standardisation for all text fields</w:t>
      </w:r>
    </w:p>
    <w:p>
      <w:pPr>
        <w:spacing w:after="60" w:before="60"/>
      </w:pPr>
      <w:r>
        <w:rPr>
          <w:rFonts w:ascii="Arial" w:cs="Arial" w:eastAsia="Arial" w:hAnsi="Arial"/>
          <w:sz w:val="22"/>
          <w:szCs w:val="22"/>
        </w:rPr>
        <w:t xml:space="preserve">Result: 200 raw rows → 158 clean General Ledger rows. 80 raw AR rows → 61 clean AR rows.</w:t>
      </w:r>
    </w:p>
    <w:p>
      <w:pPr>
        <w:pStyle w:val="Heading2"/>
        <w:spacing w:after="80" w:before="200"/>
      </w:pPr>
      <w:r>
        <w:rPr>
          <w:rFonts w:ascii="Arial" w:cs="Arial" w:eastAsia="Arial" w:hAnsi="Arial"/>
          <w:b/>
          <w:bCs/>
          <w:color w:val="374151"/>
          <w:sz w:val="24"/>
          <w:szCs w:val="24"/>
        </w:rPr>
        <w:t xml:space="preserve">Step 3 — Build the Database (03_load_database.py)</w:t>
      </w:r>
    </w:p>
    <w:p>
      <w:pPr>
        <w:spacing w:after="60" w:before="60"/>
      </w:pPr>
      <w:r>
        <w:rPr>
          <w:rFonts w:ascii="Arial" w:cs="Arial" w:eastAsia="Arial" w:hAnsi="Arial"/>
          <w:sz w:val="22"/>
          <w:szCs w:val="22"/>
        </w:rPr>
        <w:t xml:space="preserve">Loads clean CSVs into a local SQLite database with two tables: general_ledger and accounts_receivable. SQLite requires no server setup—the database is a single portable file that travels with the project.</w:t>
      </w:r>
    </w:p>
    <w:p>
      <w:pPr>
        <w:pStyle w:val="Heading2"/>
        <w:spacing w:after="80" w:before="200"/>
      </w:pPr>
      <w:r>
        <w:rPr>
          <w:rFonts w:ascii="Arial" w:cs="Arial" w:eastAsia="Arial" w:hAnsi="Arial"/>
          <w:b/>
          <w:bCs/>
          <w:color w:val="374151"/>
          <w:sz w:val="24"/>
          <w:szCs w:val="24"/>
        </w:rPr>
        <w:t xml:space="preserve">Step 4 — Analytics Queries (04_analytics.py)</w:t>
      </w:r>
    </w:p>
    <w:p>
      <w:pPr>
        <w:spacing w:after="60" w:before="60"/>
      </w:pPr>
      <w:r>
        <w:rPr>
          <w:rFonts w:ascii="Arial" w:cs="Arial" w:eastAsia="Arial" w:hAnsi="Arial"/>
          <w:sz w:val="22"/>
          <w:szCs w:val="22"/>
        </w:rPr>
        <w:t xml:space="preserve">Six SQL queries produce the analytical outputs for the dashboard:</w:t>
      </w:r>
    </w:p>
    <w:p>
      <w:pPr>
        <w:pStyle w:val="ListParagraph"/>
        <w:numPr>
          <w:ilvl w:val="0"/>
          <w:numId w:val="2"/>
        </w:numPr>
        <w:spacing w:after="40" w:before="40"/>
      </w:pPr>
      <w:r>
        <w:rPr>
          <w:rFonts w:ascii="Arial" w:cs="Arial" w:eastAsia="Arial" w:hAnsi="Arial"/>
          <w:sz w:val="22"/>
          <w:szCs w:val="22"/>
        </w:rPr>
        <w:t xml:space="preserve">Monthly Revenue Summary (revenue accounts 4000, 4100)</w:t>
      </w:r>
    </w:p>
    <w:p>
      <w:pPr>
        <w:pStyle w:val="ListParagraph"/>
        <w:numPr>
          <w:ilvl w:val="0"/>
          <w:numId w:val="2"/>
        </w:numPr>
        <w:spacing w:after="40" w:before="40"/>
      </w:pPr>
      <w:r>
        <w:rPr>
          <w:rFonts w:ascii="Arial" w:cs="Arial" w:eastAsia="Arial" w:hAnsi="Arial"/>
          <w:sz w:val="22"/>
          <w:szCs w:val="22"/>
        </w:rPr>
        <w:t xml:space="preserve">Month-over-Month Revenue Variance using LAG() window function</w:t>
      </w:r>
    </w:p>
    <w:p>
      <w:pPr>
        <w:pStyle w:val="ListParagraph"/>
        <w:numPr>
          <w:ilvl w:val="0"/>
          <w:numId w:val="2"/>
        </w:numPr>
        <w:spacing w:after="40" w:before="40"/>
      </w:pPr>
      <w:r>
        <w:rPr>
          <w:rFonts w:ascii="Arial" w:cs="Arial" w:eastAsia="Arial" w:hAnsi="Arial"/>
          <w:sz w:val="22"/>
          <w:szCs w:val="22"/>
        </w:rPr>
        <w:t xml:space="preserve">3-Month Rolling Average on Net Cash Flow using AVG() OVER with ROWS BETWEEN</w:t>
      </w:r>
    </w:p>
    <w:p>
      <w:pPr>
        <w:pStyle w:val="ListParagraph"/>
        <w:numPr>
          <w:ilvl w:val="0"/>
          <w:numId w:val="2"/>
        </w:numPr>
        <w:spacing w:after="40" w:before="40"/>
      </w:pPr>
      <w:r>
        <w:rPr>
          <w:rFonts w:ascii="Arial" w:cs="Arial" w:eastAsia="Arial" w:hAnsi="Arial"/>
          <w:sz w:val="22"/>
          <w:szCs w:val="22"/>
        </w:rPr>
        <w:t xml:space="preserve">Monthly Expense Breakdown by account category</w:t>
      </w:r>
    </w:p>
    <w:p>
      <w:pPr>
        <w:pStyle w:val="ListParagraph"/>
        <w:numPr>
          <w:ilvl w:val="0"/>
          <w:numId w:val="2"/>
        </w:numPr>
        <w:spacing w:after="40" w:before="40"/>
      </w:pPr>
      <w:r>
        <w:rPr>
          <w:rFonts w:ascii="Arial" w:cs="Arial" w:eastAsia="Arial" w:hAnsi="Arial"/>
          <w:sz w:val="22"/>
          <w:szCs w:val="22"/>
        </w:rPr>
        <w:t xml:space="preserve">AR Aging Buckets: 0-30, 31-60, 61-90, 90+ days</w:t>
      </w:r>
    </w:p>
    <w:p>
      <w:pPr>
        <w:pStyle w:val="ListParagraph"/>
        <w:numPr>
          <w:ilvl w:val="0"/>
          <w:numId w:val="2"/>
        </w:numPr>
        <w:spacing w:after="40" w:before="40"/>
      </w:pPr>
      <w:r>
        <w:rPr>
          <w:rFonts w:ascii="Arial" w:cs="Arial" w:eastAsia="Arial" w:hAnsi="Arial"/>
          <w:sz w:val="22"/>
          <w:szCs w:val="22"/>
        </w:rPr>
        <w:t xml:space="preserve">Top 10 Customers by outstanding balance</w:t>
      </w:r>
    </w:p>
    <w:p>
      <w:pPr>
        <w:pStyle w:val="Heading2"/>
        <w:spacing w:after="80" w:before="200"/>
      </w:pPr>
      <w:r>
        <w:rPr>
          <w:rFonts w:ascii="Arial" w:cs="Arial" w:eastAsia="Arial" w:hAnsi="Arial"/>
          <w:b/>
          <w:bCs/>
          <w:color w:val="374151"/>
          <w:sz w:val="24"/>
          <w:szCs w:val="24"/>
        </w:rPr>
        <w:t xml:space="preserve">Step 5 — Executive Dashboard (05_dashboard.py)</w:t>
      </w:r>
    </w:p>
    <w:p>
      <w:pPr>
        <w:spacing w:after="60" w:before="60"/>
      </w:pPr>
      <w:r>
        <w:rPr>
          <w:rFonts w:ascii="Arial" w:cs="Arial" w:eastAsia="Arial" w:hAnsi="Arial"/>
          <w:sz w:val="22"/>
          <w:szCs w:val="22"/>
        </w:rPr>
        <w:t xml:space="preserve">A Streamlit application with Plotly charts, deployed to a public URL via Streamlit Cloud. The dashboard includes KPI summary cards at the top (Total Revenue, Total Expenses, Net Cash Flow, Outstanding AR), followed by five interactive charts and a ranked customer table. The entire app is built in plain Python—no drag-and-drop BI tool required.</w:t>
      </w:r>
    </w:p>
    <w:p>
      <w:pPr>
        <w:pStyle w:val="Heading1"/>
        <w:spacing w:after="120" w:before="300"/>
      </w:pPr>
      <w:r>
        <w:rPr>
          <w:rFonts w:ascii="Arial" w:cs="Arial" w:eastAsia="Arial" w:hAnsi="Arial"/>
          <w:b/>
          <w:bCs/>
          <w:color w:val="1E3A5F"/>
          <w:sz w:val="28"/>
          <w:szCs w:val="28"/>
        </w:rPr>
        <w:t xml:space="preserve">6. Skills Demonstrated</w:t>
      </w:r>
    </w:p>
    <w:p>
      <w:pPr>
        <w:spacing w:after="12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Skill Area</w:t>
            </w:r>
          </w:p>
        </w:tc>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Demonstrated By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Financial Domain Knowledge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Correct GL account classifications, AR aging buckets, MoM variance interpretation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Engineering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ETL pipeline: raw → clean → database → analytics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(pandas)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 parsing, type cleaning, deduplication, derived columns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 Analytics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Window functions (LAG, AVG OVER ROWS BETWEEN), CASE expressions, aggregations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Visualisation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Streamlit + Plotly: KPI cards, bar, line, horizontal bar charts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Tooling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Multi-AI workflow with Claude, Gemini, and Copilot for different tasks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Streamlit Cloud free deployment with public shareable URL</w:t>
            </w:r>
          </w:p>
        </w:tc>
      </w:tr>
    </w:tbl>
    <w:p>
      <w:pPr>
        <w:pStyle w:val="Heading1"/>
        <w:spacing w:after="120" w:before="300"/>
      </w:pPr>
      <w:r>
        <w:rPr>
          <w:rFonts w:ascii="Arial" w:cs="Arial" w:eastAsia="Arial" w:hAnsi="Arial"/>
          <w:b/>
          <w:bCs/>
          <w:color w:val="1E3A5F"/>
          <w:sz w:val="28"/>
          <w:szCs w:val="28"/>
        </w:rPr>
        <w:t xml:space="preserve">7. Business Value</w:t>
      </w:r>
    </w:p>
    <w:p>
      <w:pPr>
        <w:spacing w:after="60" w:before="60"/>
      </w:pPr>
      <w:r>
        <w:rPr>
          <w:rFonts w:ascii="Arial" w:cs="Arial" w:eastAsia="Arial" w:hAnsi="Arial"/>
          <w:sz w:val="22"/>
          <w:szCs w:val="22"/>
        </w:rPr>
        <w:t xml:space="preserve">For a 12-person accounting firm like Northgate Advisory Partners, this pipeline replaces a process that typically takes 4-6 hours of manual work per month—downloading exports, reformatting dates, reconciling account codes, building pivot tables—with a 2-minute automated run that produces a live, always-current dashboard.</w:t>
      </w:r>
    </w:p>
    <w:p>
      <w:pPr>
        <w:spacing w:after="60" w:before="60"/>
      </w:pPr>
      <w:r>
        <w:rPr>
          <w:rFonts w:ascii="Arial" w:cs="Arial" w:eastAsia="Arial" w:hAnsi="Arial"/>
          <w:sz w:val="22"/>
          <w:szCs w:val="22"/>
        </w:rPr>
        <w:t xml:space="preserve">The same pipeline can be adapted for any client running QuickBooks, Sage, or Xero by simply swapping the input CSVs. The cleaning rules and SQL queries require minimal adjustment because the underlying financial logic (GL accounts, AR aging, revenue recognition) is standardised.</w:t>
      </w:r>
    </w:p>
    <w:p>
      <w:pPr>
        <w:spacing w:after="60" w:before="60"/>
      </w:pPr>
      <w:r>
        <w:rPr>
          <w:rFonts w:ascii="Arial" w:cs="Arial" w:eastAsia="Arial" w:hAnsi="Arial"/>
          <w:sz w:val="22"/>
          <w:szCs w:val="22"/>
        </w:rPr>
        <w:t xml:space="preserve">This directly mirrors work done for 5-10 clients at ATE Associates, where Power BI dashboards were built on top of Tally and Excel data sources. This project replaces the BI dependency with a fully code-based, deployable alternative.</w:t>
      </w:r>
    </w:p>
    <w:p>
      <w:pPr>
        <w:pStyle w:val="Heading1"/>
        <w:spacing w:after="120" w:before="300"/>
      </w:pPr>
      <w:r>
        <w:rPr>
          <w:rFonts w:ascii="Arial" w:cs="Arial" w:eastAsia="Arial" w:hAnsi="Arial"/>
          <w:b/>
          <w:bCs/>
          <w:color w:val="1E3A5F"/>
          <w:sz w:val="28"/>
          <w:szCs w:val="28"/>
        </w:rPr>
        <w:t xml:space="preserve">8. How to Run</w:t>
      </w:r>
    </w:p>
    <w:p>
      <w:pPr>
        <w:spacing w:after="60" w:before="60"/>
      </w:pPr>
      <w:r>
        <w:rPr>
          <w:rFonts w:ascii="Arial" w:cs="Arial" w:eastAsia="Arial" w:hAnsi="Arial"/>
          <w:sz w:val="22"/>
          <w:szCs w:val="22"/>
        </w:rPr>
        <w:t xml:space="preserve">Prerequisites: Python 3.9+, pip</w:t>
      </w:r>
    </w:p>
    <w:p>
      <w:pPr>
        <w:shd w:fill="F3F4F6" w:val="clear"/>
        <w:spacing w:after="80" w:before="80"/>
      </w:pPr>
      <w:r>
        <w:rPr>
          <w:rFonts w:ascii="Courier New" w:cs="Courier New" w:eastAsia="Courier New" w:hAnsi="Courier New"/>
          <w:sz w:val="20"/>
          <w:szCs w:val="20"/>
        </w:rPr>
        <w:t xml:space="preserve">pip install -r requirements.txt</w:t>
      </w:r>
    </w:p>
    <w:p>
      <w:pPr>
        <w:spacing w:after="60" w:before="60"/>
      </w:pPr>
      <w:r>
        <w:rPr>
          <w:rFonts w:ascii="Arial" w:cs="Arial" w:eastAsia="Arial" w:hAnsi="Arial"/>
          <w:sz w:val="22"/>
          <w:szCs w:val="22"/>
        </w:rPr>
        <w:t xml:space="preserve">Then run in sequence:</w:t>
      </w:r>
    </w:p>
    <w:p>
      <w:pPr>
        <w:shd w:fill="F3F4F6" w:val="clear"/>
        <w:spacing w:after="80" w:before="80"/>
      </w:pPr>
      <w:r>
        <w:rPr>
          <w:rFonts w:ascii="Courier New" w:cs="Courier New" w:eastAsia="Courier New" w:hAnsi="Courier New"/>
          <w:sz w:val="20"/>
          <w:szCs w:val="20"/>
        </w:rPr>
        <w:t xml:space="preserve">python scripts/01_generate_data.py
python scripts/02_clean_data.py
python scripts/03_load_database.py
python scripts/04_analytics.py
streamlit run scripts/05_dashboard.py</w:t>
      </w:r>
    </w:p>
    <w:p>
      <w:pPr>
        <w:spacing w:after="60" w:before="60"/>
      </w:pPr>
      <w:r>
        <w:rPr>
          <w:rFonts w:ascii="Arial" w:cs="Arial" w:eastAsia="Arial" w:hAnsi="Arial"/>
          <w:sz w:val="22"/>
          <w:szCs w:val="22"/>
        </w:rPr>
        <w:t xml:space="preserve">The dashboard opens at http://localhost:8501. To share publicly, push to GitHub and deploy via share.streamlit.io (free, no credit card required).</w:t>
      </w:r>
    </w:p>
    <w:p>
      <w:pPr>
        <w:pBdr>
          <w:top w:val="single" w:color="D1D5DB" w:sz="4" w:space="1"/>
        </w:pBdr>
        <w:spacing w:before="480"/>
        <w:jc w:val="center"/>
      </w:pPr>
      <w:r>
        <w:rPr>
          <w:rFonts w:ascii="Arial" w:cs="Arial" w:eastAsia="Arial" w:hAnsi="Arial"/>
          <w:color w:val="6B7280"/>
          <w:sz w:val="18"/>
          <w:szCs w:val="18"/>
        </w:rPr>
        <w:t xml:space="preserve">Arun Prabakar Vadaseri Rajendran  •  vr.arunprabakar@gmail.com  •  +1 (343) 548-1787</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after="120"/>
    </w:pPr>
    <w:r>
      <w:rPr>
        <w:rFonts w:ascii="Arial" w:cs="Arial" w:eastAsia="Arial" w:hAnsi="Arial"/>
        <w:color w:val="6B7280"/>
        <w:sz w:val="18"/>
        <w:szCs w:val="18"/>
      </w:rPr>
      <w:t xml:space="preserve">Portfolio Project 1 — Arun Prabakar Vadaseri Rajendran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pPr>
    <w:rPr>
      <w:rFonts w:ascii="Arial" w:cs="Arial" w:eastAsia="Arial" w:hAnsi="Arial"/>
      <w:b/>
      <w:bCs/>
      <w:color w:val="1E3A5F"/>
      <w:sz w:val="28"/>
      <w:szCs w:val="28"/>
    </w:rPr>
  </w:style>
  <w:style w:type="paragraph" w:styleId="Heading2">
    <w:name w:val="Heading 2"/>
    <w:basedOn w:val="Normal"/>
    <w:next w:val="Normal"/>
    <w:qFormat/>
    <w:pPr>
      <w:spacing w:after="80" w:before="20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2026-06-04T01:37:09.346Z</dcterms:created>
  <dcterms:modified xsi:type="dcterms:W3CDTF">2026-06-04T01:37:09.346Z</dcterms:modified>
</cp:coreProperties>
</file>

<file path=docProps/custom.xml><?xml version="1.0" encoding="utf-8"?>
<Properties xmlns="http://schemas.openxmlformats.org/officeDocument/2006/custom-properties" xmlns:vt="http://schemas.openxmlformats.org/officeDocument/2006/docPropsVTypes"/>
</file>