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GLOBAL COMPLIANCE MANAGEMENT</w:t>
        <w:br/>
        <w:t>SYSTEM SPECIFICATION</w:t>
      </w:r>
    </w:p>
    <w:p>
      <w:pPr>
        <w:jc w:val="center"/>
      </w:pPr>
      <w:r>
        <w:rPr>
          <w:color w:val="505050"/>
          <w:sz w:val="32"/>
        </w:rPr>
        <w:t>Corporate Secretarial System (CSS)</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F4E78"/>
          </w:tcPr>
          <w:p>
            <w:r/>
            <w:r>
              <w:rPr>
                <w:b/>
                <w:color w:val="FFFFFF"/>
                <w:sz w:val="18"/>
              </w:rPr>
              <w:t>Document Item</w:t>
            </w:r>
          </w:p>
        </w:tc>
        <w:tc>
          <w:tcPr>
            <w:tcW w:type="dxa" w:w="6912"/>
            <w:vAlign w:val="center"/>
            <w:shd w:fill="1F4E78"/>
          </w:tcPr>
          <w:p>
            <w:r/>
            <w:r>
              <w:rPr>
                <w:b/>
                <w:color w:val="FFFFFF"/>
                <w:sz w:val="18"/>
              </w:rPr>
              <w:t>Value</w:t>
            </w:r>
          </w:p>
        </w:tc>
      </w:tr>
      <w:tr>
        <w:tc>
          <w:tcPr>
            <w:tcW w:type="dxa" w:w="3024"/>
            <w:vAlign w:val="center"/>
          </w:tcPr>
          <w:p>
            <w:r/>
            <w:r>
              <w:rPr>
                <w:b w:val="0"/>
                <w:sz w:val="18"/>
              </w:rPr>
              <w:t>Document Type</w:t>
            </w:r>
          </w:p>
        </w:tc>
        <w:tc>
          <w:tcPr>
            <w:tcW w:type="dxa" w:w="6912"/>
            <w:vAlign w:val="center"/>
          </w:tcPr>
          <w:p>
            <w:r/>
            <w:r>
              <w:rPr>
                <w:b w:val="0"/>
                <w:sz w:val="18"/>
              </w:rPr>
              <w:t>Functional and Technical Specification</w:t>
            </w:r>
          </w:p>
        </w:tc>
      </w:tr>
      <w:tr>
        <w:tc>
          <w:tcPr>
            <w:tcW w:type="dxa" w:w="3024"/>
            <w:vAlign w:val="center"/>
            <w:shd w:fill="F3F6F9"/>
          </w:tcPr>
          <w:p>
            <w:r/>
            <w:r>
              <w:rPr>
                <w:b w:val="0"/>
                <w:sz w:val="18"/>
              </w:rPr>
              <w:t>Primary Scope</w:t>
            </w:r>
          </w:p>
        </w:tc>
        <w:tc>
          <w:tcPr>
            <w:tcW w:type="dxa" w:w="6912"/>
            <w:vAlign w:val="center"/>
            <w:shd w:fill="F3F6F9"/>
          </w:tcPr>
          <w:p>
            <w:r/>
            <w:r>
              <w:rPr>
                <w:b w:val="0"/>
                <w:sz w:val="18"/>
              </w:rPr>
              <w:t>Country-agnostic corporate compliance calendar, filings, reminders and evidence management</w:t>
            </w:r>
          </w:p>
        </w:tc>
      </w:tr>
      <w:tr>
        <w:tc>
          <w:tcPr>
            <w:tcW w:type="dxa" w:w="3024"/>
            <w:vAlign w:val="center"/>
          </w:tcPr>
          <w:p>
            <w:r/>
            <w:r>
              <w:rPr>
                <w:b w:val="0"/>
                <w:sz w:val="18"/>
              </w:rPr>
              <w:t>Target Users</w:t>
            </w:r>
          </w:p>
        </w:tc>
        <w:tc>
          <w:tcPr>
            <w:tcW w:type="dxa" w:w="6912"/>
            <w:vAlign w:val="center"/>
          </w:tcPr>
          <w:p>
            <w:r/>
            <w:r>
              <w:rPr>
                <w:b w:val="0"/>
                <w:sz w:val="18"/>
              </w:rPr>
              <w:t>Corporate secretarial firms, compliance teams, company administrators, tax teams and external clients</w:t>
            </w:r>
          </w:p>
        </w:tc>
      </w:tr>
      <w:tr>
        <w:tc>
          <w:tcPr>
            <w:tcW w:type="dxa" w:w="3024"/>
            <w:vAlign w:val="center"/>
            <w:shd w:fill="F3F6F9"/>
          </w:tcPr>
          <w:p>
            <w:r/>
            <w:r>
              <w:rPr>
                <w:b w:val="0"/>
                <w:sz w:val="18"/>
              </w:rPr>
              <w:t>Coverage</w:t>
            </w:r>
          </w:p>
        </w:tc>
        <w:tc>
          <w:tcPr>
            <w:tcW w:type="dxa" w:w="6912"/>
            <w:vAlign w:val="center"/>
            <w:shd w:fill="F3F6F9"/>
          </w:tcPr>
          <w:p>
            <w:r/>
            <w:r>
              <w:rPr>
                <w:b w:val="0"/>
                <w:sz w:val="18"/>
              </w:rPr>
              <w:t>All jurisdictions through configurable country, authority, entity-type and compliance rules</w:t>
            </w:r>
          </w:p>
        </w:tc>
      </w:tr>
      <w:tr>
        <w:tc>
          <w:tcPr>
            <w:tcW w:type="dxa" w:w="3024"/>
            <w:vAlign w:val="center"/>
          </w:tcPr>
          <w:p>
            <w:r/>
            <w:r>
              <w:rPr>
                <w:b w:val="0"/>
                <w:sz w:val="18"/>
              </w:rPr>
              <w:t>Version</w:t>
            </w:r>
          </w:p>
        </w:tc>
        <w:tc>
          <w:tcPr>
            <w:tcW w:type="dxa" w:w="6912"/>
            <w:vAlign w:val="center"/>
          </w:tcPr>
          <w:p>
            <w:r/>
            <w:r>
              <w:rPr>
                <w:b w:val="0"/>
                <w:sz w:val="18"/>
              </w:rPr>
              <w:t>1.0</w:t>
            </w:r>
          </w:p>
        </w:tc>
      </w:tr>
      <w:tr>
        <w:tc>
          <w:tcPr>
            <w:tcW w:type="dxa" w:w="3024"/>
            <w:vAlign w:val="center"/>
            <w:shd w:fill="F3F6F9"/>
          </w:tcPr>
          <w:p>
            <w:r/>
            <w:r>
              <w:rPr>
                <w:b w:val="0"/>
                <w:sz w:val="18"/>
              </w:rPr>
              <w:t>Status</w:t>
            </w:r>
          </w:p>
        </w:tc>
        <w:tc>
          <w:tcPr>
            <w:tcW w:type="dxa" w:w="6912"/>
            <w:vAlign w:val="center"/>
            <w:shd w:fill="F3F6F9"/>
          </w:tcPr>
          <w:p>
            <w:r/>
            <w:r>
              <w:rPr>
                <w:b w:val="0"/>
                <w:sz w:val="18"/>
              </w:rPr>
              <w:t>Baseline specification for design and development</w:t>
            </w:r>
          </w:p>
        </w:tc>
      </w:tr>
    </w:tbl>
    <w:p/>
    <w:p>
      <w:pPr>
        <w:jc w:val="center"/>
      </w:pPr>
      <w:r>
        <w:rPr>
          <w:i/>
          <w:color w:val="AA3C28"/>
          <w:sz w:val="18"/>
        </w:rPr>
        <w:t>Important: This specification defines a configurable software framework. It is not a legal opinion and must not be used as a permanent statutory deadline table. Every jurisdictional rule must be verified, versioned and approved by an authorized legal/compliance reviewer before activation.</w:t>
      </w:r>
    </w:p>
    <w:p>
      <w:r>
        <w:br w:type="page"/>
      </w:r>
    </w:p>
    <w:p>
      <w:pPr>
        <w:pStyle w:val="Heading1"/>
      </w:pPr>
      <w:r>
        <w:t>Document Contents</w:t>
      </w:r>
    </w:p>
    <w:p>
      <w:pPr>
        <w:pStyle w:val="ListNumber"/>
      </w:pPr>
      <w:r>
        <w:t>Purpose and objectives</w:t>
      </w:r>
    </w:p>
    <w:p>
      <w:pPr>
        <w:pStyle w:val="ListNumber"/>
      </w:pPr>
      <w:r>
        <w:t>Scope and guiding principles</w:t>
      </w:r>
    </w:p>
    <w:p>
      <w:pPr>
        <w:pStyle w:val="ListNumber"/>
      </w:pPr>
      <w:r>
        <w:t>Users and roles</w:t>
      </w:r>
    </w:p>
    <w:p>
      <w:pPr>
        <w:pStyle w:val="ListNumber"/>
      </w:pPr>
      <w:r>
        <w:t>Compliance taxonomy</w:t>
      </w:r>
    </w:p>
    <w:p>
      <w:pPr>
        <w:pStyle w:val="ListNumber"/>
      </w:pPr>
      <w:r>
        <w:t>Global rule-engine design</w:t>
      </w:r>
    </w:p>
    <w:p>
      <w:pPr>
        <w:pStyle w:val="ListNumber"/>
      </w:pPr>
      <w:r>
        <w:t>Due-date calculation specification</w:t>
      </w:r>
    </w:p>
    <w:p>
      <w:pPr>
        <w:pStyle w:val="ListNumber"/>
      </w:pPr>
      <w:r>
        <w:t>Extension, grace and waiver logic</w:t>
      </w:r>
    </w:p>
    <w:p>
      <w:pPr>
        <w:pStyle w:val="ListNumber"/>
      </w:pPr>
      <w:r>
        <w:t>Reminder and escalation logic</w:t>
      </w:r>
    </w:p>
    <w:p>
      <w:pPr>
        <w:pStyle w:val="ListNumber"/>
      </w:pPr>
      <w:r>
        <w:t>Company onboarding and calendar generation</w:t>
      </w:r>
    </w:p>
    <w:p>
      <w:pPr>
        <w:pStyle w:val="ListNumber"/>
      </w:pPr>
      <w:r>
        <w:t>Compliance workflow and statuses</w:t>
      </w:r>
    </w:p>
    <w:p>
      <w:pPr>
        <w:pStyle w:val="ListNumber"/>
      </w:pPr>
      <w:r>
        <w:t>Country rule-pack design</w:t>
      </w:r>
    </w:p>
    <w:p>
      <w:pPr>
        <w:pStyle w:val="ListNumber"/>
      </w:pPr>
      <w:r>
        <w:t>Data model</w:t>
      </w:r>
    </w:p>
    <w:p>
      <w:pPr>
        <w:pStyle w:val="ListNumber"/>
      </w:pPr>
      <w:r>
        <w:t>APIs and services</w:t>
      </w:r>
    </w:p>
    <w:p>
      <w:pPr>
        <w:pStyle w:val="ListNumber"/>
      </w:pPr>
      <w:r>
        <w:t>User interface specification</w:t>
      </w:r>
    </w:p>
    <w:p>
      <w:pPr>
        <w:pStyle w:val="ListNumber"/>
      </w:pPr>
      <w:r>
        <w:t>Notifications and document management</w:t>
      </w:r>
    </w:p>
    <w:p>
      <w:pPr>
        <w:pStyle w:val="ListNumber"/>
      </w:pPr>
      <w:r>
        <w:t>Audit, security and permissions</w:t>
      </w:r>
    </w:p>
    <w:p>
      <w:pPr>
        <w:pStyle w:val="ListNumber"/>
      </w:pPr>
      <w:r>
        <w:t>Reporting and dashboards</w:t>
      </w:r>
    </w:p>
    <w:p>
      <w:pPr>
        <w:pStyle w:val="ListNumber"/>
      </w:pPr>
      <w:r>
        <w:t>Exceptions and recalculation</w:t>
      </w:r>
    </w:p>
    <w:p>
      <w:pPr>
        <w:pStyle w:val="ListNumber"/>
      </w:pPr>
      <w:r>
        <w:t>Non-functional requirements</w:t>
      </w:r>
    </w:p>
    <w:p>
      <w:pPr>
        <w:pStyle w:val="ListNumber"/>
      </w:pPr>
      <w:r>
        <w:t>Acceptance criteria and implementation phases</w:t>
      </w:r>
    </w:p>
    <w:p>
      <w:r>
        <w:br w:type="page"/>
      </w:r>
    </w:p>
    <w:p>
      <w:pPr>
        <w:pStyle w:val="Heading1"/>
      </w:pPr>
      <w:r>
        <w:t>1. Purpose and Objectives</w:t>
      </w:r>
    </w:p>
    <w:p>
      <w:r>
        <w:t>The CSS compliance module shall provide one global framework for identifying, generating, tracking, extending, reminding, completing and evidencing statutory and internal corporate obligations. Country-specific behaviour must be delivered through configurable rule packs rather than separate hard-coded applications.</w:t>
      </w:r>
    </w:p>
    <w:p>
      <w:pPr>
        <w:pStyle w:val="ListBullet"/>
      </w:pPr>
      <w:r>
        <w:t>Automatically determine applicable compliances from country, jurisdiction, entity type, registrations, regulated activities and company attributes.</w:t>
      </w:r>
    </w:p>
    <w:p>
      <w:pPr>
        <w:pStyle w:val="ListBullet"/>
      </w:pPr>
      <w:r>
        <w:t>Generate statutory and internal compliance calendars with reproducible due-date calculations.</w:t>
      </w:r>
    </w:p>
    <w:p>
      <w:pPr>
        <w:pStyle w:val="ListBullet"/>
      </w:pPr>
      <w:r>
        <w:t>Support annual, periodic, event-driven, one-time, licence-based and ad hoc obligations.</w:t>
      </w:r>
    </w:p>
    <w:p>
      <w:pPr>
        <w:pStyle w:val="ListBullet"/>
      </w:pPr>
      <w:r>
        <w:t>Manage extension requests, approved extended dates, waivers, exemptions, grace periods and penalties without losing the original statutory deadline.</w:t>
      </w:r>
    </w:p>
    <w:p>
      <w:pPr>
        <w:pStyle w:val="ListBullet"/>
      </w:pPr>
      <w:r>
        <w:t>Issue reminders and escalations to responsible persons, managers, directors and clients.</w:t>
      </w:r>
    </w:p>
    <w:p>
      <w:pPr>
        <w:pStyle w:val="ListBullet"/>
      </w:pPr>
      <w:r>
        <w:t>Maintain filing documents, acknowledgements, receipts and a complete audit trail.</w:t>
      </w:r>
    </w:p>
    <w:p>
      <w:pPr>
        <w:pStyle w:val="ListBullet"/>
      </w:pPr>
      <w:r>
        <w:t>Allow legal teams to publish versioned rules with effective dates and controlled approval.</w:t>
      </w:r>
    </w:p>
    <w:p>
      <w:pPr>
        <w:pStyle w:val="Heading1"/>
      </w:pPr>
      <w:r>
        <w:t>2. Scope and Guiding Principles</w:t>
      </w:r>
    </w:p>
    <w:p>
      <w:pPr>
        <w:pStyle w:val="Heading2"/>
      </w:pPr>
      <w:r>
        <w:t>2.1 In Scope</w:t>
      </w:r>
    </w:p>
    <w:p>
      <w:pPr>
        <w:pStyle w:val="ListBullet"/>
      </w:pPr>
      <w:r>
        <w:t>Corporate, tax, accounting, audit, beneficial ownership, licences, permits, employment, data-protection and regulated-industry obligations.</w:t>
      </w:r>
    </w:p>
    <w:p>
      <w:pPr>
        <w:pStyle w:val="ListBullet"/>
      </w:pPr>
      <w:r>
        <w:t>Country, state/province, free-zone, municipality and authority-specific rules.</w:t>
      </w:r>
    </w:p>
    <w:p>
      <w:pPr>
        <w:pStyle w:val="ListBullet"/>
      </w:pPr>
      <w:r>
        <w:t>Parent company, subsidiary, branch, partnership, foundation, trust, non-profit and other legal-entity types.</w:t>
      </w:r>
    </w:p>
    <w:p>
      <w:pPr>
        <w:pStyle w:val="ListBullet"/>
      </w:pPr>
      <w:r>
        <w:t>Due dates, internal target dates, reminders, escalations, extensions, exemptions, waivers, evidence and reporting.</w:t>
      </w:r>
    </w:p>
    <w:p>
      <w:pPr>
        <w:pStyle w:val="ListBullet"/>
      </w:pPr>
      <w:r>
        <w:t>Multi-company and multi-tenant operation.</w:t>
      </w:r>
    </w:p>
    <w:p>
      <w:pPr>
        <w:pStyle w:val="Heading2"/>
      </w:pPr>
      <w:r>
        <w:t>2.2 Out of Scope for Initial Release</w:t>
      </w:r>
    </w:p>
    <w:p>
      <w:pPr>
        <w:pStyle w:val="ListBullet"/>
      </w:pPr>
      <w:r>
        <w:t>Automatic legal interpretation of unstructured laws without human review.</w:t>
      </w:r>
    </w:p>
    <w:p>
      <w:pPr>
        <w:pStyle w:val="ListBullet"/>
      </w:pPr>
      <w:r>
        <w:t>Authority portal submission where no approved integration exists.</w:t>
      </w:r>
    </w:p>
    <w:p>
      <w:pPr>
        <w:pStyle w:val="ListBullet"/>
      </w:pPr>
      <w:r>
        <w:t>Penalty computation where official formulas or required source data are unavailable.</w:t>
      </w:r>
    </w:p>
    <w:p>
      <w:pPr>
        <w:pStyle w:val="ListBullet"/>
      </w:pPr>
      <w:r>
        <w:t>Legal advice or confirmation that a filing satisfies every jurisdictional requirement.</w:t>
      </w:r>
    </w:p>
    <w:p>
      <w:pPr>
        <w:pStyle w:val="Heading2"/>
      </w:pPr>
      <w:r>
        <w:t>2.3 Design Principles</w:t>
      </w:r>
    </w:p>
    <w:p>
      <w:pPr>
        <w:pStyle w:val="ListBullet"/>
      </w:pPr>
      <w:r>
        <w:t>Configuration over hard coding.</w:t>
      </w:r>
    </w:p>
    <w:p>
      <w:pPr>
        <w:pStyle w:val="ListBullet"/>
      </w:pPr>
      <w:r>
        <w:t>Original statutory date is immutable.</w:t>
      </w:r>
    </w:p>
    <w:p>
      <w:pPr>
        <w:pStyle w:val="ListBullet"/>
      </w:pPr>
      <w:r>
        <w:t>Every generated event must explain which rule version produced it.</w:t>
      </w:r>
    </w:p>
    <w:p>
      <w:pPr>
        <w:pStyle w:val="ListBullet"/>
      </w:pPr>
      <w:r>
        <w:t>Country rules are effective-dated and approval-controlled.</w:t>
      </w:r>
    </w:p>
    <w:p>
      <w:pPr>
        <w:pStyle w:val="ListBullet"/>
      </w:pPr>
      <w:r>
        <w:t>Applicability and due-date calculation are separate steps.</w:t>
      </w:r>
    </w:p>
    <w:p>
      <w:pPr>
        <w:pStyle w:val="ListBullet"/>
      </w:pPr>
      <w:r>
        <w:t>Statutory deadline, operational deadline and reminder schedule are separate concepts.</w:t>
      </w:r>
    </w:p>
    <w:p>
      <w:pPr>
        <w:pStyle w:val="ListBullet"/>
      </w:pPr>
      <w:r>
        <w:t>All recalculations are auditable and must not silently alter completed filings.</w:t>
      </w:r>
    </w:p>
    <w:p>
      <w:pPr>
        <w:pStyle w:val="Heading1"/>
      </w:pPr>
      <w:r>
        <w:t>3. Users and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Role</w:t>
            </w:r>
          </w:p>
        </w:tc>
        <w:tc>
          <w:tcPr>
            <w:tcW w:type="dxa" w:w="7200"/>
            <w:vAlign w:val="center"/>
            <w:shd w:fill="1F4E78"/>
          </w:tcPr>
          <w:p>
            <w:r/>
            <w:r>
              <w:rPr>
                <w:b/>
                <w:color w:val="FFFFFF"/>
                <w:sz w:val="18"/>
              </w:rPr>
              <w:t>Primary Responsibilities</w:t>
            </w:r>
          </w:p>
        </w:tc>
      </w:tr>
      <w:tr>
        <w:tc>
          <w:tcPr>
            <w:tcW w:type="dxa" w:w="2880"/>
            <w:vAlign w:val="center"/>
          </w:tcPr>
          <w:p>
            <w:r/>
            <w:r>
              <w:rPr>
                <w:b w:val="0"/>
                <w:sz w:val="17"/>
              </w:rPr>
              <w:t>Global System Administrator</w:t>
            </w:r>
          </w:p>
        </w:tc>
        <w:tc>
          <w:tcPr>
            <w:tcW w:type="dxa" w:w="7200"/>
            <w:vAlign w:val="center"/>
          </w:tcPr>
          <w:p>
            <w:r/>
            <w:r>
              <w:rPr>
                <w:b w:val="0"/>
                <w:sz w:val="17"/>
              </w:rPr>
              <w:t>Platform configuration, tenants, global security and service settings.</w:t>
            </w:r>
          </w:p>
        </w:tc>
      </w:tr>
      <w:tr>
        <w:tc>
          <w:tcPr>
            <w:tcW w:type="dxa" w:w="2880"/>
            <w:vAlign w:val="center"/>
            <w:shd w:fill="F3F6F9"/>
          </w:tcPr>
          <w:p>
            <w:r/>
            <w:r>
              <w:rPr>
                <w:b w:val="0"/>
                <w:sz w:val="17"/>
              </w:rPr>
              <w:t>Compliance Rule Administrator</w:t>
            </w:r>
          </w:p>
        </w:tc>
        <w:tc>
          <w:tcPr>
            <w:tcW w:type="dxa" w:w="7200"/>
            <w:vAlign w:val="center"/>
            <w:shd w:fill="F3F6F9"/>
          </w:tcPr>
          <w:p>
            <w:r/>
            <w:r>
              <w:rPr>
                <w:b w:val="0"/>
                <w:sz w:val="17"/>
              </w:rPr>
              <w:t>Creates rule packs, formulas, conditions, reminder profiles and effective dates.</w:t>
            </w:r>
          </w:p>
        </w:tc>
      </w:tr>
      <w:tr>
        <w:tc>
          <w:tcPr>
            <w:tcW w:type="dxa" w:w="2880"/>
            <w:vAlign w:val="center"/>
          </w:tcPr>
          <w:p>
            <w:r/>
            <w:r>
              <w:rPr>
                <w:b w:val="0"/>
                <w:sz w:val="17"/>
              </w:rPr>
              <w:t>Legal/Compliance Approver</w:t>
            </w:r>
          </w:p>
        </w:tc>
        <w:tc>
          <w:tcPr>
            <w:tcW w:type="dxa" w:w="7200"/>
            <w:vAlign w:val="center"/>
          </w:tcPr>
          <w:p>
            <w:r/>
            <w:r>
              <w:rPr>
                <w:b w:val="0"/>
                <w:sz w:val="17"/>
              </w:rPr>
              <w:t>Reviews and publishes rule versions.</w:t>
            </w:r>
          </w:p>
        </w:tc>
      </w:tr>
      <w:tr>
        <w:tc>
          <w:tcPr>
            <w:tcW w:type="dxa" w:w="2880"/>
            <w:vAlign w:val="center"/>
            <w:shd w:fill="F3F6F9"/>
          </w:tcPr>
          <w:p>
            <w:r/>
            <w:r>
              <w:rPr>
                <w:b w:val="0"/>
                <w:sz w:val="17"/>
              </w:rPr>
              <w:t>Company Secretary / Compliance Manager</w:t>
            </w:r>
          </w:p>
        </w:tc>
        <w:tc>
          <w:tcPr>
            <w:tcW w:type="dxa" w:w="7200"/>
            <w:vAlign w:val="center"/>
            <w:shd w:fill="F3F6F9"/>
          </w:tcPr>
          <w:p>
            <w:r/>
            <w:r>
              <w:rPr>
                <w:b w:val="0"/>
                <w:sz w:val="17"/>
              </w:rPr>
              <w:t>Owns portfolios, assigns work, approves extensions and monitors risk.</w:t>
            </w:r>
          </w:p>
        </w:tc>
      </w:tr>
      <w:tr>
        <w:tc>
          <w:tcPr>
            <w:tcW w:type="dxa" w:w="2880"/>
            <w:vAlign w:val="center"/>
          </w:tcPr>
          <w:p>
            <w:r/>
            <w:r>
              <w:rPr>
                <w:b w:val="0"/>
                <w:sz w:val="17"/>
              </w:rPr>
              <w:t>Compliance Executive</w:t>
            </w:r>
          </w:p>
        </w:tc>
        <w:tc>
          <w:tcPr>
            <w:tcW w:type="dxa" w:w="7200"/>
            <w:vAlign w:val="center"/>
          </w:tcPr>
          <w:p>
            <w:r/>
            <w:r>
              <w:rPr>
                <w:b w:val="0"/>
                <w:sz w:val="17"/>
              </w:rPr>
              <w:t>Prepares documents, records filing progress and uploads evidence.</w:t>
            </w:r>
          </w:p>
        </w:tc>
      </w:tr>
      <w:tr>
        <w:tc>
          <w:tcPr>
            <w:tcW w:type="dxa" w:w="2880"/>
            <w:vAlign w:val="center"/>
            <w:shd w:fill="F3F6F9"/>
          </w:tcPr>
          <w:p>
            <w:r/>
            <w:r>
              <w:rPr>
                <w:b w:val="0"/>
                <w:sz w:val="17"/>
              </w:rPr>
              <w:t>Tax/Audit Specialist</w:t>
            </w:r>
          </w:p>
        </w:tc>
        <w:tc>
          <w:tcPr>
            <w:tcW w:type="dxa" w:w="7200"/>
            <w:vAlign w:val="center"/>
            <w:shd w:fill="F3F6F9"/>
          </w:tcPr>
          <w:p>
            <w:r/>
            <w:r>
              <w:rPr>
                <w:b w:val="0"/>
                <w:sz w:val="17"/>
              </w:rPr>
              <w:t>Handles tax, audit and financial-statement obligations.</w:t>
            </w:r>
          </w:p>
        </w:tc>
      </w:tr>
      <w:tr>
        <w:tc>
          <w:tcPr>
            <w:tcW w:type="dxa" w:w="2880"/>
            <w:vAlign w:val="center"/>
          </w:tcPr>
          <w:p>
            <w:r/>
            <w:r>
              <w:rPr>
                <w:b w:val="0"/>
                <w:sz w:val="17"/>
              </w:rPr>
              <w:t>Director / Company Officer</w:t>
            </w:r>
          </w:p>
        </w:tc>
        <w:tc>
          <w:tcPr>
            <w:tcW w:type="dxa" w:w="7200"/>
            <w:vAlign w:val="center"/>
          </w:tcPr>
          <w:p>
            <w:r/>
            <w:r>
              <w:rPr>
                <w:b w:val="0"/>
                <w:sz w:val="17"/>
              </w:rPr>
              <w:t>Reviews, approves and signs actions.</w:t>
            </w:r>
          </w:p>
        </w:tc>
      </w:tr>
      <w:tr>
        <w:tc>
          <w:tcPr>
            <w:tcW w:type="dxa" w:w="2880"/>
            <w:vAlign w:val="center"/>
            <w:shd w:fill="F3F6F9"/>
          </w:tcPr>
          <w:p>
            <w:r/>
            <w:r>
              <w:rPr>
                <w:b w:val="0"/>
                <w:sz w:val="17"/>
              </w:rPr>
              <w:t>Client Contact</w:t>
            </w:r>
          </w:p>
        </w:tc>
        <w:tc>
          <w:tcPr>
            <w:tcW w:type="dxa" w:w="7200"/>
            <w:vAlign w:val="center"/>
            <w:shd w:fill="F3F6F9"/>
          </w:tcPr>
          <w:p>
            <w:r/>
            <w:r>
              <w:rPr>
                <w:b w:val="0"/>
                <w:sz w:val="17"/>
              </w:rPr>
              <w:t>Supplies documents, confirms data and views deadlines.</w:t>
            </w:r>
          </w:p>
        </w:tc>
      </w:tr>
      <w:tr>
        <w:tc>
          <w:tcPr>
            <w:tcW w:type="dxa" w:w="2880"/>
            <w:vAlign w:val="center"/>
          </w:tcPr>
          <w:p>
            <w:r/>
            <w:r>
              <w:rPr>
                <w:b w:val="0"/>
                <w:sz w:val="17"/>
              </w:rPr>
              <w:t>Auditor / External Adviser</w:t>
            </w:r>
          </w:p>
        </w:tc>
        <w:tc>
          <w:tcPr>
            <w:tcW w:type="dxa" w:w="7200"/>
            <w:vAlign w:val="center"/>
          </w:tcPr>
          <w:p>
            <w:r/>
            <w:r>
              <w:rPr>
                <w:b w:val="0"/>
                <w:sz w:val="17"/>
              </w:rPr>
              <w:t>Restricted access to assigned tasks and documents.</w:t>
            </w:r>
          </w:p>
        </w:tc>
      </w:tr>
      <w:tr>
        <w:tc>
          <w:tcPr>
            <w:tcW w:type="dxa" w:w="2880"/>
            <w:vAlign w:val="center"/>
            <w:shd w:fill="F3F6F9"/>
          </w:tcPr>
          <w:p>
            <w:r/>
            <w:r>
              <w:rPr>
                <w:b w:val="0"/>
                <w:sz w:val="17"/>
              </w:rPr>
              <w:t>Read-only Reviewer</w:t>
            </w:r>
          </w:p>
        </w:tc>
        <w:tc>
          <w:tcPr>
            <w:tcW w:type="dxa" w:w="7200"/>
            <w:vAlign w:val="center"/>
            <w:shd w:fill="F3F6F9"/>
          </w:tcPr>
          <w:p>
            <w:r/>
            <w:r>
              <w:rPr>
                <w:b w:val="0"/>
                <w:sz w:val="17"/>
              </w:rPr>
              <w:t>Views calendars, evidence and reports without editing.</w:t>
            </w:r>
          </w:p>
        </w:tc>
      </w:tr>
    </w:tbl>
    <w:p/>
    <w:p>
      <w:pPr>
        <w:pStyle w:val="Heading1"/>
      </w:pPr>
      <w:r>
        <w:t>4. Compliance Taxonomy</w:t>
      </w:r>
    </w:p>
    <w:p>
      <w:r>
        <w:t>The master catalogue must be global. A compliance code represents a business obligation category; local rule packs determine whether and how it applies in a jurisdiction.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1F4E78"/>
          </w:tcPr>
          <w:p>
            <w:r/>
            <w:r>
              <w:rPr>
                <w:b/>
                <w:color w:val="FFFFFF"/>
                <w:sz w:val="18"/>
              </w:rPr>
              <w:t>Category</w:t>
            </w:r>
          </w:p>
        </w:tc>
        <w:tc>
          <w:tcPr>
            <w:tcW w:type="dxa" w:w="5184"/>
            <w:vAlign w:val="center"/>
            <w:shd w:fill="1F4E78"/>
          </w:tcPr>
          <w:p>
            <w:r/>
            <w:r>
              <w:rPr>
                <w:b/>
                <w:color w:val="FFFFFF"/>
                <w:sz w:val="18"/>
              </w:rPr>
              <w:t>Examples</w:t>
            </w:r>
          </w:p>
        </w:tc>
        <w:tc>
          <w:tcPr>
            <w:tcW w:type="dxa" w:w="2160"/>
            <w:vAlign w:val="center"/>
            <w:shd w:fill="1F4E78"/>
          </w:tcPr>
          <w:p>
            <w:r/>
            <w:r>
              <w:rPr>
                <w:b/>
                <w:color w:val="FFFFFF"/>
                <w:sz w:val="18"/>
              </w:rPr>
              <w:t>Typical Frequency</w:t>
            </w:r>
          </w:p>
        </w:tc>
      </w:tr>
      <w:tr>
        <w:tc>
          <w:tcPr>
            <w:tcW w:type="dxa" w:w="2592"/>
            <w:vAlign w:val="center"/>
          </w:tcPr>
          <w:p>
            <w:r/>
            <w:r>
              <w:rPr>
                <w:b w:val="0"/>
                <w:sz w:val="17"/>
              </w:rPr>
              <w:t>Corporate Governance</w:t>
            </w:r>
          </w:p>
        </w:tc>
        <w:tc>
          <w:tcPr>
            <w:tcW w:type="dxa" w:w="5184"/>
            <w:vAlign w:val="center"/>
          </w:tcPr>
          <w:p>
            <w:r/>
            <w:r>
              <w:rPr>
                <w:b w:val="0"/>
                <w:sz w:val="17"/>
              </w:rPr>
              <w:t>AGM, board meeting, resolutions, register maintenance</w:t>
            </w:r>
          </w:p>
        </w:tc>
        <w:tc>
          <w:tcPr>
            <w:tcW w:type="dxa" w:w="2160"/>
            <w:vAlign w:val="center"/>
          </w:tcPr>
          <w:p>
            <w:r/>
            <w:r>
              <w:rPr>
                <w:b w:val="0"/>
                <w:sz w:val="17"/>
              </w:rPr>
              <w:t>Annual / event-driven</w:t>
            </w:r>
          </w:p>
        </w:tc>
      </w:tr>
      <w:tr>
        <w:tc>
          <w:tcPr>
            <w:tcW w:type="dxa" w:w="2592"/>
            <w:vAlign w:val="center"/>
            <w:shd w:fill="F3F6F9"/>
          </w:tcPr>
          <w:p>
            <w:r/>
            <w:r>
              <w:rPr>
                <w:b w:val="0"/>
                <w:sz w:val="17"/>
              </w:rPr>
              <w:t>Corporate Filing</w:t>
            </w:r>
          </w:p>
        </w:tc>
        <w:tc>
          <w:tcPr>
            <w:tcW w:type="dxa" w:w="5184"/>
            <w:vAlign w:val="center"/>
            <w:shd w:fill="F3F6F9"/>
          </w:tcPr>
          <w:p>
            <w:r/>
            <w:r>
              <w:rPr>
                <w:b w:val="0"/>
                <w:sz w:val="17"/>
              </w:rPr>
              <w:t>Annual return, confirmation statement, change of officers, registered office update</w:t>
            </w:r>
          </w:p>
        </w:tc>
        <w:tc>
          <w:tcPr>
            <w:tcW w:type="dxa" w:w="2160"/>
            <w:vAlign w:val="center"/>
            <w:shd w:fill="F3F6F9"/>
          </w:tcPr>
          <w:p>
            <w:r/>
            <w:r>
              <w:rPr>
                <w:b w:val="0"/>
                <w:sz w:val="17"/>
              </w:rPr>
              <w:t>Annual / event-driven</w:t>
            </w:r>
          </w:p>
        </w:tc>
      </w:tr>
      <w:tr>
        <w:tc>
          <w:tcPr>
            <w:tcW w:type="dxa" w:w="2592"/>
            <w:vAlign w:val="center"/>
          </w:tcPr>
          <w:p>
            <w:r/>
            <w:r>
              <w:rPr>
                <w:b w:val="0"/>
                <w:sz w:val="17"/>
              </w:rPr>
              <w:t>Financial Reporting</w:t>
            </w:r>
          </w:p>
        </w:tc>
        <w:tc>
          <w:tcPr>
            <w:tcW w:type="dxa" w:w="5184"/>
            <w:vAlign w:val="center"/>
          </w:tcPr>
          <w:p>
            <w:r/>
            <w:r>
              <w:rPr>
                <w:b w:val="0"/>
                <w:sz w:val="17"/>
              </w:rPr>
              <w:t>Financial statements, XBRL, audit report, management accounts</w:t>
            </w:r>
          </w:p>
        </w:tc>
        <w:tc>
          <w:tcPr>
            <w:tcW w:type="dxa" w:w="2160"/>
            <w:vAlign w:val="center"/>
          </w:tcPr>
          <w:p>
            <w:r/>
            <w:r>
              <w:rPr>
                <w:b w:val="0"/>
                <w:sz w:val="17"/>
              </w:rPr>
              <w:t>Annual / periodic</w:t>
            </w:r>
          </w:p>
        </w:tc>
      </w:tr>
      <w:tr>
        <w:tc>
          <w:tcPr>
            <w:tcW w:type="dxa" w:w="2592"/>
            <w:vAlign w:val="center"/>
            <w:shd w:fill="F3F6F9"/>
          </w:tcPr>
          <w:p>
            <w:r/>
            <w:r>
              <w:rPr>
                <w:b w:val="0"/>
                <w:sz w:val="17"/>
              </w:rPr>
              <w:t>Corporate Tax</w:t>
            </w:r>
          </w:p>
        </w:tc>
        <w:tc>
          <w:tcPr>
            <w:tcW w:type="dxa" w:w="5184"/>
            <w:vAlign w:val="center"/>
            <w:shd w:fill="F3F6F9"/>
          </w:tcPr>
          <w:p>
            <w:r/>
            <w:r>
              <w:rPr>
                <w:b w:val="0"/>
                <w:sz w:val="17"/>
              </w:rPr>
              <w:t>Estimated income, tax return, provisional tax, instalments</w:t>
            </w:r>
          </w:p>
        </w:tc>
        <w:tc>
          <w:tcPr>
            <w:tcW w:type="dxa" w:w="2160"/>
            <w:vAlign w:val="center"/>
            <w:shd w:fill="F3F6F9"/>
          </w:tcPr>
          <w:p>
            <w:r/>
            <w:r>
              <w:rPr>
                <w:b w:val="0"/>
                <w:sz w:val="17"/>
              </w:rPr>
              <w:t>Annual / periodic</w:t>
            </w:r>
          </w:p>
        </w:tc>
      </w:tr>
      <w:tr>
        <w:tc>
          <w:tcPr>
            <w:tcW w:type="dxa" w:w="2592"/>
            <w:vAlign w:val="center"/>
          </w:tcPr>
          <w:p>
            <w:r/>
            <w:r>
              <w:rPr>
                <w:b w:val="0"/>
                <w:sz w:val="17"/>
              </w:rPr>
              <w:t>Indirect Tax</w:t>
            </w:r>
          </w:p>
        </w:tc>
        <w:tc>
          <w:tcPr>
            <w:tcW w:type="dxa" w:w="5184"/>
            <w:vAlign w:val="center"/>
          </w:tcPr>
          <w:p>
            <w:r/>
            <w:r>
              <w:rPr>
                <w:b w:val="0"/>
                <w:sz w:val="17"/>
              </w:rPr>
              <w:t>GST, VAT, SST, sales tax, service tax</w:t>
            </w:r>
          </w:p>
        </w:tc>
        <w:tc>
          <w:tcPr>
            <w:tcW w:type="dxa" w:w="2160"/>
            <w:vAlign w:val="center"/>
          </w:tcPr>
          <w:p>
            <w:r/>
            <w:r>
              <w:rPr>
                <w:b w:val="0"/>
                <w:sz w:val="17"/>
              </w:rPr>
              <w:t>Monthly / bi-monthly / quarterly</w:t>
            </w:r>
          </w:p>
        </w:tc>
      </w:tr>
      <w:tr>
        <w:tc>
          <w:tcPr>
            <w:tcW w:type="dxa" w:w="2592"/>
            <w:vAlign w:val="center"/>
            <w:shd w:fill="F3F6F9"/>
          </w:tcPr>
          <w:p>
            <w:r/>
            <w:r>
              <w:rPr>
                <w:b w:val="0"/>
                <w:sz w:val="17"/>
              </w:rPr>
              <w:t>Beneficial Ownership</w:t>
            </w:r>
          </w:p>
        </w:tc>
        <w:tc>
          <w:tcPr>
            <w:tcW w:type="dxa" w:w="5184"/>
            <w:vAlign w:val="center"/>
            <w:shd w:fill="F3F6F9"/>
          </w:tcPr>
          <w:p>
            <w:r/>
            <w:r>
              <w:rPr>
                <w:b w:val="0"/>
                <w:sz w:val="17"/>
              </w:rPr>
              <w:t>UBO declaration, registrable-controller update</w:t>
            </w:r>
          </w:p>
        </w:tc>
        <w:tc>
          <w:tcPr>
            <w:tcW w:type="dxa" w:w="2160"/>
            <w:vAlign w:val="center"/>
            <w:shd w:fill="F3F6F9"/>
          </w:tcPr>
          <w:p>
            <w:r/>
            <w:r>
              <w:rPr>
                <w:b w:val="0"/>
                <w:sz w:val="17"/>
              </w:rPr>
              <w:t>Annual / event-driven</w:t>
            </w:r>
          </w:p>
        </w:tc>
      </w:tr>
      <w:tr>
        <w:tc>
          <w:tcPr>
            <w:tcW w:type="dxa" w:w="2592"/>
            <w:vAlign w:val="center"/>
          </w:tcPr>
          <w:p>
            <w:r/>
            <w:r>
              <w:rPr>
                <w:b w:val="0"/>
                <w:sz w:val="17"/>
              </w:rPr>
              <w:t>Licences and Permits</w:t>
            </w:r>
          </w:p>
        </w:tc>
        <w:tc>
          <w:tcPr>
            <w:tcW w:type="dxa" w:w="5184"/>
            <w:vAlign w:val="center"/>
          </w:tcPr>
          <w:p>
            <w:r/>
            <w:r>
              <w:rPr>
                <w:b w:val="0"/>
                <w:sz w:val="17"/>
              </w:rPr>
              <w:t>Business licence, trade licence, sector permit</w:t>
            </w:r>
          </w:p>
        </w:tc>
        <w:tc>
          <w:tcPr>
            <w:tcW w:type="dxa" w:w="2160"/>
            <w:vAlign w:val="center"/>
          </w:tcPr>
          <w:p>
            <w:r/>
            <w:r>
              <w:rPr>
                <w:b w:val="0"/>
                <w:sz w:val="17"/>
              </w:rPr>
              <w:t>Annual / expiry-based</w:t>
            </w:r>
          </w:p>
        </w:tc>
      </w:tr>
      <w:tr>
        <w:tc>
          <w:tcPr>
            <w:tcW w:type="dxa" w:w="2592"/>
            <w:vAlign w:val="center"/>
            <w:shd w:fill="F3F6F9"/>
          </w:tcPr>
          <w:p>
            <w:r/>
            <w:r>
              <w:rPr>
                <w:b w:val="0"/>
                <w:sz w:val="17"/>
              </w:rPr>
              <w:t>Employment</w:t>
            </w:r>
          </w:p>
        </w:tc>
        <w:tc>
          <w:tcPr>
            <w:tcW w:type="dxa" w:w="5184"/>
            <w:vAlign w:val="center"/>
            <w:shd w:fill="F3F6F9"/>
          </w:tcPr>
          <w:p>
            <w:r/>
            <w:r>
              <w:rPr>
                <w:b w:val="0"/>
                <w:sz w:val="17"/>
              </w:rPr>
              <w:t>Payroll filings, employee insurance, labour returns</w:t>
            </w:r>
          </w:p>
        </w:tc>
        <w:tc>
          <w:tcPr>
            <w:tcW w:type="dxa" w:w="2160"/>
            <w:vAlign w:val="center"/>
            <w:shd w:fill="F3F6F9"/>
          </w:tcPr>
          <w:p>
            <w:r/>
            <w:r>
              <w:rPr>
                <w:b w:val="0"/>
                <w:sz w:val="17"/>
              </w:rPr>
              <w:t>Monthly / annual</w:t>
            </w:r>
          </w:p>
        </w:tc>
      </w:tr>
      <w:tr>
        <w:tc>
          <w:tcPr>
            <w:tcW w:type="dxa" w:w="2592"/>
            <w:vAlign w:val="center"/>
          </w:tcPr>
          <w:p>
            <w:r/>
            <w:r>
              <w:rPr>
                <w:b w:val="0"/>
                <w:sz w:val="17"/>
              </w:rPr>
              <w:t>Data Protection</w:t>
            </w:r>
          </w:p>
        </w:tc>
        <w:tc>
          <w:tcPr>
            <w:tcW w:type="dxa" w:w="5184"/>
            <w:vAlign w:val="center"/>
          </w:tcPr>
          <w:p>
            <w:r/>
            <w:r>
              <w:rPr>
                <w:b w:val="0"/>
                <w:sz w:val="17"/>
              </w:rPr>
              <w:t>DPO registration, breach notification, annual assessment</w:t>
            </w:r>
          </w:p>
        </w:tc>
        <w:tc>
          <w:tcPr>
            <w:tcW w:type="dxa" w:w="2160"/>
            <w:vAlign w:val="center"/>
          </w:tcPr>
          <w:p>
            <w:r/>
            <w:r>
              <w:rPr>
                <w:b w:val="0"/>
                <w:sz w:val="17"/>
              </w:rPr>
              <w:t>Annual / event-driven</w:t>
            </w:r>
          </w:p>
        </w:tc>
      </w:tr>
      <w:tr>
        <w:tc>
          <w:tcPr>
            <w:tcW w:type="dxa" w:w="2592"/>
            <w:vAlign w:val="center"/>
            <w:shd w:fill="F3F6F9"/>
          </w:tcPr>
          <w:p>
            <w:r/>
            <w:r>
              <w:rPr>
                <w:b w:val="0"/>
                <w:sz w:val="17"/>
              </w:rPr>
              <w:t>Regulated Industry</w:t>
            </w:r>
          </w:p>
        </w:tc>
        <w:tc>
          <w:tcPr>
            <w:tcW w:type="dxa" w:w="5184"/>
            <w:vAlign w:val="center"/>
            <w:shd w:fill="F3F6F9"/>
          </w:tcPr>
          <w:p>
            <w:r/>
            <w:r>
              <w:rPr>
                <w:b w:val="0"/>
                <w:sz w:val="17"/>
              </w:rPr>
              <w:t>Financial services, healthcare, education, customs</w:t>
            </w:r>
          </w:p>
        </w:tc>
        <w:tc>
          <w:tcPr>
            <w:tcW w:type="dxa" w:w="2160"/>
            <w:vAlign w:val="center"/>
            <w:shd w:fill="F3F6F9"/>
          </w:tcPr>
          <w:p>
            <w:r/>
            <w:r>
              <w:rPr>
                <w:b w:val="0"/>
                <w:sz w:val="17"/>
              </w:rPr>
              <w:t>Authority-specific</w:t>
            </w:r>
          </w:p>
        </w:tc>
      </w:tr>
      <w:tr>
        <w:tc>
          <w:tcPr>
            <w:tcW w:type="dxa" w:w="2592"/>
            <w:vAlign w:val="center"/>
          </w:tcPr>
          <w:p>
            <w:r/>
            <w:r>
              <w:rPr>
                <w:b w:val="0"/>
                <w:sz w:val="17"/>
              </w:rPr>
              <w:t>Internal Governance</w:t>
            </w:r>
          </w:p>
        </w:tc>
        <w:tc>
          <w:tcPr>
            <w:tcW w:type="dxa" w:w="5184"/>
            <w:vAlign w:val="center"/>
          </w:tcPr>
          <w:p>
            <w:r/>
            <w:r>
              <w:rPr>
                <w:b w:val="0"/>
                <w:sz w:val="17"/>
              </w:rPr>
              <w:t>Internal review, document collection, board approval</w:t>
            </w:r>
          </w:p>
        </w:tc>
        <w:tc>
          <w:tcPr>
            <w:tcW w:type="dxa" w:w="2160"/>
            <w:vAlign w:val="center"/>
          </w:tcPr>
          <w:p>
            <w:r/>
            <w:r>
              <w:rPr>
                <w:b w:val="0"/>
                <w:sz w:val="17"/>
              </w:rPr>
              <w:t>Derived internal milestones</w:t>
            </w:r>
          </w:p>
        </w:tc>
      </w:tr>
    </w:tbl>
    <w:p/>
    <w:p>
      <w:pPr>
        <w:pStyle w:val="Heading2"/>
      </w:pPr>
      <w:r>
        <w:t>4.1 Compliance Master Minimum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Field</w:t>
            </w:r>
          </w:p>
        </w:tc>
        <w:tc>
          <w:tcPr>
            <w:tcW w:type="dxa" w:w="7200"/>
            <w:vAlign w:val="center"/>
            <w:shd w:fill="1F4E78"/>
          </w:tcPr>
          <w:p>
            <w:r/>
            <w:r>
              <w:rPr>
                <w:b/>
                <w:color w:val="FFFFFF"/>
                <w:sz w:val="18"/>
              </w:rPr>
              <w:t>Description</w:t>
            </w:r>
          </w:p>
        </w:tc>
      </w:tr>
      <w:tr>
        <w:tc>
          <w:tcPr>
            <w:tcW w:type="dxa" w:w="2880"/>
            <w:vAlign w:val="center"/>
          </w:tcPr>
          <w:p>
            <w:r/>
            <w:r>
              <w:rPr>
                <w:b w:val="0"/>
                <w:sz w:val="17"/>
              </w:rPr>
              <w:t>code</w:t>
            </w:r>
          </w:p>
        </w:tc>
        <w:tc>
          <w:tcPr>
            <w:tcW w:type="dxa" w:w="7200"/>
            <w:vAlign w:val="center"/>
          </w:tcPr>
          <w:p>
            <w:r/>
            <w:r>
              <w:rPr>
                <w:b w:val="0"/>
                <w:sz w:val="17"/>
              </w:rPr>
              <w:t>Globally unique code, for example AGM, AR, CIT, GST, VAT, UBO, BLR.</w:t>
            </w:r>
          </w:p>
        </w:tc>
      </w:tr>
      <w:tr>
        <w:tc>
          <w:tcPr>
            <w:tcW w:type="dxa" w:w="2880"/>
            <w:vAlign w:val="center"/>
            <w:shd w:fill="F3F6F9"/>
          </w:tcPr>
          <w:p>
            <w:r/>
            <w:r>
              <w:rPr>
                <w:b w:val="0"/>
                <w:sz w:val="17"/>
              </w:rPr>
              <w:t>name</w:t>
            </w:r>
          </w:p>
        </w:tc>
        <w:tc>
          <w:tcPr>
            <w:tcW w:type="dxa" w:w="7200"/>
            <w:vAlign w:val="center"/>
            <w:shd w:fill="F3F6F9"/>
          </w:tcPr>
          <w:p>
            <w:r/>
            <w:r>
              <w:rPr>
                <w:b w:val="0"/>
                <w:sz w:val="17"/>
              </w:rPr>
              <w:t>User-facing compliance name.</w:t>
            </w:r>
          </w:p>
        </w:tc>
      </w:tr>
      <w:tr>
        <w:tc>
          <w:tcPr>
            <w:tcW w:type="dxa" w:w="2880"/>
            <w:vAlign w:val="center"/>
          </w:tcPr>
          <w:p>
            <w:r/>
            <w:r>
              <w:rPr>
                <w:b w:val="0"/>
                <w:sz w:val="17"/>
              </w:rPr>
              <w:t>category</w:t>
            </w:r>
          </w:p>
        </w:tc>
        <w:tc>
          <w:tcPr>
            <w:tcW w:type="dxa" w:w="7200"/>
            <w:vAlign w:val="center"/>
          </w:tcPr>
          <w:p>
            <w:r/>
            <w:r>
              <w:rPr>
                <w:b w:val="0"/>
                <w:sz w:val="17"/>
              </w:rPr>
              <w:t>Corporate, tax, audit, licence, employment and similar.</w:t>
            </w:r>
          </w:p>
        </w:tc>
      </w:tr>
      <w:tr>
        <w:tc>
          <w:tcPr>
            <w:tcW w:type="dxa" w:w="2880"/>
            <w:vAlign w:val="center"/>
            <w:shd w:fill="F3F6F9"/>
          </w:tcPr>
          <w:p>
            <w:r/>
            <w:r>
              <w:rPr>
                <w:b w:val="0"/>
                <w:sz w:val="17"/>
              </w:rPr>
              <w:t>authority_type</w:t>
            </w:r>
          </w:p>
        </w:tc>
        <w:tc>
          <w:tcPr>
            <w:tcW w:type="dxa" w:w="7200"/>
            <w:vAlign w:val="center"/>
            <w:shd w:fill="F3F6F9"/>
          </w:tcPr>
          <w:p>
            <w:r/>
            <w:r>
              <w:rPr>
                <w:b w:val="0"/>
                <w:sz w:val="17"/>
              </w:rPr>
              <w:t>Registrar, tax authority, local authority, regulator or internal.</w:t>
            </w:r>
          </w:p>
        </w:tc>
      </w:tr>
      <w:tr>
        <w:tc>
          <w:tcPr>
            <w:tcW w:type="dxa" w:w="2880"/>
            <w:vAlign w:val="center"/>
          </w:tcPr>
          <w:p>
            <w:r/>
            <w:r>
              <w:rPr>
                <w:b w:val="0"/>
                <w:sz w:val="17"/>
              </w:rPr>
              <w:t>default_frequency</w:t>
            </w:r>
          </w:p>
        </w:tc>
        <w:tc>
          <w:tcPr>
            <w:tcW w:type="dxa" w:w="7200"/>
            <w:vAlign w:val="center"/>
          </w:tcPr>
          <w:p>
            <w:r/>
            <w:r>
              <w:rPr>
                <w:b w:val="0"/>
                <w:sz w:val="17"/>
              </w:rPr>
              <w:t>Annual, monthly, quarterly, event-driven, one-time or custom.</w:t>
            </w:r>
          </w:p>
        </w:tc>
      </w:tr>
      <w:tr>
        <w:tc>
          <w:tcPr>
            <w:tcW w:type="dxa" w:w="2880"/>
            <w:vAlign w:val="center"/>
            <w:shd w:fill="F3F6F9"/>
          </w:tcPr>
          <w:p>
            <w:r/>
            <w:r>
              <w:rPr>
                <w:b w:val="0"/>
                <w:sz w:val="17"/>
              </w:rPr>
              <w:t>supports_extension</w:t>
            </w:r>
          </w:p>
        </w:tc>
        <w:tc>
          <w:tcPr>
            <w:tcW w:type="dxa" w:w="7200"/>
            <w:vAlign w:val="center"/>
            <w:shd w:fill="F3F6F9"/>
          </w:tcPr>
          <w:p>
            <w:r/>
            <w:r>
              <w:rPr>
                <w:b w:val="0"/>
                <w:sz w:val="17"/>
              </w:rPr>
              <w:t>Whether any rule may permit extension.</w:t>
            </w:r>
          </w:p>
        </w:tc>
      </w:tr>
      <w:tr>
        <w:tc>
          <w:tcPr>
            <w:tcW w:type="dxa" w:w="2880"/>
            <w:vAlign w:val="center"/>
          </w:tcPr>
          <w:p>
            <w:r/>
            <w:r>
              <w:rPr>
                <w:b w:val="0"/>
                <w:sz w:val="17"/>
              </w:rPr>
              <w:t>supports_waiver</w:t>
            </w:r>
          </w:p>
        </w:tc>
        <w:tc>
          <w:tcPr>
            <w:tcW w:type="dxa" w:w="7200"/>
            <w:vAlign w:val="center"/>
          </w:tcPr>
          <w:p>
            <w:r/>
            <w:r>
              <w:rPr>
                <w:b w:val="0"/>
                <w:sz w:val="17"/>
              </w:rPr>
              <w:t>Whether exemption or waiver may apply.</w:t>
            </w:r>
          </w:p>
        </w:tc>
      </w:tr>
      <w:tr>
        <w:tc>
          <w:tcPr>
            <w:tcW w:type="dxa" w:w="2880"/>
            <w:vAlign w:val="center"/>
            <w:shd w:fill="F3F6F9"/>
          </w:tcPr>
          <w:p>
            <w:r/>
            <w:r>
              <w:rPr>
                <w:b w:val="0"/>
                <w:sz w:val="17"/>
              </w:rPr>
              <w:t>evidence_required</w:t>
            </w:r>
          </w:p>
        </w:tc>
        <w:tc>
          <w:tcPr>
            <w:tcW w:type="dxa" w:w="7200"/>
            <w:vAlign w:val="center"/>
            <w:shd w:fill="F3F6F9"/>
          </w:tcPr>
          <w:p>
            <w:r/>
            <w:r>
              <w:rPr>
                <w:b w:val="0"/>
                <w:sz w:val="17"/>
              </w:rPr>
              <w:t>Whether completion requires filing evidence.</w:t>
            </w:r>
          </w:p>
        </w:tc>
      </w:tr>
      <w:tr>
        <w:tc>
          <w:tcPr>
            <w:tcW w:type="dxa" w:w="2880"/>
            <w:vAlign w:val="center"/>
          </w:tcPr>
          <w:p>
            <w:r/>
            <w:r>
              <w:rPr>
                <w:b w:val="0"/>
                <w:sz w:val="17"/>
              </w:rPr>
              <w:t>active</w:t>
            </w:r>
          </w:p>
        </w:tc>
        <w:tc>
          <w:tcPr>
            <w:tcW w:type="dxa" w:w="7200"/>
            <w:vAlign w:val="center"/>
          </w:tcPr>
          <w:p>
            <w:r/>
            <w:r>
              <w:rPr>
                <w:b w:val="0"/>
                <w:sz w:val="17"/>
              </w:rPr>
              <w:t>Controls new rule use without deleting history.</w:t>
            </w:r>
          </w:p>
        </w:tc>
      </w:tr>
    </w:tbl>
    <w:p/>
    <w:p>
      <w:pPr>
        <w:pStyle w:val="Heading1"/>
      </w:pPr>
      <w:r>
        <w:t>5. Global Rule-Engine Design</w:t>
      </w:r>
    </w:p>
    <w:p>
      <w:r>
        <w:t>A compliance rule links an obligation to a jurisdiction and defines applicability, trigger, formula, reminders, extension behaviour and version validity.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Rule Dimension</w:t>
            </w:r>
          </w:p>
        </w:tc>
        <w:tc>
          <w:tcPr>
            <w:tcW w:type="dxa" w:w="7200"/>
            <w:vAlign w:val="center"/>
            <w:shd w:fill="1F4E78"/>
          </w:tcPr>
          <w:p>
            <w:r/>
            <w:r>
              <w:rPr>
                <w:b/>
                <w:color w:val="FFFFFF"/>
                <w:sz w:val="18"/>
              </w:rPr>
              <w:t>Examples</w:t>
            </w:r>
          </w:p>
        </w:tc>
      </w:tr>
      <w:tr>
        <w:tc>
          <w:tcPr>
            <w:tcW w:type="dxa" w:w="2880"/>
            <w:vAlign w:val="center"/>
          </w:tcPr>
          <w:p>
            <w:r/>
            <w:r>
              <w:rPr>
                <w:b w:val="0"/>
                <w:sz w:val="17"/>
              </w:rPr>
              <w:t>Jurisdiction</w:t>
            </w:r>
          </w:p>
        </w:tc>
        <w:tc>
          <w:tcPr>
            <w:tcW w:type="dxa" w:w="7200"/>
            <w:vAlign w:val="center"/>
          </w:tcPr>
          <w:p>
            <w:r/>
            <w:r>
              <w:rPr>
                <w:b w:val="0"/>
                <w:sz w:val="17"/>
              </w:rPr>
              <w:t>Country, state, province, emirate, free zone, municipality.</w:t>
            </w:r>
          </w:p>
        </w:tc>
      </w:tr>
      <w:tr>
        <w:tc>
          <w:tcPr>
            <w:tcW w:type="dxa" w:w="2880"/>
            <w:vAlign w:val="center"/>
            <w:shd w:fill="F3F6F9"/>
          </w:tcPr>
          <w:p>
            <w:r/>
            <w:r>
              <w:rPr>
                <w:b w:val="0"/>
                <w:sz w:val="17"/>
              </w:rPr>
              <w:t>Entity Type</w:t>
            </w:r>
          </w:p>
        </w:tc>
        <w:tc>
          <w:tcPr>
            <w:tcW w:type="dxa" w:w="7200"/>
            <w:vAlign w:val="center"/>
            <w:shd w:fill="F3F6F9"/>
          </w:tcPr>
          <w:p>
            <w:r/>
            <w:r>
              <w:rPr>
                <w:b w:val="0"/>
                <w:sz w:val="17"/>
              </w:rPr>
              <w:t>Private company, public company, branch, LLP, partnership, non-profit.</w:t>
            </w:r>
          </w:p>
        </w:tc>
      </w:tr>
      <w:tr>
        <w:tc>
          <w:tcPr>
            <w:tcW w:type="dxa" w:w="2880"/>
            <w:vAlign w:val="center"/>
          </w:tcPr>
          <w:p>
            <w:r/>
            <w:r>
              <w:rPr>
                <w:b w:val="0"/>
                <w:sz w:val="17"/>
              </w:rPr>
              <w:t>Authority</w:t>
            </w:r>
          </w:p>
        </w:tc>
        <w:tc>
          <w:tcPr>
            <w:tcW w:type="dxa" w:w="7200"/>
            <w:vAlign w:val="center"/>
          </w:tcPr>
          <w:p>
            <w:r/>
            <w:r>
              <w:rPr>
                <w:b w:val="0"/>
                <w:sz w:val="17"/>
              </w:rPr>
              <w:t>Company registrar, tax authority, securities regulator, municipality.</w:t>
            </w:r>
          </w:p>
        </w:tc>
      </w:tr>
      <w:tr>
        <w:tc>
          <w:tcPr>
            <w:tcW w:type="dxa" w:w="2880"/>
            <w:vAlign w:val="center"/>
            <w:shd w:fill="F3F6F9"/>
          </w:tcPr>
          <w:p>
            <w:r/>
            <w:r>
              <w:rPr>
                <w:b w:val="0"/>
                <w:sz w:val="17"/>
              </w:rPr>
              <w:t>Registration</w:t>
            </w:r>
          </w:p>
        </w:tc>
        <w:tc>
          <w:tcPr>
            <w:tcW w:type="dxa" w:w="7200"/>
            <w:vAlign w:val="center"/>
            <w:shd w:fill="F3F6F9"/>
          </w:tcPr>
          <w:p>
            <w:r/>
            <w:r>
              <w:rPr>
                <w:b w:val="0"/>
                <w:sz w:val="17"/>
              </w:rPr>
              <w:t>VAT/GST registered, employer registered, sector licensed.</w:t>
            </w:r>
          </w:p>
        </w:tc>
      </w:tr>
      <w:tr>
        <w:tc>
          <w:tcPr>
            <w:tcW w:type="dxa" w:w="2880"/>
            <w:vAlign w:val="center"/>
          </w:tcPr>
          <w:p>
            <w:r/>
            <w:r>
              <w:rPr>
                <w:b w:val="0"/>
                <w:sz w:val="17"/>
              </w:rPr>
              <w:t>Company Attributes</w:t>
            </w:r>
          </w:p>
        </w:tc>
        <w:tc>
          <w:tcPr>
            <w:tcW w:type="dxa" w:w="7200"/>
            <w:vAlign w:val="center"/>
          </w:tcPr>
          <w:p>
            <w:r/>
            <w:r>
              <w:rPr>
                <w:b w:val="0"/>
                <w:sz w:val="17"/>
              </w:rPr>
              <w:t>Listed status, revenue, assets, headcount, foreign ownership.</w:t>
            </w:r>
          </w:p>
        </w:tc>
      </w:tr>
      <w:tr>
        <w:tc>
          <w:tcPr>
            <w:tcW w:type="dxa" w:w="2880"/>
            <w:vAlign w:val="center"/>
            <w:shd w:fill="F3F6F9"/>
          </w:tcPr>
          <w:p>
            <w:r/>
            <w:r>
              <w:rPr>
                <w:b w:val="0"/>
                <w:sz w:val="17"/>
              </w:rPr>
              <w:t>Lifecycle State</w:t>
            </w:r>
          </w:p>
        </w:tc>
        <w:tc>
          <w:tcPr>
            <w:tcW w:type="dxa" w:w="7200"/>
            <w:vAlign w:val="center"/>
            <w:shd w:fill="F3F6F9"/>
          </w:tcPr>
          <w:p>
            <w:r/>
            <w:r>
              <w:rPr>
                <w:b w:val="0"/>
                <w:sz w:val="17"/>
              </w:rPr>
              <w:t>Newly incorporated, active, dormant, in liquidation, struck off.</w:t>
            </w:r>
          </w:p>
        </w:tc>
      </w:tr>
      <w:tr>
        <w:tc>
          <w:tcPr>
            <w:tcW w:type="dxa" w:w="2880"/>
            <w:vAlign w:val="center"/>
          </w:tcPr>
          <w:p>
            <w:r/>
            <w:r>
              <w:rPr>
                <w:b w:val="0"/>
                <w:sz w:val="17"/>
              </w:rPr>
              <w:t>Effective Period</w:t>
            </w:r>
          </w:p>
        </w:tc>
        <w:tc>
          <w:tcPr>
            <w:tcW w:type="dxa" w:w="7200"/>
            <w:vAlign w:val="center"/>
          </w:tcPr>
          <w:p>
            <w:r/>
            <w:r>
              <w:rPr>
                <w:b w:val="0"/>
                <w:sz w:val="17"/>
              </w:rPr>
              <w:t>Applicable from and applicable to dates.</w:t>
            </w:r>
          </w:p>
        </w:tc>
      </w:tr>
      <w:tr>
        <w:tc>
          <w:tcPr>
            <w:tcW w:type="dxa" w:w="2880"/>
            <w:vAlign w:val="center"/>
            <w:shd w:fill="F3F6F9"/>
          </w:tcPr>
          <w:p>
            <w:r/>
            <w:r>
              <w:rPr>
                <w:b w:val="0"/>
                <w:sz w:val="17"/>
              </w:rPr>
              <w:t>Trigger</w:t>
            </w:r>
          </w:p>
        </w:tc>
        <w:tc>
          <w:tcPr>
            <w:tcW w:type="dxa" w:w="7200"/>
            <w:vAlign w:val="center"/>
            <w:shd w:fill="F3F6F9"/>
          </w:tcPr>
          <w:p>
            <w:r/>
            <w:r>
              <w:rPr>
                <w:b w:val="0"/>
                <w:sz w:val="17"/>
              </w:rPr>
              <w:t>FYE, anniversary, period end, incorporation, event date, licence expiry.</w:t>
            </w:r>
          </w:p>
        </w:tc>
      </w:tr>
      <w:tr>
        <w:tc>
          <w:tcPr>
            <w:tcW w:type="dxa" w:w="2880"/>
            <w:vAlign w:val="center"/>
          </w:tcPr>
          <w:p>
            <w:r/>
            <w:r>
              <w:rPr>
                <w:b w:val="0"/>
                <w:sz w:val="17"/>
              </w:rPr>
              <w:t>Formula</w:t>
            </w:r>
          </w:p>
        </w:tc>
        <w:tc>
          <w:tcPr>
            <w:tcW w:type="dxa" w:w="7200"/>
            <w:vAlign w:val="center"/>
          </w:tcPr>
          <w:p>
            <w:r/>
            <w:r>
              <w:rPr>
                <w:b w:val="0"/>
                <w:sz w:val="17"/>
              </w:rPr>
              <w:t>Add days/months, fixed date, nth working day, before/after another event.</w:t>
            </w:r>
          </w:p>
        </w:tc>
      </w:tr>
      <w:tr>
        <w:tc>
          <w:tcPr>
            <w:tcW w:type="dxa" w:w="2880"/>
            <w:vAlign w:val="center"/>
            <w:shd w:fill="F3F6F9"/>
          </w:tcPr>
          <w:p>
            <w:r/>
            <w:r>
              <w:rPr>
                <w:b w:val="0"/>
                <w:sz w:val="17"/>
              </w:rPr>
              <w:t>Frequency</w:t>
            </w:r>
          </w:p>
        </w:tc>
        <w:tc>
          <w:tcPr>
            <w:tcW w:type="dxa" w:w="7200"/>
            <w:vAlign w:val="center"/>
            <w:shd w:fill="F3F6F9"/>
          </w:tcPr>
          <w:p>
            <w:r/>
            <w:r>
              <w:rPr>
                <w:b w:val="0"/>
                <w:sz w:val="17"/>
              </w:rPr>
              <w:t>Annual, monthly, quarterly, bi-monthly, event-driven, custom interval.</w:t>
            </w:r>
          </w:p>
        </w:tc>
      </w:tr>
    </w:tbl>
    <w:p/>
    <w:p>
      <w:pPr>
        <w:pStyle w:val="Heading2"/>
      </w:pPr>
      <w:r>
        <w:t>5.1 Applicability Evaluation</w:t>
      </w:r>
    </w:p>
    <w:p>
      <w:pPr>
        <w:pStyle w:val="ListNumber"/>
      </w:pPr>
      <w:r>
        <w:t>Identify the company jurisdiction hierarchy.</w:t>
      </w:r>
    </w:p>
    <w:p>
      <w:pPr>
        <w:pStyle w:val="ListNumber"/>
      </w:pPr>
      <w:r>
        <w:t>Identify legal entity type and status.</w:t>
      </w:r>
    </w:p>
    <w:p>
      <w:pPr>
        <w:pStyle w:val="ListNumber"/>
      </w:pPr>
      <w:r>
        <w:t>Read company registrations, licences and regulated activities.</w:t>
      </w:r>
    </w:p>
    <w:p>
      <w:pPr>
        <w:pStyle w:val="ListNumber"/>
      </w:pPr>
      <w:r>
        <w:t>Load active published rule versions effective for the trigger period.</w:t>
      </w:r>
    </w:p>
    <w:p>
      <w:pPr>
        <w:pStyle w:val="ListNumber"/>
      </w:pPr>
      <w:r>
        <w:t>Evaluate inclusion conditions.</w:t>
      </w:r>
    </w:p>
    <w:p>
      <w:pPr>
        <w:pStyle w:val="ListNumber"/>
      </w:pPr>
      <w:r>
        <w:t>Evaluate exclusion, exemption and waiver conditions.</w:t>
      </w:r>
    </w:p>
    <w:p>
      <w:pPr>
        <w:pStyle w:val="ListNumber"/>
      </w:pPr>
      <w:r>
        <w:t>Resolve conflicts using rule priority and specificity.</w:t>
      </w:r>
    </w:p>
    <w:p>
      <w:pPr>
        <w:pStyle w:val="ListNumber"/>
      </w:pPr>
      <w:r>
        <w:t>Generate only the winning applicable event and record the evaluation result.</w:t>
      </w:r>
    </w:p>
    <w:p>
      <w:pPr>
        <w:pStyle w:val="Heading2"/>
      </w:pPr>
      <w:r>
        <w:t>5.2 Rule Priority</w:t>
      </w:r>
    </w:p>
    <w:p>
      <w:r>
        <w:t>Recommended priority, highest first: company-specific override; authority or free-zone rule; state/province rule; country and entity-type rule; country default; global template. More specific rules override general rules only when their effective dates overlap and they are published.</w:t>
      </w:r>
    </w:p>
    <w:p>
      <w:pPr>
        <w:pStyle w:val="Heading2"/>
      </w:pPr>
      <w:r>
        <w:t>5.3 Rule Version Status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1F4E78"/>
          </w:tcPr>
          <w:p>
            <w:r/>
            <w:r>
              <w:rPr>
                <w:b/>
                <w:color w:val="FFFFFF"/>
                <w:sz w:val="18"/>
              </w:rPr>
              <w:t>Status</w:t>
            </w:r>
          </w:p>
        </w:tc>
        <w:tc>
          <w:tcPr>
            <w:tcW w:type="dxa" w:w="7776"/>
            <w:vAlign w:val="center"/>
            <w:shd w:fill="1F4E78"/>
          </w:tcPr>
          <w:p>
            <w:r/>
            <w:r>
              <w:rPr>
                <w:b/>
                <w:color w:val="FFFFFF"/>
                <w:sz w:val="18"/>
              </w:rPr>
              <w:t>Meaning</w:t>
            </w:r>
          </w:p>
        </w:tc>
      </w:tr>
      <w:tr>
        <w:tc>
          <w:tcPr>
            <w:tcW w:type="dxa" w:w="2304"/>
            <w:vAlign w:val="center"/>
          </w:tcPr>
          <w:p>
            <w:r/>
            <w:r>
              <w:rPr>
                <w:b w:val="0"/>
                <w:sz w:val="17"/>
              </w:rPr>
              <w:t>DRAFT</w:t>
            </w:r>
          </w:p>
        </w:tc>
        <w:tc>
          <w:tcPr>
            <w:tcW w:type="dxa" w:w="7776"/>
            <w:vAlign w:val="center"/>
          </w:tcPr>
          <w:p>
            <w:r/>
            <w:r>
              <w:rPr>
                <w:b w:val="0"/>
                <w:sz w:val="17"/>
              </w:rPr>
              <w:t>Editable and not used for generation.</w:t>
            </w:r>
          </w:p>
        </w:tc>
      </w:tr>
      <w:tr>
        <w:tc>
          <w:tcPr>
            <w:tcW w:type="dxa" w:w="2304"/>
            <w:vAlign w:val="center"/>
            <w:shd w:fill="F3F6F9"/>
          </w:tcPr>
          <w:p>
            <w:r/>
            <w:r>
              <w:rPr>
                <w:b w:val="0"/>
                <w:sz w:val="17"/>
              </w:rPr>
              <w:t>UNDER_REVIEW</w:t>
            </w:r>
          </w:p>
        </w:tc>
        <w:tc>
          <w:tcPr>
            <w:tcW w:type="dxa" w:w="7776"/>
            <w:vAlign w:val="center"/>
            <w:shd w:fill="F3F6F9"/>
          </w:tcPr>
          <w:p>
            <w:r/>
            <w:r>
              <w:rPr>
                <w:b w:val="0"/>
                <w:sz w:val="17"/>
              </w:rPr>
              <w:t>Submitted to legal/compliance reviewer.</w:t>
            </w:r>
          </w:p>
        </w:tc>
      </w:tr>
      <w:tr>
        <w:tc>
          <w:tcPr>
            <w:tcW w:type="dxa" w:w="2304"/>
            <w:vAlign w:val="center"/>
          </w:tcPr>
          <w:p>
            <w:r/>
            <w:r>
              <w:rPr>
                <w:b w:val="0"/>
                <w:sz w:val="17"/>
              </w:rPr>
              <w:t>APPROVED</w:t>
            </w:r>
          </w:p>
        </w:tc>
        <w:tc>
          <w:tcPr>
            <w:tcW w:type="dxa" w:w="7776"/>
            <w:vAlign w:val="center"/>
          </w:tcPr>
          <w:p>
            <w:r/>
            <w:r>
              <w:rPr>
                <w:b w:val="0"/>
                <w:sz w:val="17"/>
              </w:rPr>
              <w:t>Approved but not necessarily effective yet.</w:t>
            </w:r>
          </w:p>
        </w:tc>
      </w:tr>
      <w:tr>
        <w:tc>
          <w:tcPr>
            <w:tcW w:type="dxa" w:w="2304"/>
            <w:vAlign w:val="center"/>
            <w:shd w:fill="F3F6F9"/>
          </w:tcPr>
          <w:p>
            <w:r/>
            <w:r>
              <w:rPr>
                <w:b w:val="0"/>
                <w:sz w:val="17"/>
              </w:rPr>
              <w:t>PUBLISHED</w:t>
            </w:r>
          </w:p>
        </w:tc>
        <w:tc>
          <w:tcPr>
            <w:tcW w:type="dxa" w:w="7776"/>
            <w:vAlign w:val="center"/>
            <w:shd w:fill="F3F6F9"/>
          </w:tcPr>
          <w:p>
            <w:r/>
            <w:r>
              <w:rPr>
                <w:b w:val="0"/>
                <w:sz w:val="17"/>
              </w:rPr>
              <w:t>Eligible for event generation during its effective period.</w:t>
            </w:r>
          </w:p>
        </w:tc>
      </w:tr>
      <w:tr>
        <w:tc>
          <w:tcPr>
            <w:tcW w:type="dxa" w:w="2304"/>
            <w:vAlign w:val="center"/>
          </w:tcPr>
          <w:p>
            <w:r/>
            <w:r>
              <w:rPr>
                <w:b w:val="0"/>
                <w:sz w:val="17"/>
              </w:rPr>
              <w:t>SUPERSEDED</w:t>
            </w:r>
          </w:p>
        </w:tc>
        <w:tc>
          <w:tcPr>
            <w:tcW w:type="dxa" w:w="7776"/>
            <w:vAlign w:val="center"/>
          </w:tcPr>
          <w:p>
            <w:r/>
            <w:r>
              <w:rPr>
                <w:b w:val="0"/>
                <w:sz w:val="17"/>
              </w:rPr>
              <w:t>Replaced by a later version; retained for history.</w:t>
            </w:r>
          </w:p>
        </w:tc>
      </w:tr>
      <w:tr>
        <w:tc>
          <w:tcPr>
            <w:tcW w:type="dxa" w:w="2304"/>
            <w:vAlign w:val="center"/>
            <w:shd w:fill="F3F6F9"/>
          </w:tcPr>
          <w:p>
            <w:r/>
            <w:r>
              <w:rPr>
                <w:b w:val="0"/>
                <w:sz w:val="17"/>
              </w:rPr>
              <w:t>RETIRED</w:t>
            </w:r>
          </w:p>
        </w:tc>
        <w:tc>
          <w:tcPr>
            <w:tcW w:type="dxa" w:w="7776"/>
            <w:vAlign w:val="center"/>
            <w:shd w:fill="F3F6F9"/>
          </w:tcPr>
          <w:p>
            <w:r/>
            <w:r>
              <w:rPr>
                <w:b w:val="0"/>
                <w:sz w:val="17"/>
              </w:rPr>
              <w:t>Not available for future generation.</w:t>
            </w:r>
          </w:p>
        </w:tc>
      </w:tr>
    </w:tbl>
    <w:p/>
    <w:p>
      <w:pPr>
        <w:pStyle w:val="Heading1"/>
      </w:pPr>
      <w:r>
        <w:t>6. Due-Date Calculation Specification</w:t>
      </w:r>
    </w:p>
    <w:p>
      <w:pPr>
        <w:pStyle w:val="Heading2"/>
      </w:pPr>
      <w:r>
        <w:t>6.1 Supported Calculation Types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vAlign w:val="center"/>
            <w:shd w:fill="1F4E78"/>
          </w:tcPr>
          <w:p>
            <w:r/>
            <w:r>
              <w:rPr>
                <w:b/>
                <w:color w:val="FFFFFF"/>
                <w:sz w:val="18"/>
              </w:rPr>
              <w:t>Type</w:t>
            </w:r>
          </w:p>
        </w:tc>
        <w:tc>
          <w:tcPr>
            <w:tcW w:type="dxa" w:w="4032"/>
            <w:vAlign w:val="center"/>
            <w:shd w:fill="1F4E78"/>
          </w:tcPr>
          <w:p>
            <w:r/>
            <w:r>
              <w:rPr>
                <w:b/>
                <w:color w:val="FFFFFF"/>
                <w:sz w:val="18"/>
              </w:rPr>
              <w:t>Formula Pattern</w:t>
            </w:r>
          </w:p>
        </w:tc>
        <w:tc>
          <w:tcPr>
            <w:tcW w:type="dxa" w:w="3456"/>
            <w:vAlign w:val="center"/>
            <w:shd w:fill="1F4E78"/>
          </w:tcPr>
          <w:p>
            <w:r/>
            <w:r>
              <w:rPr>
                <w:b/>
                <w:color w:val="FFFFFF"/>
                <w:sz w:val="18"/>
              </w:rPr>
              <w:t>Example Use</w:t>
            </w:r>
          </w:p>
        </w:tc>
      </w:tr>
      <w:tr>
        <w:tc>
          <w:tcPr>
            <w:tcW w:type="dxa" w:w="2736"/>
            <w:vAlign w:val="center"/>
          </w:tcPr>
          <w:p>
            <w:r/>
            <w:r>
              <w:rPr>
                <w:b w:val="0"/>
                <w:sz w:val="17"/>
              </w:rPr>
              <w:t>ADD_CALENDAR_DAYS</w:t>
            </w:r>
          </w:p>
        </w:tc>
        <w:tc>
          <w:tcPr>
            <w:tcW w:type="dxa" w:w="4032"/>
            <w:vAlign w:val="center"/>
          </w:tcPr>
          <w:p>
            <w:r/>
            <w:r>
              <w:rPr>
                <w:b w:val="0"/>
                <w:sz w:val="17"/>
              </w:rPr>
              <w:t>trigger_date + N calendar days</w:t>
            </w:r>
          </w:p>
        </w:tc>
        <w:tc>
          <w:tcPr>
            <w:tcW w:type="dxa" w:w="3456"/>
            <w:vAlign w:val="center"/>
          </w:tcPr>
          <w:p>
            <w:r/>
            <w:r>
              <w:rPr>
                <w:b w:val="0"/>
                <w:sz w:val="17"/>
              </w:rPr>
              <w:t>Event-based filing.</w:t>
            </w:r>
          </w:p>
        </w:tc>
      </w:tr>
      <w:tr>
        <w:tc>
          <w:tcPr>
            <w:tcW w:type="dxa" w:w="2736"/>
            <w:vAlign w:val="center"/>
            <w:shd w:fill="F3F6F9"/>
          </w:tcPr>
          <w:p>
            <w:r/>
            <w:r>
              <w:rPr>
                <w:b w:val="0"/>
                <w:sz w:val="17"/>
              </w:rPr>
              <w:t>ADD_WORKING_DAYS</w:t>
            </w:r>
          </w:p>
        </w:tc>
        <w:tc>
          <w:tcPr>
            <w:tcW w:type="dxa" w:w="4032"/>
            <w:vAlign w:val="center"/>
            <w:shd w:fill="F3F6F9"/>
          </w:tcPr>
          <w:p>
            <w:r/>
            <w:r>
              <w:rPr>
                <w:b w:val="0"/>
                <w:sz w:val="17"/>
              </w:rPr>
              <w:t>trigger_date + N working days</w:t>
            </w:r>
          </w:p>
        </w:tc>
        <w:tc>
          <w:tcPr>
            <w:tcW w:type="dxa" w:w="3456"/>
            <w:vAlign w:val="center"/>
            <w:shd w:fill="F3F6F9"/>
          </w:tcPr>
          <w:p>
            <w:r/>
            <w:r>
              <w:rPr>
                <w:b w:val="0"/>
                <w:sz w:val="17"/>
              </w:rPr>
              <w:t>Authority response deadline.</w:t>
            </w:r>
          </w:p>
        </w:tc>
      </w:tr>
      <w:tr>
        <w:tc>
          <w:tcPr>
            <w:tcW w:type="dxa" w:w="2736"/>
            <w:vAlign w:val="center"/>
          </w:tcPr>
          <w:p>
            <w:r/>
            <w:r>
              <w:rPr>
                <w:b w:val="0"/>
                <w:sz w:val="17"/>
              </w:rPr>
              <w:t>ADD_MONTHS</w:t>
            </w:r>
          </w:p>
        </w:tc>
        <w:tc>
          <w:tcPr>
            <w:tcW w:type="dxa" w:w="4032"/>
            <w:vAlign w:val="center"/>
          </w:tcPr>
          <w:p>
            <w:r/>
            <w:r>
              <w:rPr>
                <w:b w:val="0"/>
                <w:sz w:val="17"/>
              </w:rPr>
              <w:t>trigger_date + N months</w:t>
            </w:r>
          </w:p>
        </w:tc>
        <w:tc>
          <w:tcPr>
            <w:tcW w:type="dxa" w:w="3456"/>
            <w:vAlign w:val="center"/>
          </w:tcPr>
          <w:p>
            <w:r/>
            <w:r>
              <w:rPr>
                <w:b w:val="0"/>
                <w:sz w:val="17"/>
              </w:rPr>
              <w:t>FYE-based annual filing.</w:t>
            </w:r>
          </w:p>
        </w:tc>
      </w:tr>
      <w:tr>
        <w:tc>
          <w:tcPr>
            <w:tcW w:type="dxa" w:w="2736"/>
            <w:vAlign w:val="center"/>
            <w:shd w:fill="F3F6F9"/>
          </w:tcPr>
          <w:p>
            <w:r/>
            <w:r>
              <w:rPr>
                <w:b w:val="0"/>
                <w:sz w:val="17"/>
              </w:rPr>
              <w:t>ADD_YEARS</w:t>
            </w:r>
          </w:p>
        </w:tc>
        <w:tc>
          <w:tcPr>
            <w:tcW w:type="dxa" w:w="4032"/>
            <w:vAlign w:val="center"/>
            <w:shd w:fill="F3F6F9"/>
          </w:tcPr>
          <w:p>
            <w:r/>
            <w:r>
              <w:rPr>
                <w:b w:val="0"/>
                <w:sz w:val="17"/>
              </w:rPr>
              <w:t>trigger_date + N years</w:t>
            </w:r>
          </w:p>
        </w:tc>
        <w:tc>
          <w:tcPr>
            <w:tcW w:type="dxa" w:w="3456"/>
            <w:vAlign w:val="center"/>
            <w:shd w:fill="F3F6F9"/>
          </w:tcPr>
          <w:p>
            <w:r/>
            <w:r>
              <w:rPr>
                <w:b w:val="0"/>
                <w:sz w:val="17"/>
              </w:rPr>
              <w:t>Long-term licence renewal.</w:t>
            </w:r>
          </w:p>
        </w:tc>
      </w:tr>
      <w:tr>
        <w:tc>
          <w:tcPr>
            <w:tcW w:type="dxa" w:w="2736"/>
            <w:vAlign w:val="center"/>
          </w:tcPr>
          <w:p>
            <w:r/>
            <w:r>
              <w:rPr>
                <w:b w:val="0"/>
                <w:sz w:val="17"/>
              </w:rPr>
              <w:t>FIXED_DATE</w:t>
            </w:r>
          </w:p>
        </w:tc>
        <w:tc>
          <w:tcPr>
            <w:tcW w:type="dxa" w:w="4032"/>
            <w:vAlign w:val="center"/>
          </w:tcPr>
          <w:p>
            <w:r/>
            <w:r>
              <w:rPr>
                <w:b w:val="0"/>
                <w:sz w:val="17"/>
              </w:rPr>
              <w:t>Configured day/month in relevant year</w:t>
            </w:r>
          </w:p>
        </w:tc>
        <w:tc>
          <w:tcPr>
            <w:tcW w:type="dxa" w:w="3456"/>
            <w:vAlign w:val="center"/>
          </w:tcPr>
          <w:p>
            <w:r/>
            <w:r>
              <w:rPr>
                <w:b w:val="0"/>
                <w:sz w:val="17"/>
              </w:rPr>
              <w:t>Annual tax return.</w:t>
            </w:r>
          </w:p>
        </w:tc>
      </w:tr>
      <w:tr>
        <w:tc>
          <w:tcPr>
            <w:tcW w:type="dxa" w:w="2736"/>
            <w:vAlign w:val="center"/>
            <w:shd w:fill="F3F6F9"/>
          </w:tcPr>
          <w:p>
            <w:r/>
            <w:r>
              <w:rPr>
                <w:b w:val="0"/>
                <w:sz w:val="17"/>
              </w:rPr>
              <w:t>NTH_DAY_OF_MONTH</w:t>
            </w:r>
          </w:p>
        </w:tc>
        <w:tc>
          <w:tcPr>
            <w:tcW w:type="dxa" w:w="4032"/>
            <w:vAlign w:val="center"/>
            <w:shd w:fill="F3F6F9"/>
          </w:tcPr>
          <w:p>
            <w:r/>
            <w:r>
              <w:rPr>
                <w:b w:val="0"/>
                <w:sz w:val="17"/>
              </w:rPr>
              <w:t>Nth calendar/working day of month</w:t>
            </w:r>
          </w:p>
        </w:tc>
        <w:tc>
          <w:tcPr>
            <w:tcW w:type="dxa" w:w="3456"/>
            <w:vAlign w:val="center"/>
            <w:shd w:fill="F3F6F9"/>
          </w:tcPr>
          <w:p>
            <w:r/>
            <w:r>
              <w:rPr>
                <w:b w:val="0"/>
                <w:sz w:val="17"/>
              </w:rPr>
              <w:t>Payroll or indirect tax.</w:t>
            </w:r>
          </w:p>
        </w:tc>
      </w:tr>
      <w:tr>
        <w:tc>
          <w:tcPr>
            <w:tcW w:type="dxa" w:w="2736"/>
            <w:vAlign w:val="center"/>
          </w:tcPr>
          <w:p>
            <w:r/>
            <w:r>
              <w:rPr>
                <w:b w:val="0"/>
                <w:sz w:val="17"/>
              </w:rPr>
              <w:t>PERIOD_END_OFFSET</w:t>
            </w:r>
          </w:p>
        </w:tc>
        <w:tc>
          <w:tcPr>
            <w:tcW w:type="dxa" w:w="4032"/>
            <w:vAlign w:val="center"/>
          </w:tcPr>
          <w:p>
            <w:r/>
            <w:r>
              <w:rPr>
                <w:b w:val="0"/>
                <w:sz w:val="17"/>
              </w:rPr>
              <w:t>Tax/filing period end + offset</w:t>
            </w:r>
          </w:p>
        </w:tc>
        <w:tc>
          <w:tcPr>
            <w:tcW w:type="dxa" w:w="3456"/>
            <w:vAlign w:val="center"/>
          </w:tcPr>
          <w:p>
            <w:r/>
            <w:r>
              <w:rPr>
                <w:b w:val="0"/>
                <w:sz w:val="17"/>
              </w:rPr>
              <w:t>VAT/GST/SST return.</w:t>
            </w:r>
          </w:p>
        </w:tc>
      </w:tr>
      <w:tr>
        <w:tc>
          <w:tcPr>
            <w:tcW w:type="dxa" w:w="2736"/>
            <w:vAlign w:val="center"/>
            <w:shd w:fill="F3F6F9"/>
          </w:tcPr>
          <w:p>
            <w:r/>
            <w:r>
              <w:rPr>
                <w:b w:val="0"/>
                <w:sz w:val="17"/>
              </w:rPr>
              <w:t>ANNIVERSARY_OFFSET</w:t>
            </w:r>
          </w:p>
        </w:tc>
        <w:tc>
          <w:tcPr>
            <w:tcW w:type="dxa" w:w="4032"/>
            <w:vAlign w:val="center"/>
            <w:shd w:fill="F3F6F9"/>
          </w:tcPr>
          <w:p>
            <w:r/>
            <w:r>
              <w:rPr>
                <w:b w:val="0"/>
                <w:sz w:val="17"/>
              </w:rPr>
              <w:t>Incorporation/registration anniversary + offset</w:t>
            </w:r>
          </w:p>
        </w:tc>
        <w:tc>
          <w:tcPr>
            <w:tcW w:type="dxa" w:w="3456"/>
            <w:vAlign w:val="center"/>
            <w:shd w:fill="F3F6F9"/>
          </w:tcPr>
          <w:p>
            <w:r/>
            <w:r>
              <w:rPr>
                <w:b w:val="0"/>
                <w:sz w:val="17"/>
              </w:rPr>
              <w:t>Annual return or licence.</w:t>
            </w:r>
          </w:p>
        </w:tc>
      </w:tr>
      <w:tr>
        <w:tc>
          <w:tcPr>
            <w:tcW w:type="dxa" w:w="2736"/>
            <w:vAlign w:val="center"/>
          </w:tcPr>
          <w:p>
            <w:r/>
            <w:r>
              <w:rPr>
                <w:b w:val="0"/>
                <w:sz w:val="17"/>
              </w:rPr>
              <w:t>RELATIVE_TO_EVENT</w:t>
            </w:r>
          </w:p>
        </w:tc>
        <w:tc>
          <w:tcPr>
            <w:tcW w:type="dxa" w:w="4032"/>
            <w:vAlign w:val="center"/>
          </w:tcPr>
          <w:p>
            <w:r/>
            <w:r>
              <w:rPr>
                <w:b w:val="0"/>
                <w:sz w:val="17"/>
              </w:rPr>
              <w:t>Parent event date +/- offset</w:t>
            </w:r>
          </w:p>
        </w:tc>
        <w:tc>
          <w:tcPr>
            <w:tcW w:type="dxa" w:w="3456"/>
            <w:vAlign w:val="center"/>
          </w:tcPr>
          <w:p>
            <w:r/>
            <w:r>
              <w:rPr>
                <w:b w:val="0"/>
                <w:sz w:val="17"/>
              </w:rPr>
              <w:t>Audit before AGM.</w:t>
            </w:r>
          </w:p>
        </w:tc>
      </w:tr>
      <w:tr>
        <w:tc>
          <w:tcPr>
            <w:tcW w:type="dxa" w:w="2736"/>
            <w:vAlign w:val="center"/>
            <w:shd w:fill="F3F6F9"/>
          </w:tcPr>
          <w:p>
            <w:r/>
            <w:r>
              <w:rPr>
                <w:b w:val="0"/>
                <w:sz w:val="17"/>
              </w:rPr>
              <w:t>CUSTOM_EXPRESSION</w:t>
            </w:r>
          </w:p>
        </w:tc>
        <w:tc>
          <w:tcPr>
            <w:tcW w:type="dxa" w:w="4032"/>
            <w:vAlign w:val="center"/>
            <w:shd w:fill="F3F6F9"/>
          </w:tcPr>
          <w:p>
            <w:r/>
            <w:r>
              <w:rPr>
                <w:b w:val="0"/>
                <w:sz w:val="17"/>
              </w:rPr>
              <w:t>Approved domain-specific expression</w:t>
            </w:r>
          </w:p>
        </w:tc>
        <w:tc>
          <w:tcPr>
            <w:tcW w:type="dxa" w:w="3456"/>
            <w:vAlign w:val="center"/>
            <w:shd w:fill="F3F6F9"/>
          </w:tcPr>
          <w:p>
            <w:r/>
            <w:r>
              <w:rPr>
                <w:b w:val="0"/>
                <w:sz w:val="17"/>
              </w:rPr>
              <w:t>Complex jurisdictional rule.</w:t>
            </w:r>
          </w:p>
        </w:tc>
      </w:tr>
    </w:tbl>
    <w:p/>
    <w:p>
      <w:pPr>
        <w:pStyle w:val="Heading2"/>
      </w:pPr>
      <w:r>
        <w:t>6.2 Date Inputs</w:t>
      </w:r>
    </w:p>
    <w:p>
      <w:pPr>
        <w:pStyle w:val="ListBullet"/>
      </w:pPr>
      <w:r>
        <w:t>Financial year end and accounting-period end.</w:t>
      </w:r>
    </w:p>
    <w:p>
      <w:pPr>
        <w:pStyle w:val="ListBullet"/>
      </w:pPr>
      <w:r>
        <w:t>Incorporation, registration or commencement date.</w:t>
      </w:r>
    </w:p>
    <w:p>
      <w:pPr>
        <w:pStyle w:val="ListBullet"/>
      </w:pPr>
      <w:r>
        <w:t>Incorporation anniversary or licence expiry date.</w:t>
      </w:r>
    </w:p>
    <w:p>
      <w:pPr>
        <w:pStyle w:val="ListBullet"/>
      </w:pPr>
      <w:r>
        <w:t>Authority tax period start/end date.</w:t>
      </w:r>
    </w:p>
    <w:p>
      <w:pPr>
        <w:pStyle w:val="ListBullet"/>
      </w:pPr>
      <w:r>
        <w:t>Event date, awareness date, transaction date or resolution date.</w:t>
      </w:r>
    </w:p>
    <w:p>
      <w:pPr>
        <w:pStyle w:val="ListBullet"/>
      </w:pPr>
      <w:r>
        <w:t>Parent compliance due date, meeting date or circulation date.</w:t>
      </w:r>
    </w:p>
    <w:p>
      <w:pPr>
        <w:pStyle w:val="ListBullet"/>
      </w:pPr>
      <w:r>
        <w:t>Year of assessment, calendar year or fiscal year.</w:t>
      </w:r>
    </w:p>
    <w:p>
      <w:pPr>
        <w:pStyle w:val="Heading2"/>
      </w:pPr>
      <w:r>
        <w:t>6.3 Month-End Behaviour</w:t>
      </w:r>
    </w:p>
    <w:p>
      <w:r>
        <w:t>When adding months, if the original day does not exist in the target month, use the last calendar day of the target month unless the rule explicitly specifies another convention. The result must be deterministic and covered by automated tests.</w:t>
      </w:r>
    </w:p>
    <w:p>
      <w:pPr>
        <w:pStyle w:val="Heading2"/>
      </w:pPr>
      <w:r>
        <w:t>6.4 Weekend and Holiday Adjustment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Adjustment Mode</w:t>
            </w:r>
          </w:p>
        </w:tc>
        <w:tc>
          <w:tcPr>
            <w:tcW w:type="dxa" w:w="7200"/>
            <w:vAlign w:val="center"/>
            <w:shd w:fill="1F4E78"/>
          </w:tcPr>
          <w:p>
            <w:r/>
            <w:r>
              <w:rPr>
                <w:b/>
                <w:color w:val="FFFFFF"/>
                <w:sz w:val="18"/>
              </w:rPr>
              <w:t>Behaviour</w:t>
            </w:r>
          </w:p>
        </w:tc>
      </w:tr>
      <w:tr>
        <w:tc>
          <w:tcPr>
            <w:tcW w:type="dxa" w:w="2880"/>
            <w:vAlign w:val="center"/>
          </w:tcPr>
          <w:p>
            <w:r/>
            <w:r>
              <w:rPr>
                <w:b w:val="0"/>
                <w:sz w:val="17"/>
              </w:rPr>
              <w:t>NONE</w:t>
            </w:r>
          </w:p>
        </w:tc>
        <w:tc>
          <w:tcPr>
            <w:tcW w:type="dxa" w:w="7200"/>
            <w:vAlign w:val="center"/>
          </w:tcPr>
          <w:p>
            <w:r/>
            <w:r>
              <w:rPr>
                <w:b w:val="0"/>
                <w:sz w:val="17"/>
              </w:rPr>
              <w:t>Keep the calculated statutory date unchanged.</w:t>
            </w:r>
          </w:p>
        </w:tc>
      </w:tr>
      <w:tr>
        <w:tc>
          <w:tcPr>
            <w:tcW w:type="dxa" w:w="2880"/>
            <w:vAlign w:val="center"/>
            <w:shd w:fill="F3F6F9"/>
          </w:tcPr>
          <w:p>
            <w:r/>
            <w:r>
              <w:rPr>
                <w:b w:val="0"/>
                <w:sz w:val="17"/>
              </w:rPr>
              <w:t>NEXT_WORKING_DAY</w:t>
            </w:r>
          </w:p>
        </w:tc>
        <w:tc>
          <w:tcPr>
            <w:tcW w:type="dxa" w:w="7200"/>
            <w:vAlign w:val="center"/>
            <w:shd w:fill="F3F6F9"/>
          </w:tcPr>
          <w:p>
            <w:r/>
            <w:r>
              <w:rPr>
                <w:b w:val="0"/>
                <w:sz w:val="17"/>
              </w:rPr>
              <w:t>Move to the next working day using the authority calendar.</w:t>
            </w:r>
          </w:p>
        </w:tc>
      </w:tr>
      <w:tr>
        <w:tc>
          <w:tcPr>
            <w:tcW w:type="dxa" w:w="2880"/>
            <w:vAlign w:val="center"/>
          </w:tcPr>
          <w:p>
            <w:r/>
            <w:r>
              <w:rPr>
                <w:b w:val="0"/>
                <w:sz w:val="17"/>
              </w:rPr>
              <w:t>PREVIOUS_WORKING_DAY</w:t>
            </w:r>
          </w:p>
        </w:tc>
        <w:tc>
          <w:tcPr>
            <w:tcW w:type="dxa" w:w="7200"/>
            <w:vAlign w:val="center"/>
          </w:tcPr>
          <w:p>
            <w:r/>
            <w:r>
              <w:rPr>
                <w:b w:val="0"/>
                <w:sz w:val="17"/>
              </w:rPr>
              <w:t>Move to the previous working day.</w:t>
            </w:r>
          </w:p>
        </w:tc>
      </w:tr>
      <w:tr>
        <w:tc>
          <w:tcPr>
            <w:tcW w:type="dxa" w:w="2880"/>
            <w:vAlign w:val="center"/>
            <w:shd w:fill="F3F6F9"/>
          </w:tcPr>
          <w:p>
            <w:r/>
            <w:r>
              <w:rPr>
                <w:b w:val="0"/>
                <w:sz w:val="17"/>
              </w:rPr>
              <w:t>AUTHORITY_SPECIFIC</w:t>
            </w:r>
          </w:p>
        </w:tc>
        <w:tc>
          <w:tcPr>
            <w:tcW w:type="dxa" w:w="7200"/>
            <w:vAlign w:val="center"/>
            <w:shd w:fill="F3F6F9"/>
          </w:tcPr>
          <w:p>
            <w:r/>
            <w:r>
              <w:rPr>
                <w:b w:val="0"/>
                <w:sz w:val="17"/>
              </w:rPr>
              <w:t>Apply the authority-specific calendar and policy.</w:t>
            </w:r>
          </w:p>
        </w:tc>
      </w:tr>
      <w:tr>
        <w:tc>
          <w:tcPr>
            <w:tcW w:type="dxa" w:w="2880"/>
            <w:vAlign w:val="center"/>
          </w:tcPr>
          <w:p>
            <w:r/>
            <w:r>
              <w:rPr>
                <w:b w:val="0"/>
                <w:sz w:val="17"/>
              </w:rPr>
              <w:t>DISPLAY_ONLY</w:t>
            </w:r>
          </w:p>
        </w:tc>
        <w:tc>
          <w:tcPr>
            <w:tcW w:type="dxa" w:w="7200"/>
            <w:vAlign w:val="center"/>
          </w:tcPr>
          <w:p>
            <w:r/>
            <w:r>
              <w:rPr>
                <w:b w:val="0"/>
                <w:sz w:val="17"/>
              </w:rPr>
              <w:t>Keep statutory date but show an operational target date.</w:t>
            </w:r>
          </w:p>
        </w:tc>
      </w:tr>
    </w:tbl>
    <w:p/>
    <w:p>
      <w:r>
        <w:t>The system shall store calculated_statutory_due_date, adjusted_due_date and operational_target_date separately.</w:t>
      </w:r>
    </w:p>
    <w:p>
      <w:pPr>
        <w:pStyle w:val="Heading2"/>
      </w:pPr>
      <w:r>
        <w:t>6.5 Due-Date Pseudocode</w:t>
      </w:r>
    </w:p>
    <w:p>
      <w:r>
        <w:rPr>
          <w:rFonts w:ascii="Consolas" w:hAnsi="Consolas"/>
          <w:sz w:val="18"/>
        </w:rPr>
        <w:t>1. Resolve trigger date and rule version.</w:t>
        <w:br/>
        <w:t>2. Apply formula to calculate statutory due date.</w:t>
        <w:br/>
        <w:t>3. Apply month-end convention.</w:t>
        <w:br/>
        <w:t>4. Apply authority holiday/weekend rule.</w:t>
        <w:br/>
        <w:t>5. Apply approved extension, if any.</w:t>
        <w:br/>
        <w:t>6. Calculate operational target date.</w:t>
        <w:br/>
        <w:t>7. Generate reminder instances.</w:t>
        <w:br/>
        <w:t>8. Save calculation trace and formula inputs.</w:t>
      </w:r>
    </w:p>
    <w:p>
      <w:pPr>
        <w:pStyle w:val="Heading1"/>
      </w:pPr>
      <w:r>
        <w:t>7. Extension, Grace and Waiver Logic</w:t>
      </w:r>
    </w:p>
    <w:p>
      <w:pPr>
        <w:pStyle w:val="Heading2"/>
      </w:pPr>
      <w:r>
        <w:t>7.1 Extension Data Rules</w:t>
      </w:r>
    </w:p>
    <w:p>
      <w:pPr>
        <w:pStyle w:val="ListBullet"/>
      </w:pPr>
      <w:r>
        <w:t>Never overwrite original_due_date.</w:t>
      </w:r>
    </w:p>
    <w:p>
      <w:pPr>
        <w:pStyle w:val="ListBullet"/>
      </w:pPr>
      <w:r>
        <w:t>A requested date is not effective until approved.</w:t>
      </w:r>
    </w:p>
    <w:p>
      <w:pPr>
        <w:pStyle w:val="ListBullet"/>
      </w:pPr>
      <w:r>
        <w:t>current_due_date equals approved_extended_due_date only when extension status is approved.</w:t>
      </w:r>
    </w:p>
    <w:p>
      <w:pPr>
        <w:pStyle w:val="ListBullet"/>
      </w:pPr>
      <w:r>
        <w:t>Every extension must store request date, reason, requested date, authority, reference, decision date and evidence.</w:t>
      </w:r>
    </w:p>
    <w:p>
      <w:pPr>
        <w:pStyle w:val="ListBullet"/>
      </w:pPr>
      <w:r>
        <w:t>Multiple extensions may be stored as separate records; the latest valid approved extension controls the current due date.</w:t>
      </w:r>
    </w:p>
    <w:p>
      <w:pPr>
        <w:pStyle w:val="ListBullet"/>
      </w:pPr>
      <w:r>
        <w:t>Future reminders must be regenerated when an approved extension changes the current due date.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Extension Status</w:t>
            </w:r>
          </w:p>
        </w:tc>
        <w:tc>
          <w:tcPr>
            <w:tcW w:type="dxa" w:w="7200"/>
            <w:vAlign w:val="center"/>
            <w:shd w:fill="1F4E78"/>
          </w:tcPr>
          <w:p>
            <w:r/>
            <w:r>
              <w:rPr>
                <w:b/>
                <w:color w:val="FFFFFF"/>
                <w:sz w:val="18"/>
              </w:rPr>
              <w:t>System Behaviour</w:t>
            </w:r>
          </w:p>
        </w:tc>
      </w:tr>
      <w:tr>
        <w:tc>
          <w:tcPr>
            <w:tcW w:type="dxa" w:w="2880"/>
            <w:vAlign w:val="center"/>
          </w:tcPr>
          <w:p>
            <w:r/>
            <w:r>
              <w:rPr>
                <w:b w:val="0"/>
                <w:sz w:val="17"/>
              </w:rPr>
              <w:t>NOT_REQUESTED</w:t>
            </w:r>
          </w:p>
        </w:tc>
        <w:tc>
          <w:tcPr>
            <w:tcW w:type="dxa" w:w="7200"/>
            <w:vAlign w:val="center"/>
          </w:tcPr>
          <w:p>
            <w:r/>
            <w:r>
              <w:rPr>
                <w:b w:val="0"/>
                <w:sz w:val="17"/>
              </w:rPr>
              <w:t>Use original due date.</w:t>
            </w:r>
          </w:p>
        </w:tc>
      </w:tr>
      <w:tr>
        <w:tc>
          <w:tcPr>
            <w:tcW w:type="dxa" w:w="2880"/>
            <w:vAlign w:val="center"/>
            <w:shd w:fill="F3F6F9"/>
          </w:tcPr>
          <w:p>
            <w:r/>
            <w:r>
              <w:rPr>
                <w:b w:val="0"/>
                <w:sz w:val="17"/>
              </w:rPr>
              <w:t>DRAFT</w:t>
            </w:r>
          </w:p>
        </w:tc>
        <w:tc>
          <w:tcPr>
            <w:tcW w:type="dxa" w:w="7200"/>
            <w:vAlign w:val="center"/>
            <w:shd w:fill="F3F6F9"/>
          </w:tcPr>
          <w:p>
            <w:r/>
            <w:r>
              <w:rPr>
                <w:b w:val="0"/>
                <w:sz w:val="17"/>
              </w:rPr>
              <w:t>No due-date change.</w:t>
            </w:r>
          </w:p>
        </w:tc>
      </w:tr>
      <w:tr>
        <w:tc>
          <w:tcPr>
            <w:tcW w:type="dxa" w:w="2880"/>
            <w:vAlign w:val="center"/>
          </w:tcPr>
          <w:p>
            <w:r/>
            <w:r>
              <w:rPr>
                <w:b w:val="0"/>
                <w:sz w:val="17"/>
              </w:rPr>
              <w:t>SUBMITTED / PENDING</w:t>
            </w:r>
          </w:p>
        </w:tc>
        <w:tc>
          <w:tcPr>
            <w:tcW w:type="dxa" w:w="7200"/>
            <w:vAlign w:val="center"/>
          </w:tcPr>
          <w:p>
            <w:r/>
            <w:r>
              <w:rPr>
                <w:b w:val="0"/>
                <w:sz w:val="17"/>
              </w:rPr>
              <w:t>Continue to warn against original due date.</w:t>
            </w:r>
          </w:p>
        </w:tc>
      </w:tr>
      <w:tr>
        <w:tc>
          <w:tcPr>
            <w:tcW w:type="dxa" w:w="2880"/>
            <w:vAlign w:val="center"/>
            <w:shd w:fill="F3F6F9"/>
          </w:tcPr>
          <w:p>
            <w:r/>
            <w:r>
              <w:rPr>
                <w:b w:val="0"/>
                <w:sz w:val="17"/>
              </w:rPr>
              <w:t>APPROVED</w:t>
            </w:r>
          </w:p>
        </w:tc>
        <w:tc>
          <w:tcPr>
            <w:tcW w:type="dxa" w:w="7200"/>
            <w:vAlign w:val="center"/>
            <w:shd w:fill="F3F6F9"/>
          </w:tcPr>
          <w:p>
            <w:r/>
            <w:r>
              <w:rPr>
                <w:b w:val="0"/>
                <w:sz w:val="17"/>
              </w:rPr>
              <w:t>Use approved extended date.</w:t>
            </w:r>
          </w:p>
        </w:tc>
      </w:tr>
      <w:tr>
        <w:tc>
          <w:tcPr>
            <w:tcW w:type="dxa" w:w="2880"/>
            <w:vAlign w:val="center"/>
          </w:tcPr>
          <w:p>
            <w:r/>
            <w:r>
              <w:rPr>
                <w:b w:val="0"/>
                <w:sz w:val="17"/>
              </w:rPr>
              <w:t>PARTIALLY_APPROVED</w:t>
            </w:r>
          </w:p>
        </w:tc>
        <w:tc>
          <w:tcPr>
            <w:tcW w:type="dxa" w:w="7200"/>
            <w:vAlign w:val="center"/>
          </w:tcPr>
          <w:p>
            <w:r/>
            <w:r>
              <w:rPr>
                <w:b w:val="0"/>
                <w:sz w:val="17"/>
              </w:rPr>
              <w:t>Use authority-approved date, not requested date.</w:t>
            </w:r>
          </w:p>
        </w:tc>
      </w:tr>
      <w:tr>
        <w:tc>
          <w:tcPr>
            <w:tcW w:type="dxa" w:w="2880"/>
            <w:vAlign w:val="center"/>
            <w:shd w:fill="F3F6F9"/>
          </w:tcPr>
          <w:p>
            <w:r/>
            <w:r>
              <w:rPr>
                <w:b w:val="0"/>
                <w:sz w:val="17"/>
              </w:rPr>
              <w:t>REJECTED / WITHDRAWN</w:t>
            </w:r>
          </w:p>
        </w:tc>
        <w:tc>
          <w:tcPr>
            <w:tcW w:type="dxa" w:w="7200"/>
            <w:vAlign w:val="center"/>
            <w:shd w:fill="F3F6F9"/>
          </w:tcPr>
          <w:p>
            <w:r/>
            <w:r>
              <w:rPr>
                <w:b w:val="0"/>
                <w:sz w:val="17"/>
              </w:rPr>
              <w:t>Keep original due date.</w:t>
            </w:r>
          </w:p>
        </w:tc>
      </w:tr>
      <w:tr>
        <w:tc>
          <w:tcPr>
            <w:tcW w:type="dxa" w:w="2880"/>
            <w:vAlign w:val="center"/>
          </w:tcPr>
          <w:p>
            <w:r/>
            <w:r>
              <w:rPr>
                <w:b w:val="0"/>
                <w:sz w:val="17"/>
              </w:rPr>
              <w:t>EXPIRED</w:t>
            </w:r>
          </w:p>
        </w:tc>
        <w:tc>
          <w:tcPr>
            <w:tcW w:type="dxa" w:w="7200"/>
            <w:vAlign w:val="center"/>
          </w:tcPr>
          <w:p>
            <w:r/>
            <w:r>
              <w:rPr>
                <w:b w:val="0"/>
                <w:sz w:val="17"/>
              </w:rPr>
              <w:t>Return to applicable legal/current due date and escalate.</w:t>
            </w:r>
          </w:p>
        </w:tc>
      </w:tr>
    </w:tbl>
    <w:p/>
    <w:p>
      <w:pPr>
        <w:pStyle w:val="Heading2"/>
      </w:pPr>
      <w:r>
        <w:t>7.2 Grace Period</w:t>
      </w:r>
    </w:p>
    <w:p>
      <w:r>
        <w:t>A grace period does not change the statutory due date. It affects penalty or escalation logic only. Store statutory_due_date, grace_end_date and penalty_start_date separately. A compliance event may be overdue even when no penalty has started.</w:t>
      </w:r>
    </w:p>
    <w:p>
      <w:pPr>
        <w:pStyle w:val="Heading2"/>
      </w:pPr>
      <w:r>
        <w:t>7.3 Waiver and Exemption</w:t>
      </w:r>
    </w:p>
    <w:p>
      <w:pPr>
        <w:pStyle w:val="ListBullet"/>
      </w:pPr>
      <w:r>
        <w:t>Rule-based exemption: system determines non-applicability from company attributes.</w:t>
      </w:r>
    </w:p>
    <w:p>
      <w:pPr>
        <w:pStyle w:val="ListBullet"/>
      </w:pPr>
      <w:r>
        <w:t>Authority waiver: user records an official waiver with evidence and effective period.</w:t>
      </w:r>
    </w:p>
    <w:p>
      <w:pPr>
        <w:pStyle w:val="ListBullet"/>
      </w:pPr>
      <w:r>
        <w:t>Conditional exemption: event remains pending until eligibility is confirmed.</w:t>
      </w:r>
    </w:p>
    <w:p>
      <w:pPr>
        <w:pStyle w:val="ListBullet"/>
      </w:pPr>
      <w:r>
        <w:t>Waived and not-applicable events remain visible in history but are excluded from overdue counts.</w:t>
      </w:r>
    </w:p>
    <w:p>
      <w:pPr>
        <w:pStyle w:val="Heading1"/>
      </w:pPr>
      <w:r>
        <w:t>8. Reminder and Escalation Logic</w:t>
      </w:r>
    </w:p>
    <w:p>
      <w:pPr>
        <w:pStyle w:val="Heading2"/>
      </w:pPr>
      <w:r>
        <w:t>8.1 Reminder Profiles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1F4E78"/>
          </w:tcPr>
          <w:p>
            <w:r/>
            <w:r>
              <w:rPr>
                <w:b/>
                <w:color w:val="FFFFFF"/>
                <w:sz w:val="18"/>
              </w:rPr>
              <w:t>Profile</w:t>
            </w:r>
          </w:p>
        </w:tc>
        <w:tc>
          <w:tcPr>
            <w:tcW w:type="dxa" w:w="3888"/>
            <w:vAlign w:val="center"/>
            <w:shd w:fill="1F4E78"/>
          </w:tcPr>
          <w:p>
            <w:r/>
            <w:r>
              <w:rPr>
                <w:b/>
                <w:color w:val="FFFFFF"/>
                <w:sz w:val="18"/>
              </w:rPr>
              <w:t>Suggested Offsets</w:t>
            </w:r>
          </w:p>
        </w:tc>
        <w:tc>
          <w:tcPr>
            <w:tcW w:type="dxa" w:w="3744"/>
            <w:vAlign w:val="center"/>
            <w:shd w:fill="1F4E78"/>
          </w:tcPr>
          <w:p>
            <w:r/>
            <w:r>
              <w:rPr>
                <w:b/>
                <w:color w:val="FFFFFF"/>
                <w:sz w:val="18"/>
              </w:rPr>
              <w:t>Typical Use</w:t>
            </w:r>
          </w:p>
        </w:tc>
      </w:tr>
      <w:tr>
        <w:tc>
          <w:tcPr>
            <w:tcW w:type="dxa" w:w="2448"/>
            <w:vAlign w:val="center"/>
          </w:tcPr>
          <w:p>
            <w:r/>
            <w:r>
              <w:rPr>
                <w:b w:val="0"/>
                <w:sz w:val="17"/>
              </w:rPr>
              <w:t>LONG_PREPARATION</w:t>
            </w:r>
          </w:p>
        </w:tc>
        <w:tc>
          <w:tcPr>
            <w:tcW w:type="dxa" w:w="3888"/>
            <w:vAlign w:val="center"/>
          </w:tcPr>
          <w:p>
            <w:r/>
            <w:r>
              <w:rPr>
                <w:b w:val="0"/>
                <w:sz w:val="17"/>
              </w:rPr>
              <w:t>120, 90, 60, 45, 30, 15, 7, 3, 1 days before</w:t>
            </w:r>
          </w:p>
        </w:tc>
        <w:tc>
          <w:tcPr>
            <w:tcW w:type="dxa" w:w="3744"/>
            <w:vAlign w:val="center"/>
          </w:tcPr>
          <w:p>
            <w:r/>
            <w:r>
              <w:rPr>
                <w:b w:val="0"/>
                <w:sz w:val="17"/>
              </w:rPr>
              <w:t>AGM, audit, financial statements, annual return.</w:t>
            </w:r>
          </w:p>
        </w:tc>
      </w:tr>
      <w:tr>
        <w:tc>
          <w:tcPr>
            <w:tcW w:type="dxa" w:w="2448"/>
            <w:vAlign w:val="center"/>
            <w:shd w:fill="F3F6F9"/>
          </w:tcPr>
          <w:p>
            <w:r/>
            <w:r>
              <w:rPr>
                <w:b w:val="0"/>
                <w:sz w:val="17"/>
              </w:rPr>
              <w:t>STANDARD_FILING</w:t>
            </w:r>
          </w:p>
        </w:tc>
        <w:tc>
          <w:tcPr>
            <w:tcW w:type="dxa" w:w="3888"/>
            <w:vAlign w:val="center"/>
            <w:shd w:fill="F3F6F9"/>
          </w:tcPr>
          <w:p>
            <w:r/>
            <w:r>
              <w:rPr>
                <w:b w:val="0"/>
                <w:sz w:val="17"/>
              </w:rPr>
              <w:t>30, 15, 7, 3, 1 days before</w:t>
            </w:r>
          </w:p>
        </w:tc>
        <w:tc>
          <w:tcPr>
            <w:tcW w:type="dxa" w:w="3744"/>
            <w:vAlign w:val="center"/>
            <w:shd w:fill="F3F6F9"/>
          </w:tcPr>
          <w:p>
            <w:r/>
            <w:r>
              <w:rPr>
                <w:b w:val="0"/>
                <w:sz w:val="17"/>
              </w:rPr>
              <w:t>Tax and routine statutory filings.</w:t>
            </w:r>
          </w:p>
        </w:tc>
      </w:tr>
      <w:tr>
        <w:tc>
          <w:tcPr>
            <w:tcW w:type="dxa" w:w="2448"/>
            <w:vAlign w:val="center"/>
          </w:tcPr>
          <w:p>
            <w:r/>
            <w:r>
              <w:rPr>
                <w:b w:val="0"/>
                <w:sz w:val="17"/>
              </w:rPr>
              <w:t>PERIODIC_TAX</w:t>
            </w:r>
          </w:p>
        </w:tc>
        <w:tc>
          <w:tcPr>
            <w:tcW w:type="dxa" w:w="3888"/>
            <w:vAlign w:val="center"/>
          </w:tcPr>
          <w:p>
            <w:r/>
            <w:r>
              <w:rPr>
                <w:b w:val="0"/>
                <w:sz w:val="17"/>
              </w:rPr>
              <w:t>15, 7, 3, 1 days before</w:t>
            </w:r>
          </w:p>
        </w:tc>
        <w:tc>
          <w:tcPr>
            <w:tcW w:type="dxa" w:w="3744"/>
            <w:vAlign w:val="center"/>
          </w:tcPr>
          <w:p>
            <w:r/>
            <w:r>
              <w:rPr>
                <w:b w:val="0"/>
                <w:sz w:val="17"/>
              </w:rPr>
              <w:t>VAT/GST/SST/payroll returns.</w:t>
            </w:r>
          </w:p>
        </w:tc>
      </w:tr>
      <w:tr>
        <w:tc>
          <w:tcPr>
            <w:tcW w:type="dxa" w:w="2448"/>
            <w:vAlign w:val="center"/>
            <w:shd w:fill="F3F6F9"/>
          </w:tcPr>
          <w:p>
            <w:r/>
            <w:r>
              <w:rPr>
                <w:b w:val="0"/>
                <w:sz w:val="17"/>
              </w:rPr>
              <w:t>EVENT_DRIVEN</w:t>
            </w:r>
          </w:p>
        </w:tc>
        <w:tc>
          <w:tcPr>
            <w:tcW w:type="dxa" w:w="3888"/>
            <w:vAlign w:val="center"/>
            <w:shd w:fill="F3F6F9"/>
          </w:tcPr>
          <w:p>
            <w:r/>
            <w:r>
              <w:rPr>
                <w:b w:val="0"/>
                <w:sz w:val="17"/>
              </w:rPr>
              <w:t>14, 7, 3, 1 days before</w:t>
            </w:r>
          </w:p>
        </w:tc>
        <w:tc>
          <w:tcPr>
            <w:tcW w:type="dxa" w:w="3744"/>
            <w:vAlign w:val="center"/>
            <w:shd w:fill="F3F6F9"/>
          </w:tcPr>
          <w:p>
            <w:r/>
            <w:r>
              <w:rPr>
                <w:b w:val="0"/>
                <w:sz w:val="17"/>
              </w:rPr>
              <w:t>Officer, address, UBO or ownership changes.</w:t>
            </w:r>
          </w:p>
        </w:tc>
      </w:tr>
      <w:tr>
        <w:tc>
          <w:tcPr>
            <w:tcW w:type="dxa" w:w="2448"/>
            <w:vAlign w:val="center"/>
          </w:tcPr>
          <w:p>
            <w:r/>
            <w:r>
              <w:rPr>
                <w:b w:val="0"/>
                <w:sz w:val="17"/>
              </w:rPr>
              <w:t>LICENCE_RENEWAL</w:t>
            </w:r>
          </w:p>
        </w:tc>
        <w:tc>
          <w:tcPr>
            <w:tcW w:type="dxa" w:w="3888"/>
            <w:vAlign w:val="center"/>
          </w:tcPr>
          <w:p>
            <w:r/>
            <w:r>
              <w:rPr>
                <w:b w:val="0"/>
                <w:sz w:val="17"/>
              </w:rPr>
              <w:t>180, 120, 90, 60, 30, 15, 7 days before</w:t>
            </w:r>
          </w:p>
        </w:tc>
        <w:tc>
          <w:tcPr>
            <w:tcW w:type="dxa" w:w="3744"/>
            <w:vAlign w:val="center"/>
          </w:tcPr>
          <w:p>
            <w:r/>
            <w:r>
              <w:rPr>
                <w:b w:val="0"/>
                <w:sz w:val="17"/>
              </w:rPr>
              <w:t>Licences and permits.</w:t>
            </w:r>
          </w:p>
        </w:tc>
      </w:tr>
      <w:tr>
        <w:tc>
          <w:tcPr>
            <w:tcW w:type="dxa" w:w="2448"/>
            <w:vAlign w:val="center"/>
            <w:shd w:fill="F3F6F9"/>
          </w:tcPr>
          <w:p>
            <w:r/>
            <w:r>
              <w:rPr>
                <w:b w:val="0"/>
                <w:sz w:val="17"/>
              </w:rPr>
              <w:t>OVERDUE</w:t>
            </w:r>
          </w:p>
        </w:tc>
        <w:tc>
          <w:tcPr>
            <w:tcW w:type="dxa" w:w="3888"/>
            <w:vAlign w:val="center"/>
            <w:shd w:fill="F3F6F9"/>
          </w:tcPr>
          <w:p>
            <w:r/>
            <w:r>
              <w:rPr>
                <w:b w:val="0"/>
                <w:sz w:val="17"/>
              </w:rPr>
              <w:t>1, 3, 7, 15, 30 days after</w:t>
            </w:r>
          </w:p>
        </w:tc>
        <w:tc>
          <w:tcPr>
            <w:tcW w:type="dxa" w:w="3744"/>
            <w:vAlign w:val="center"/>
            <w:shd w:fill="F3F6F9"/>
          </w:tcPr>
          <w:p>
            <w:r/>
            <w:r>
              <w:rPr>
                <w:b w:val="0"/>
                <w:sz w:val="17"/>
              </w:rPr>
              <w:t>Escalation and management reporting.</w:t>
            </w:r>
          </w:p>
        </w:tc>
      </w:tr>
    </w:tbl>
    <w:p/>
    <w:p>
      <w:pPr>
        <w:pStyle w:val="Heading2"/>
      </w:pPr>
      <w:r>
        <w:t>8.2 Reminder Recipient Resolution</w:t>
      </w:r>
    </w:p>
    <w:p>
      <w:pPr>
        <w:pStyle w:val="ListNumber"/>
      </w:pPr>
      <w:r>
        <w:t>Use event-specific assignee if present.</w:t>
      </w:r>
    </w:p>
    <w:p>
      <w:pPr>
        <w:pStyle w:val="ListNumber"/>
      </w:pPr>
      <w:r>
        <w:t>Otherwise use compliance-category owner for the company.</w:t>
      </w:r>
    </w:p>
    <w:p>
      <w:pPr>
        <w:pStyle w:val="ListNumber"/>
      </w:pPr>
      <w:r>
        <w:t>Add reporting manager at configured threshold.</w:t>
      </w:r>
    </w:p>
    <w:p>
      <w:pPr>
        <w:pStyle w:val="ListNumber"/>
      </w:pPr>
      <w:r>
        <w:t>Add company secretary/director/client contact at escalation threshold.</w:t>
      </w:r>
    </w:p>
    <w:p>
      <w:pPr>
        <w:pStyle w:val="ListNumber"/>
      </w:pPr>
      <w:r>
        <w:t>Add compliance head or administrator for overdue items.</w:t>
      </w:r>
    </w:p>
    <w:p>
      <w:pPr>
        <w:pStyle w:val="ListNumber"/>
      </w:pPr>
      <w:r>
        <w:t>Respect delegation, leave cover and inactive-user replacement rules.</w:t>
      </w:r>
    </w:p>
    <w:p>
      <w:pPr>
        <w:pStyle w:val="Heading2"/>
      </w:pPr>
      <w:r>
        <w:t>8.3 Reminder Channels</w:t>
      </w:r>
    </w:p>
    <w:p>
      <w:pPr>
        <w:pStyle w:val="ListBullet"/>
      </w:pPr>
      <w:r>
        <w:t>In-app notification</w:t>
      </w:r>
    </w:p>
    <w:p>
      <w:pPr>
        <w:pStyle w:val="ListBullet"/>
      </w:pPr>
      <w:r>
        <w:t>Email</w:t>
      </w:r>
    </w:p>
    <w:p>
      <w:pPr>
        <w:pStyle w:val="ListBullet"/>
      </w:pPr>
      <w:r>
        <w:t>SMS or messaging integration</w:t>
      </w:r>
    </w:p>
    <w:p>
      <w:pPr>
        <w:pStyle w:val="ListBullet"/>
      </w:pPr>
      <w:r>
        <w:t>Daily digest</w:t>
      </w:r>
    </w:p>
    <w:p>
      <w:pPr>
        <w:pStyle w:val="ListBullet"/>
      </w:pPr>
      <w:r>
        <w:t>Calendar feed</w:t>
      </w:r>
    </w:p>
    <w:p>
      <w:pPr>
        <w:pStyle w:val="ListBullet"/>
      </w:pPr>
      <w:r>
        <w:t>Dashboard alert</w:t>
      </w:r>
    </w:p>
    <w:p>
      <w:pPr>
        <w:pStyle w:val="ListBullet"/>
      </w:pPr>
      <w:r>
        <w:t>API/webhook for external systems</w:t>
      </w:r>
    </w:p>
    <w:p>
      <w:pPr>
        <w:pStyle w:val="Heading2"/>
      </w:pPr>
      <w:r>
        <w:t>8.4 Suppression and Regeneration</w:t>
      </w:r>
    </w:p>
    <w:p>
      <w:pPr>
        <w:pStyle w:val="ListBullet"/>
      </w:pPr>
      <w:r>
        <w:t>Do not send future reminders after completion, cancellation, waiver or non-applicability.</w:t>
      </w:r>
    </w:p>
    <w:p>
      <w:pPr>
        <w:pStyle w:val="ListBullet"/>
      </w:pPr>
      <w:r>
        <w:t>Do not send duplicate reminders for the same event, offset, channel and recipient.</w:t>
      </w:r>
    </w:p>
    <w:p>
      <w:pPr>
        <w:pStyle w:val="ListBullet"/>
      </w:pPr>
      <w:r>
        <w:t>When due date changes, cancel only unsent reminders and preserve sent-history records.</w:t>
      </w:r>
    </w:p>
    <w:p>
      <w:pPr>
        <w:pStyle w:val="ListBullet"/>
      </w:pPr>
      <w:r>
        <w:t>Use recipient timezone and quiet-hour preferences where configured.</w:t>
      </w:r>
    </w:p>
    <w:p>
      <w:pPr>
        <w:pStyle w:val="ListBullet"/>
      </w:pPr>
      <w:r>
        <w:t>Escalations remain active until completion or manual approved suppression.</w:t>
      </w:r>
    </w:p>
    <w:p>
      <w:pPr>
        <w:pStyle w:val="Heading1"/>
      </w:pPr>
      <w:r>
        <w:t>9. Company Onboarding and Calendar Generation</w:t>
      </w:r>
    </w:p>
    <w:p>
      <w:pPr>
        <w:pStyle w:val="Heading2"/>
      </w:pPr>
      <w:r>
        <w:t>9.1 Required Company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Data Group</w:t>
            </w:r>
          </w:p>
        </w:tc>
        <w:tc>
          <w:tcPr>
            <w:tcW w:type="dxa" w:w="7200"/>
            <w:vAlign w:val="center"/>
            <w:shd w:fill="1F4E78"/>
          </w:tcPr>
          <w:p>
            <w:r/>
            <w:r>
              <w:rPr>
                <w:b/>
                <w:color w:val="FFFFFF"/>
                <w:sz w:val="18"/>
              </w:rPr>
              <w:t>Required Information</w:t>
            </w:r>
          </w:p>
        </w:tc>
      </w:tr>
      <w:tr>
        <w:tc>
          <w:tcPr>
            <w:tcW w:type="dxa" w:w="2880"/>
            <w:vAlign w:val="center"/>
          </w:tcPr>
          <w:p>
            <w:r/>
            <w:r>
              <w:rPr>
                <w:b w:val="0"/>
                <w:sz w:val="17"/>
              </w:rPr>
              <w:t>Identity</w:t>
            </w:r>
          </w:p>
        </w:tc>
        <w:tc>
          <w:tcPr>
            <w:tcW w:type="dxa" w:w="7200"/>
            <w:vAlign w:val="center"/>
          </w:tcPr>
          <w:p>
            <w:r/>
            <w:r>
              <w:rPr>
                <w:b w:val="0"/>
                <w:sz w:val="17"/>
              </w:rPr>
              <w:t>Legal name, registration number, incorporation date, country.</w:t>
            </w:r>
          </w:p>
        </w:tc>
      </w:tr>
      <w:tr>
        <w:tc>
          <w:tcPr>
            <w:tcW w:type="dxa" w:w="2880"/>
            <w:vAlign w:val="center"/>
            <w:shd w:fill="F3F6F9"/>
          </w:tcPr>
          <w:p>
            <w:r/>
            <w:r>
              <w:rPr>
                <w:b w:val="0"/>
                <w:sz w:val="17"/>
              </w:rPr>
              <w:t>Jurisdiction</w:t>
            </w:r>
          </w:p>
        </w:tc>
        <w:tc>
          <w:tcPr>
            <w:tcW w:type="dxa" w:w="7200"/>
            <w:vAlign w:val="center"/>
            <w:shd w:fill="F3F6F9"/>
          </w:tcPr>
          <w:p>
            <w:r/>
            <w:r>
              <w:rPr>
                <w:b w:val="0"/>
                <w:sz w:val="17"/>
              </w:rPr>
              <w:t>State/province, free zone, municipality and regulator.</w:t>
            </w:r>
          </w:p>
        </w:tc>
      </w:tr>
      <w:tr>
        <w:tc>
          <w:tcPr>
            <w:tcW w:type="dxa" w:w="2880"/>
            <w:vAlign w:val="center"/>
          </w:tcPr>
          <w:p>
            <w:r/>
            <w:r>
              <w:rPr>
                <w:b w:val="0"/>
                <w:sz w:val="17"/>
              </w:rPr>
              <w:t>Entity</w:t>
            </w:r>
          </w:p>
        </w:tc>
        <w:tc>
          <w:tcPr>
            <w:tcW w:type="dxa" w:w="7200"/>
            <w:vAlign w:val="center"/>
          </w:tcPr>
          <w:p>
            <w:r/>
            <w:r>
              <w:rPr>
                <w:b w:val="0"/>
                <w:sz w:val="17"/>
              </w:rPr>
              <w:t>Legal entity type, listed/private status, branch/subsidiary status.</w:t>
            </w:r>
          </w:p>
        </w:tc>
      </w:tr>
      <w:tr>
        <w:tc>
          <w:tcPr>
            <w:tcW w:type="dxa" w:w="2880"/>
            <w:vAlign w:val="center"/>
            <w:shd w:fill="F3F6F9"/>
          </w:tcPr>
          <w:p>
            <w:r/>
            <w:r>
              <w:rPr>
                <w:b w:val="0"/>
                <w:sz w:val="17"/>
              </w:rPr>
              <w:t>Accounting</w:t>
            </w:r>
          </w:p>
        </w:tc>
        <w:tc>
          <w:tcPr>
            <w:tcW w:type="dxa" w:w="7200"/>
            <w:vAlign w:val="center"/>
            <w:shd w:fill="F3F6F9"/>
          </w:tcPr>
          <w:p>
            <w:r/>
            <w:r>
              <w:rPr>
                <w:b w:val="0"/>
                <w:sz w:val="17"/>
              </w:rPr>
              <w:t>Financial year end, first accounting period, reporting currency.</w:t>
            </w:r>
          </w:p>
        </w:tc>
      </w:tr>
      <w:tr>
        <w:tc>
          <w:tcPr>
            <w:tcW w:type="dxa" w:w="2880"/>
            <w:vAlign w:val="center"/>
          </w:tcPr>
          <w:p>
            <w:r/>
            <w:r>
              <w:rPr>
                <w:b w:val="0"/>
                <w:sz w:val="17"/>
              </w:rPr>
              <w:t>Tax</w:t>
            </w:r>
          </w:p>
        </w:tc>
        <w:tc>
          <w:tcPr>
            <w:tcW w:type="dxa" w:w="7200"/>
            <w:vAlign w:val="center"/>
          </w:tcPr>
          <w:p>
            <w:r/>
            <w:r>
              <w:rPr>
                <w:b w:val="0"/>
                <w:sz w:val="17"/>
              </w:rPr>
              <w:t>Corporate tax registration, VAT/GST/SST registrations and tax periods.</w:t>
            </w:r>
          </w:p>
        </w:tc>
      </w:tr>
      <w:tr>
        <w:tc>
          <w:tcPr>
            <w:tcW w:type="dxa" w:w="2880"/>
            <w:vAlign w:val="center"/>
            <w:shd w:fill="F3F6F9"/>
          </w:tcPr>
          <w:p>
            <w:r/>
            <w:r>
              <w:rPr>
                <w:b w:val="0"/>
                <w:sz w:val="17"/>
              </w:rPr>
              <w:t>Licences</w:t>
            </w:r>
          </w:p>
        </w:tc>
        <w:tc>
          <w:tcPr>
            <w:tcW w:type="dxa" w:w="7200"/>
            <w:vAlign w:val="center"/>
            <w:shd w:fill="F3F6F9"/>
          </w:tcPr>
          <w:p>
            <w:r/>
            <w:r>
              <w:rPr>
                <w:b w:val="0"/>
                <w:sz w:val="17"/>
              </w:rPr>
              <w:t>Licence type, authority, issue date and expiry date.</w:t>
            </w:r>
          </w:p>
        </w:tc>
      </w:tr>
      <w:tr>
        <w:tc>
          <w:tcPr>
            <w:tcW w:type="dxa" w:w="2880"/>
            <w:vAlign w:val="center"/>
          </w:tcPr>
          <w:p>
            <w:r/>
            <w:r>
              <w:rPr>
                <w:b w:val="0"/>
                <w:sz w:val="17"/>
              </w:rPr>
              <w:t>Corporate Officers</w:t>
            </w:r>
          </w:p>
        </w:tc>
        <w:tc>
          <w:tcPr>
            <w:tcW w:type="dxa" w:w="7200"/>
            <w:vAlign w:val="center"/>
          </w:tcPr>
          <w:p>
            <w:r/>
            <w:r>
              <w:rPr>
                <w:b w:val="0"/>
                <w:sz w:val="17"/>
              </w:rPr>
              <w:t>Directors, secretary, authorized signatories, owners.</w:t>
            </w:r>
          </w:p>
        </w:tc>
      </w:tr>
      <w:tr>
        <w:tc>
          <w:tcPr>
            <w:tcW w:type="dxa" w:w="2880"/>
            <w:vAlign w:val="center"/>
            <w:shd w:fill="F3F6F9"/>
          </w:tcPr>
          <w:p>
            <w:r/>
            <w:r>
              <w:rPr>
                <w:b w:val="0"/>
                <w:sz w:val="17"/>
              </w:rPr>
              <w:t>Applicability Metrics</w:t>
            </w:r>
          </w:p>
        </w:tc>
        <w:tc>
          <w:tcPr>
            <w:tcW w:type="dxa" w:w="7200"/>
            <w:vAlign w:val="center"/>
            <w:shd w:fill="F3F6F9"/>
          </w:tcPr>
          <w:p>
            <w:r/>
            <w:r>
              <w:rPr>
                <w:b w:val="0"/>
                <w:sz w:val="17"/>
              </w:rPr>
              <w:t>Revenue, assets, headcount, activity and audit-exemption indicators.</w:t>
            </w:r>
          </w:p>
        </w:tc>
      </w:tr>
      <w:tr>
        <w:tc>
          <w:tcPr>
            <w:tcW w:type="dxa" w:w="2880"/>
            <w:vAlign w:val="center"/>
          </w:tcPr>
          <w:p>
            <w:r/>
            <w:r>
              <w:rPr>
                <w:b w:val="0"/>
                <w:sz w:val="17"/>
              </w:rPr>
              <w:t>Responsibility</w:t>
            </w:r>
          </w:p>
        </w:tc>
        <w:tc>
          <w:tcPr>
            <w:tcW w:type="dxa" w:w="7200"/>
            <w:vAlign w:val="center"/>
          </w:tcPr>
          <w:p>
            <w:r/>
            <w:r>
              <w:rPr>
                <w:b w:val="0"/>
                <w:sz w:val="17"/>
              </w:rPr>
              <w:t>Internal team, manager, client contact and escalation owner.</w:t>
            </w:r>
          </w:p>
        </w:tc>
      </w:tr>
    </w:tbl>
    <w:p/>
    <w:p>
      <w:pPr>
        <w:pStyle w:val="Heading2"/>
      </w:pPr>
      <w:r>
        <w:t>9.2 Generation Flow</w:t>
      </w:r>
    </w:p>
    <w:p>
      <w:r>
        <w:rPr>
          <w:rFonts w:ascii="Consolas" w:hAnsi="Consolas"/>
          <w:sz w:val="18"/>
        </w:rPr>
        <w:t>Company Created / Updated</w:t>
        <w:br/>
        <w:t xml:space="preserve">        ↓</w:t>
        <w:br/>
        <w:t>Resolve Jurisdiction Hierarchy</w:t>
        <w:br/>
        <w:t xml:space="preserve">        ↓</w:t>
        <w:br/>
        <w:t>Resolve Entity and Registrations</w:t>
        <w:br/>
        <w:t xml:space="preserve">        ↓</w:t>
        <w:br/>
        <w:t>Load Published Effective Rule Versions</w:t>
        <w:br/>
        <w:t xml:space="preserve">        ↓</w:t>
        <w:br/>
        <w:t>Evaluate Applicability and Exemptions</w:t>
        <w:br/>
        <w:t xml:space="preserve">        ↓</w:t>
        <w:br/>
        <w:t>Generate Compliance Events</w:t>
        <w:br/>
        <w:t xml:space="preserve">        ↓</w:t>
        <w:br/>
        <w:t>Calculate Due and Operational Dates</w:t>
        <w:br/>
        <w:t xml:space="preserve">        ↓</w:t>
        <w:br/>
        <w:t>Assign Responsibility</w:t>
        <w:br/>
        <w:t xml:space="preserve">        ↓</w:t>
        <w:br/>
        <w:t>Create Reminders and Internal Milestones</w:t>
        <w:br/>
        <w:t xml:space="preserve">        ↓</w:t>
        <w:br/>
        <w:t>Show Calendar and Exceptions for Review</w:t>
      </w:r>
    </w:p>
    <w:p>
      <w:pPr>
        <w:pStyle w:val="Heading2"/>
      </w:pPr>
      <w:r>
        <w:t>9.3 Regeneration Triggers</w:t>
      </w:r>
    </w:p>
    <w:p>
      <w:pPr>
        <w:pStyle w:val="ListBullet"/>
      </w:pPr>
      <w:r>
        <w:t>Financial year end changed.</w:t>
      </w:r>
    </w:p>
    <w:p>
      <w:pPr>
        <w:pStyle w:val="ListBullet"/>
      </w:pPr>
      <w:r>
        <w:t>Entity type or jurisdiction changed.</w:t>
      </w:r>
    </w:p>
    <w:p>
      <w:pPr>
        <w:pStyle w:val="ListBullet"/>
      </w:pPr>
      <w:r>
        <w:t>New registration or licence added.</w:t>
      </w:r>
    </w:p>
    <w:p>
      <w:pPr>
        <w:pStyle w:val="ListBullet"/>
      </w:pPr>
      <w:r>
        <w:t>Company became dormant, active, listed or regulated.</w:t>
      </w:r>
    </w:p>
    <w:p>
      <w:pPr>
        <w:pStyle w:val="ListBullet"/>
      </w:pPr>
      <w:r>
        <w:t>Rule version published or corrected.</w:t>
      </w:r>
    </w:p>
    <w:p>
      <w:pPr>
        <w:pStyle w:val="ListBullet"/>
      </w:pPr>
      <w:r>
        <w:t>Extension or waiver approved.</w:t>
      </w:r>
    </w:p>
    <w:p>
      <w:pPr>
        <w:pStyle w:val="ListBullet"/>
      </w:pPr>
      <w:r>
        <w:t>Source event date changed.</w:t>
      </w:r>
    </w:p>
    <w:p>
      <w:pPr>
        <w:pStyle w:val="ListBullet"/>
      </w:pPr>
      <w:r>
        <w:t>Company officer or responsible person changed.</w:t>
      </w:r>
    </w:p>
    <w:p>
      <w:pPr>
        <w:pStyle w:val="Heading1"/>
      </w:pPr>
      <w:r>
        <w:t>10. Compliance Workflow and Statuses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Status</w:t>
            </w:r>
          </w:p>
        </w:tc>
        <w:tc>
          <w:tcPr>
            <w:tcW w:type="dxa" w:w="7200"/>
            <w:vAlign w:val="center"/>
            <w:shd w:fill="1F4E78"/>
          </w:tcPr>
          <w:p>
            <w:r/>
            <w:r>
              <w:rPr>
                <w:b/>
                <w:color w:val="FFFFFF"/>
                <w:sz w:val="18"/>
              </w:rPr>
              <w:t>Meaning / Entry Rule</w:t>
            </w:r>
          </w:p>
        </w:tc>
      </w:tr>
      <w:tr>
        <w:tc>
          <w:tcPr>
            <w:tcW w:type="dxa" w:w="2880"/>
            <w:vAlign w:val="center"/>
          </w:tcPr>
          <w:p>
            <w:r/>
            <w:r>
              <w:rPr>
                <w:b w:val="0"/>
                <w:sz w:val="17"/>
              </w:rPr>
              <w:t>UPCOMING</w:t>
            </w:r>
          </w:p>
        </w:tc>
        <w:tc>
          <w:tcPr>
            <w:tcW w:type="dxa" w:w="7200"/>
            <w:vAlign w:val="center"/>
          </w:tcPr>
          <w:p>
            <w:r/>
            <w:r>
              <w:rPr>
                <w:b w:val="0"/>
                <w:sz w:val="17"/>
              </w:rPr>
              <w:t>Generated and outside preparation window.</w:t>
            </w:r>
          </w:p>
        </w:tc>
      </w:tr>
      <w:tr>
        <w:tc>
          <w:tcPr>
            <w:tcW w:type="dxa" w:w="2880"/>
            <w:vAlign w:val="center"/>
            <w:shd w:fill="F3F6F9"/>
          </w:tcPr>
          <w:p>
            <w:r/>
            <w:r>
              <w:rPr>
                <w:b w:val="0"/>
                <w:sz w:val="17"/>
              </w:rPr>
              <w:t>NOT_STARTED</w:t>
            </w:r>
          </w:p>
        </w:tc>
        <w:tc>
          <w:tcPr>
            <w:tcW w:type="dxa" w:w="7200"/>
            <w:vAlign w:val="center"/>
            <w:shd w:fill="F3F6F9"/>
          </w:tcPr>
          <w:p>
            <w:r/>
            <w:r>
              <w:rPr>
                <w:b w:val="0"/>
                <w:sz w:val="17"/>
              </w:rPr>
              <w:t>Inside preparation window but no work recorded.</w:t>
            </w:r>
          </w:p>
        </w:tc>
      </w:tr>
      <w:tr>
        <w:tc>
          <w:tcPr>
            <w:tcW w:type="dxa" w:w="2880"/>
            <w:vAlign w:val="center"/>
          </w:tcPr>
          <w:p>
            <w:r/>
            <w:r>
              <w:rPr>
                <w:b w:val="0"/>
                <w:sz w:val="17"/>
              </w:rPr>
              <w:t>IN_PREPARATION</w:t>
            </w:r>
          </w:p>
        </w:tc>
        <w:tc>
          <w:tcPr>
            <w:tcW w:type="dxa" w:w="7200"/>
            <w:vAlign w:val="center"/>
          </w:tcPr>
          <w:p>
            <w:r/>
            <w:r>
              <w:rPr>
                <w:b w:val="0"/>
                <w:sz w:val="17"/>
              </w:rPr>
              <w:t>Documents or data are being prepared.</w:t>
            </w:r>
          </w:p>
        </w:tc>
      </w:tr>
      <w:tr>
        <w:tc>
          <w:tcPr>
            <w:tcW w:type="dxa" w:w="2880"/>
            <w:vAlign w:val="center"/>
            <w:shd w:fill="F3F6F9"/>
          </w:tcPr>
          <w:p>
            <w:r/>
            <w:r>
              <w:rPr>
                <w:b w:val="0"/>
                <w:sz w:val="17"/>
              </w:rPr>
              <w:t>AWAITING_DOCUMENTS</w:t>
            </w:r>
          </w:p>
        </w:tc>
        <w:tc>
          <w:tcPr>
            <w:tcW w:type="dxa" w:w="7200"/>
            <w:vAlign w:val="center"/>
            <w:shd w:fill="F3F6F9"/>
          </w:tcPr>
          <w:p>
            <w:r/>
            <w:r>
              <w:rPr>
                <w:b w:val="0"/>
                <w:sz w:val="17"/>
              </w:rPr>
              <w:t>Waiting for evidence or source documents.</w:t>
            </w:r>
          </w:p>
        </w:tc>
      </w:tr>
      <w:tr>
        <w:tc>
          <w:tcPr>
            <w:tcW w:type="dxa" w:w="2880"/>
            <w:vAlign w:val="center"/>
          </w:tcPr>
          <w:p>
            <w:r/>
            <w:r>
              <w:rPr>
                <w:b w:val="0"/>
                <w:sz w:val="17"/>
              </w:rPr>
              <w:t>AWAITING_CLIENT</w:t>
            </w:r>
          </w:p>
        </w:tc>
        <w:tc>
          <w:tcPr>
            <w:tcW w:type="dxa" w:w="7200"/>
            <w:vAlign w:val="center"/>
          </w:tcPr>
          <w:p>
            <w:r/>
            <w:r>
              <w:rPr>
                <w:b w:val="0"/>
                <w:sz w:val="17"/>
              </w:rPr>
              <w:t>Waiting for client response.</w:t>
            </w:r>
          </w:p>
        </w:tc>
      </w:tr>
      <w:tr>
        <w:tc>
          <w:tcPr>
            <w:tcW w:type="dxa" w:w="2880"/>
            <w:vAlign w:val="center"/>
            <w:shd w:fill="F3F6F9"/>
          </w:tcPr>
          <w:p>
            <w:r/>
            <w:r>
              <w:rPr>
                <w:b w:val="0"/>
                <w:sz w:val="17"/>
              </w:rPr>
              <w:t>AWAITING_APPROVAL</w:t>
            </w:r>
          </w:p>
        </w:tc>
        <w:tc>
          <w:tcPr>
            <w:tcW w:type="dxa" w:w="7200"/>
            <w:vAlign w:val="center"/>
            <w:shd w:fill="F3F6F9"/>
          </w:tcPr>
          <w:p>
            <w:r/>
            <w:r>
              <w:rPr>
                <w:b w:val="0"/>
                <w:sz w:val="17"/>
              </w:rPr>
              <w:t>Waiting for board, director or manager approval.</w:t>
            </w:r>
          </w:p>
        </w:tc>
      </w:tr>
      <w:tr>
        <w:tc>
          <w:tcPr>
            <w:tcW w:type="dxa" w:w="2880"/>
            <w:vAlign w:val="center"/>
          </w:tcPr>
          <w:p>
            <w:r/>
            <w:r>
              <w:rPr>
                <w:b w:val="0"/>
                <w:sz w:val="17"/>
              </w:rPr>
              <w:t>READY_TO_FILE</w:t>
            </w:r>
          </w:p>
        </w:tc>
        <w:tc>
          <w:tcPr>
            <w:tcW w:type="dxa" w:w="7200"/>
            <w:vAlign w:val="center"/>
          </w:tcPr>
          <w:p>
            <w:r/>
            <w:r>
              <w:rPr>
                <w:b w:val="0"/>
                <w:sz w:val="17"/>
              </w:rPr>
              <w:t>All validation and approvals completed.</w:t>
            </w:r>
          </w:p>
        </w:tc>
      </w:tr>
      <w:tr>
        <w:tc>
          <w:tcPr>
            <w:tcW w:type="dxa" w:w="2880"/>
            <w:vAlign w:val="center"/>
            <w:shd w:fill="F3F6F9"/>
          </w:tcPr>
          <w:p>
            <w:r/>
            <w:r>
              <w:rPr>
                <w:b w:val="0"/>
                <w:sz w:val="17"/>
              </w:rPr>
              <w:t>FILED</w:t>
            </w:r>
          </w:p>
        </w:tc>
        <w:tc>
          <w:tcPr>
            <w:tcW w:type="dxa" w:w="7200"/>
            <w:vAlign w:val="center"/>
            <w:shd w:fill="F3F6F9"/>
          </w:tcPr>
          <w:p>
            <w:r/>
            <w:r>
              <w:rPr>
                <w:b w:val="0"/>
                <w:sz w:val="17"/>
              </w:rPr>
              <w:t>Submitted to authority; acknowledgement may still be pending.</w:t>
            </w:r>
          </w:p>
        </w:tc>
      </w:tr>
      <w:tr>
        <w:tc>
          <w:tcPr>
            <w:tcW w:type="dxa" w:w="2880"/>
            <w:vAlign w:val="center"/>
          </w:tcPr>
          <w:p>
            <w:r/>
            <w:r>
              <w:rPr>
                <w:b w:val="0"/>
                <w:sz w:val="17"/>
              </w:rPr>
              <w:t>COMPLETED</w:t>
            </w:r>
          </w:p>
        </w:tc>
        <w:tc>
          <w:tcPr>
            <w:tcW w:type="dxa" w:w="7200"/>
            <w:vAlign w:val="center"/>
          </w:tcPr>
          <w:p>
            <w:r/>
            <w:r>
              <w:rPr>
                <w:b w:val="0"/>
                <w:sz w:val="17"/>
              </w:rPr>
              <w:t>Submission acknowledgement/evidence recorded and completion validated.</w:t>
            </w:r>
          </w:p>
        </w:tc>
      </w:tr>
      <w:tr>
        <w:tc>
          <w:tcPr>
            <w:tcW w:type="dxa" w:w="2880"/>
            <w:vAlign w:val="center"/>
            <w:shd w:fill="F3F6F9"/>
          </w:tcPr>
          <w:p>
            <w:r/>
            <w:r>
              <w:rPr>
                <w:b w:val="0"/>
                <w:sz w:val="17"/>
              </w:rPr>
              <w:t>EXTENSION_PENDING</w:t>
            </w:r>
          </w:p>
        </w:tc>
        <w:tc>
          <w:tcPr>
            <w:tcW w:type="dxa" w:w="7200"/>
            <w:vAlign w:val="center"/>
            <w:shd w:fill="F3F6F9"/>
          </w:tcPr>
          <w:p>
            <w:r/>
            <w:r>
              <w:rPr>
                <w:b w:val="0"/>
                <w:sz w:val="17"/>
              </w:rPr>
              <w:t>Extension submitted but not approved.</w:t>
            </w:r>
          </w:p>
        </w:tc>
      </w:tr>
      <w:tr>
        <w:tc>
          <w:tcPr>
            <w:tcW w:type="dxa" w:w="2880"/>
            <w:vAlign w:val="center"/>
          </w:tcPr>
          <w:p>
            <w:r/>
            <w:r>
              <w:rPr>
                <w:b w:val="0"/>
                <w:sz w:val="17"/>
              </w:rPr>
              <w:t>EXTENDED</w:t>
            </w:r>
          </w:p>
        </w:tc>
        <w:tc>
          <w:tcPr>
            <w:tcW w:type="dxa" w:w="7200"/>
            <w:vAlign w:val="center"/>
          </w:tcPr>
          <w:p>
            <w:r/>
            <w:r>
              <w:rPr>
                <w:b w:val="0"/>
                <w:sz w:val="17"/>
              </w:rPr>
              <w:t>Approved extension exists; operational workflow continues.</w:t>
            </w:r>
          </w:p>
        </w:tc>
      </w:tr>
      <w:tr>
        <w:tc>
          <w:tcPr>
            <w:tcW w:type="dxa" w:w="2880"/>
            <w:vAlign w:val="center"/>
            <w:shd w:fill="F3F6F9"/>
          </w:tcPr>
          <w:p>
            <w:r/>
            <w:r>
              <w:rPr>
                <w:b w:val="0"/>
                <w:sz w:val="17"/>
              </w:rPr>
              <w:t>OVERDUE</w:t>
            </w:r>
          </w:p>
        </w:tc>
        <w:tc>
          <w:tcPr>
            <w:tcW w:type="dxa" w:w="7200"/>
            <w:vAlign w:val="center"/>
            <w:shd w:fill="F3F6F9"/>
          </w:tcPr>
          <w:p>
            <w:r/>
            <w:r>
              <w:rPr>
                <w:b w:val="0"/>
                <w:sz w:val="17"/>
              </w:rPr>
              <w:t>Current due date passed without valid completion.</w:t>
            </w:r>
          </w:p>
        </w:tc>
      </w:tr>
      <w:tr>
        <w:tc>
          <w:tcPr>
            <w:tcW w:type="dxa" w:w="2880"/>
            <w:vAlign w:val="center"/>
          </w:tcPr>
          <w:p>
            <w:r/>
            <w:r>
              <w:rPr>
                <w:b w:val="0"/>
                <w:sz w:val="17"/>
              </w:rPr>
              <w:t>WAIVED</w:t>
            </w:r>
          </w:p>
        </w:tc>
        <w:tc>
          <w:tcPr>
            <w:tcW w:type="dxa" w:w="7200"/>
            <w:vAlign w:val="center"/>
          </w:tcPr>
          <w:p>
            <w:r/>
            <w:r>
              <w:rPr>
                <w:b w:val="0"/>
                <w:sz w:val="17"/>
              </w:rPr>
              <w:t>Official waiver recorded.</w:t>
            </w:r>
          </w:p>
        </w:tc>
      </w:tr>
      <w:tr>
        <w:tc>
          <w:tcPr>
            <w:tcW w:type="dxa" w:w="2880"/>
            <w:vAlign w:val="center"/>
            <w:shd w:fill="F3F6F9"/>
          </w:tcPr>
          <w:p>
            <w:r/>
            <w:r>
              <w:rPr>
                <w:b w:val="0"/>
                <w:sz w:val="17"/>
              </w:rPr>
              <w:t>NOT_APPLICABLE</w:t>
            </w:r>
          </w:p>
        </w:tc>
        <w:tc>
          <w:tcPr>
            <w:tcW w:type="dxa" w:w="7200"/>
            <w:vAlign w:val="center"/>
            <w:shd w:fill="F3F6F9"/>
          </w:tcPr>
          <w:p>
            <w:r/>
            <w:r>
              <w:rPr>
                <w:b w:val="0"/>
                <w:sz w:val="17"/>
              </w:rPr>
              <w:t>Rule evaluation or approved review confirms non-applicability.</w:t>
            </w:r>
          </w:p>
        </w:tc>
      </w:tr>
      <w:tr>
        <w:tc>
          <w:tcPr>
            <w:tcW w:type="dxa" w:w="2880"/>
            <w:vAlign w:val="center"/>
          </w:tcPr>
          <w:p>
            <w:r/>
            <w:r>
              <w:rPr>
                <w:b w:val="0"/>
                <w:sz w:val="17"/>
              </w:rPr>
              <w:t>CANCELLED</w:t>
            </w:r>
          </w:p>
        </w:tc>
        <w:tc>
          <w:tcPr>
            <w:tcW w:type="dxa" w:w="7200"/>
            <w:vAlign w:val="center"/>
          </w:tcPr>
          <w:p>
            <w:r/>
            <w:r>
              <w:rPr>
                <w:b w:val="0"/>
                <w:sz w:val="17"/>
              </w:rPr>
              <w:t>Event cancelled with authorized reason.</w:t>
            </w:r>
          </w:p>
        </w:tc>
      </w:tr>
    </w:tbl>
    <w:p/>
    <w:p>
      <w:pPr>
        <w:pStyle w:val="Heading2"/>
      </w:pPr>
      <w:r>
        <w:t>10.1 Completion Rules</w:t>
      </w:r>
    </w:p>
    <w:p>
      <w:pPr>
        <w:pStyle w:val="ListBullet"/>
      </w:pPr>
      <w:r>
        <w:t>Completion may require filing date, authority reference, acknowledgement and required documents.</w:t>
      </w:r>
    </w:p>
    <w:p>
      <w:pPr>
        <w:pStyle w:val="ListBullet"/>
      </w:pPr>
      <w:r>
        <w:t>Users must not directly move an overdue event to completed without the same evidence checks.</w:t>
      </w:r>
    </w:p>
    <w:p>
      <w:pPr>
        <w:pStyle w:val="ListBullet"/>
      </w:pPr>
      <w:r>
        <w:t>Reopening a completed event requires elevated permission and a reason.</w:t>
      </w:r>
    </w:p>
    <w:p>
      <w:pPr>
        <w:pStyle w:val="ListBullet"/>
      </w:pPr>
      <w:r>
        <w:t>Completed events are immutable except through controlled correction with audit history.</w:t>
      </w:r>
    </w:p>
    <w:p>
      <w:pPr>
        <w:pStyle w:val="Heading1"/>
      </w:pPr>
      <w:r>
        <w:t>11. Country Rule-Pack Design</w:t>
      </w:r>
    </w:p>
    <w:p>
      <w:r>
        <w:t>The application supports all countries by installing rule packs. A rule pack is a governed configuration set, not application code.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F4E78"/>
          </w:tcPr>
          <w:p>
            <w:r/>
            <w:r>
              <w:rPr>
                <w:b/>
                <w:color w:val="FFFFFF"/>
                <w:sz w:val="18"/>
              </w:rPr>
              <w:t>Rule-Pack Component</w:t>
            </w:r>
          </w:p>
        </w:tc>
        <w:tc>
          <w:tcPr>
            <w:tcW w:type="dxa" w:w="7056"/>
            <w:vAlign w:val="center"/>
            <w:shd w:fill="1F4E78"/>
          </w:tcPr>
          <w:p>
            <w:r/>
            <w:r>
              <w:rPr>
                <w:b/>
                <w:color w:val="FFFFFF"/>
                <w:sz w:val="18"/>
              </w:rPr>
              <w:t>Contents</w:t>
            </w:r>
          </w:p>
        </w:tc>
      </w:tr>
      <w:tr>
        <w:tc>
          <w:tcPr>
            <w:tcW w:type="dxa" w:w="3024"/>
            <w:vAlign w:val="center"/>
          </w:tcPr>
          <w:p>
            <w:r/>
            <w:r>
              <w:rPr>
                <w:b w:val="0"/>
                <w:sz w:val="17"/>
              </w:rPr>
              <w:t>Jurisdiction Master</w:t>
            </w:r>
          </w:p>
        </w:tc>
        <w:tc>
          <w:tcPr>
            <w:tcW w:type="dxa" w:w="7056"/>
            <w:vAlign w:val="center"/>
          </w:tcPr>
          <w:p>
            <w:r/>
            <w:r>
              <w:rPr>
                <w:b w:val="0"/>
                <w:sz w:val="17"/>
              </w:rPr>
              <w:t>Country, subdivisions, authority calendars and timezones.</w:t>
            </w:r>
          </w:p>
        </w:tc>
      </w:tr>
      <w:tr>
        <w:tc>
          <w:tcPr>
            <w:tcW w:type="dxa" w:w="3024"/>
            <w:vAlign w:val="center"/>
            <w:shd w:fill="F3F6F9"/>
          </w:tcPr>
          <w:p>
            <w:r/>
            <w:r>
              <w:rPr>
                <w:b w:val="0"/>
                <w:sz w:val="17"/>
              </w:rPr>
              <w:t>Entity Types</w:t>
            </w:r>
          </w:p>
        </w:tc>
        <w:tc>
          <w:tcPr>
            <w:tcW w:type="dxa" w:w="7056"/>
            <w:vAlign w:val="center"/>
            <w:shd w:fill="F3F6F9"/>
          </w:tcPr>
          <w:p>
            <w:r/>
            <w:r>
              <w:rPr>
                <w:b w:val="0"/>
                <w:sz w:val="17"/>
              </w:rPr>
              <w:t>Local legal forms and mappings to global entity classes.</w:t>
            </w:r>
          </w:p>
        </w:tc>
      </w:tr>
      <w:tr>
        <w:tc>
          <w:tcPr>
            <w:tcW w:type="dxa" w:w="3024"/>
            <w:vAlign w:val="center"/>
          </w:tcPr>
          <w:p>
            <w:r/>
            <w:r>
              <w:rPr>
                <w:b w:val="0"/>
                <w:sz w:val="17"/>
              </w:rPr>
              <w:t>Authorities</w:t>
            </w:r>
          </w:p>
        </w:tc>
        <w:tc>
          <w:tcPr>
            <w:tcW w:type="dxa" w:w="7056"/>
            <w:vAlign w:val="center"/>
          </w:tcPr>
          <w:p>
            <w:r/>
            <w:r>
              <w:rPr>
                <w:b w:val="0"/>
                <w:sz w:val="17"/>
              </w:rPr>
              <w:t>Registrar, tax authority, licence body and regulator.</w:t>
            </w:r>
          </w:p>
        </w:tc>
      </w:tr>
      <w:tr>
        <w:tc>
          <w:tcPr>
            <w:tcW w:type="dxa" w:w="3024"/>
            <w:vAlign w:val="center"/>
            <w:shd w:fill="F3F6F9"/>
          </w:tcPr>
          <w:p>
            <w:r/>
            <w:r>
              <w:rPr>
                <w:b w:val="0"/>
                <w:sz w:val="17"/>
              </w:rPr>
              <w:t>Compliance Mappings</w:t>
            </w:r>
          </w:p>
        </w:tc>
        <w:tc>
          <w:tcPr>
            <w:tcW w:type="dxa" w:w="7056"/>
            <w:vAlign w:val="center"/>
            <w:shd w:fill="F3F6F9"/>
          </w:tcPr>
          <w:p>
            <w:r/>
            <w:r>
              <w:rPr>
                <w:b w:val="0"/>
                <w:sz w:val="17"/>
              </w:rPr>
              <w:t>Local names, codes, categories and filing portals.</w:t>
            </w:r>
          </w:p>
        </w:tc>
      </w:tr>
      <w:tr>
        <w:tc>
          <w:tcPr>
            <w:tcW w:type="dxa" w:w="3024"/>
            <w:vAlign w:val="center"/>
          </w:tcPr>
          <w:p>
            <w:r/>
            <w:r>
              <w:rPr>
                <w:b w:val="0"/>
                <w:sz w:val="17"/>
              </w:rPr>
              <w:t>Applicability Conditions</w:t>
            </w:r>
          </w:p>
        </w:tc>
        <w:tc>
          <w:tcPr>
            <w:tcW w:type="dxa" w:w="7056"/>
            <w:vAlign w:val="center"/>
          </w:tcPr>
          <w:p>
            <w:r/>
            <w:r>
              <w:rPr>
                <w:b w:val="0"/>
                <w:sz w:val="17"/>
              </w:rPr>
              <w:t>Entity, registration, thresholds, activity and status conditions.</w:t>
            </w:r>
          </w:p>
        </w:tc>
      </w:tr>
      <w:tr>
        <w:tc>
          <w:tcPr>
            <w:tcW w:type="dxa" w:w="3024"/>
            <w:vAlign w:val="center"/>
            <w:shd w:fill="F3F6F9"/>
          </w:tcPr>
          <w:p>
            <w:r/>
            <w:r>
              <w:rPr>
                <w:b w:val="0"/>
                <w:sz w:val="17"/>
              </w:rPr>
              <w:t>Due-Date Formulas</w:t>
            </w:r>
          </w:p>
        </w:tc>
        <w:tc>
          <w:tcPr>
            <w:tcW w:type="dxa" w:w="7056"/>
            <w:vAlign w:val="center"/>
            <w:shd w:fill="F3F6F9"/>
          </w:tcPr>
          <w:p>
            <w:r/>
            <w:r>
              <w:rPr>
                <w:b w:val="0"/>
                <w:sz w:val="17"/>
              </w:rPr>
              <w:t>Trigger, offset, fixed date, holiday convention and period rules.</w:t>
            </w:r>
          </w:p>
        </w:tc>
      </w:tr>
      <w:tr>
        <w:tc>
          <w:tcPr>
            <w:tcW w:type="dxa" w:w="3024"/>
            <w:vAlign w:val="center"/>
          </w:tcPr>
          <w:p>
            <w:r/>
            <w:r>
              <w:rPr>
                <w:b w:val="0"/>
                <w:sz w:val="17"/>
              </w:rPr>
              <w:t>Extensions and Waivers</w:t>
            </w:r>
          </w:p>
        </w:tc>
        <w:tc>
          <w:tcPr>
            <w:tcW w:type="dxa" w:w="7056"/>
            <w:vAlign w:val="center"/>
          </w:tcPr>
          <w:p>
            <w:r/>
            <w:r>
              <w:rPr>
                <w:b w:val="0"/>
                <w:sz w:val="17"/>
              </w:rPr>
              <w:t>Allowed, approval required, maximum duration and evidence.</w:t>
            </w:r>
          </w:p>
        </w:tc>
      </w:tr>
      <w:tr>
        <w:tc>
          <w:tcPr>
            <w:tcW w:type="dxa" w:w="3024"/>
            <w:vAlign w:val="center"/>
            <w:shd w:fill="F3F6F9"/>
          </w:tcPr>
          <w:p>
            <w:r/>
            <w:r>
              <w:rPr>
                <w:b w:val="0"/>
                <w:sz w:val="17"/>
              </w:rPr>
              <w:t>Reminder Profiles</w:t>
            </w:r>
          </w:p>
        </w:tc>
        <w:tc>
          <w:tcPr>
            <w:tcW w:type="dxa" w:w="7056"/>
            <w:vAlign w:val="center"/>
            <w:shd w:fill="F3F6F9"/>
          </w:tcPr>
          <w:p>
            <w:r/>
            <w:r>
              <w:rPr>
                <w:b w:val="0"/>
                <w:sz w:val="17"/>
              </w:rPr>
              <w:t>Default preparation periods and escalation recipients.</w:t>
            </w:r>
          </w:p>
        </w:tc>
      </w:tr>
      <w:tr>
        <w:tc>
          <w:tcPr>
            <w:tcW w:type="dxa" w:w="3024"/>
            <w:vAlign w:val="center"/>
          </w:tcPr>
          <w:p>
            <w:r/>
            <w:r>
              <w:rPr>
                <w:b w:val="0"/>
                <w:sz w:val="17"/>
              </w:rPr>
              <w:t>Document Checklist</w:t>
            </w:r>
          </w:p>
        </w:tc>
        <w:tc>
          <w:tcPr>
            <w:tcW w:type="dxa" w:w="7056"/>
            <w:vAlign w:val="center"/>
          </w:tcPr>
          <w:p>
            <w:r/>
            <w:r>
              <w:rPr>
                <w:b w:val="0"/>
                <w:sz w:val="17"/>
              </w:rPr>
              <w:t>Required forms, statements, resolutions and evidence.</w:t>
            </w:r>
          </w:p>
        </w:tc>
      </w:tr>
      <w:tr>
        <w:tc>
          <w:tcPr>
            <w:tcW w:type="dxa" w:w="3024"/>
            <w:vAlign w:val="center"/>
            <w:shd w:fill="F3F6F9"/>
          </w:tcPr>
          <w:p>
            <w:r/>
            <w:r>
              <w:rPr>
                <w:b w:val="0"/>
                <w:sz w:val="17"/>
              </w:rPr>
              <w:t>Validation Tests</w:t>
            </w:r>
          </w:p>
        </w:tc>
        <w:tc>
          <w:tcPr>
            <w:tcW w:type="dxa" w:w="7056"/>
            <w:vAlign w:val="center"/>
            <w:shd w:fill="F3F6F9"/>
          </w:tcPr>
          <w:p>
            <w:r/>
            <w:r>
              <w:rPr>
                <w:b w:val="0"/>
                <w:sz w:val="17"/>
              </w:rPr>
              <w:t>Example company facts and expected due dates.</w:t>
            </w:r>
          </w:p>
        </w:tc>
      </w:tr>
      <w:tr>
        <w:tc>
          <w:tcPr>
            <w:tcW w:type="dxa" w:w="3024"/>
            <w:vAlign w:val="center"/>
          </w:tcPr>
          <w:p>
            <w:r/>
            <w:r>
              <w:rPr>
                <w:b w:val="0"/>
                <w:sz w:val="17"/>
              </w:rPr>
              <w:t>Legal Source Metadata</w:t>
            </w:r>
          </w:p>
        </w:tc>
        <w:tc>
          <w:tcPr>
            <w:tcW w:type="dxa" w:w="7056"/>
            <w:vAlign w:val="center"/>
          </w:tcPr>
          <w:p>
            <w:r/>
            <w:r>
              <w:rPr>
                <w:b w:val="0"/>
                <w:sz w:val="17"/>
              </w:rPr>
              <w:t>Source title, authority, effective date, review date and reviewer.</w:t>
            </w:r>
          </w:p>
        </w:tc>
      </w:tr>
    </w:tbl>
    <w:p/>
    <w:p>
      <w:pPr>
        <w:pStyle w:val="Heading2"/>
      </w:pPr>
      <w:r>
        <w:t>11.1 Rule-Pack Publication Controls</w:t>
      </w:r>
    </w:p>
    <w:p>
      <w:pPr>
        <w:pStyle w:val="ListNumber"/>
      </w:pPr>
      <w:r>
        <w:t>Author creates or imports draft rules.</w:t>
      </w:r>
    </w:p>
    <w:p>
      <w:pPr>
        <w:pStyle w:val="ListNumber"/>
      </w:pPr>
      <w:r>
        <w:t>System runs schema and date-calculation tests.</w:t>
      </w:r>
    </w:p>
    <w:p>
      <w:pPr>
        <w:pStyle w:val="ListNumber"/>
      </w:pPr>
      <w:r>
        <w:t>Legal reviewer validates applicability and source references.</w:t>
      </w:r>
    </w:p>
    <w:p>
      <w:pPr>
        <w:pStyle w:val="ListNumber"/>
      </w:pPr>
      <w:r>
        <w:t>Approver sets effective date and publication scope.</w:t>
      </w:r>
    </w:p>
    <w:p>
      <w:pPr>
        <w:pStyle w:val="ListNumber"/>
      </w:pPr>
      <w:r>
        <w:t>Impact preview shows companies/events that will change.</w:t>
      </w:r>
    </w:p>
    <w:p>
      <w:pPr>
        <w:pStyle w:val="ListNumber"/>
      </w:pPr>
      <w:r>
        <w:t>Published version becomes available for generation.</w:t>
      </w:r>
    </w:p>
    <w:p>
      <w:pPr>
        <w:pStyle w:val="ListNumber"/>
      </w:pPr>
      <w:r>
        <w:t>Existing open events are updated only according to the selected migration policy.</w:t>
      </w:r>
    </w:p>
    <w:p>
      <w:pPr>
        <w:pStyle w:val="Heading1"/>
      </w:pPr>
      <w:r>
        <w:t>12. Data Model</w:t>
      </w:r>
    </w:p>
    <w:p>
      <w:pPr>
        <w:pStyle w:val="Heading2"/>
      </w:pPr>
      <w:r>
        <w:t>12.1 Core Tables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F4E78"/>
          </w:tcPr>
          <w:p>
            <w:r/>
            <w:r>
              <w:rPr>
                <w:b/>
                <w:color w:val="FFFFFF"/>
                <w:sz w:val="18"/>
              </w:rPr>
              <w:t>Table</w:t>
            </w:r>
          </w:p>
        </w:tc>
        <w:tc>
          <w:tcPr>
            <w:tcW w:type="dxa" w:w="6912"/>
            <w:vAlign w:val="center"/>
            <w:shd w:fill="1F4E78"/>
          </w:tcPr>
          <w:p>
            <w:r/>
            <w:r>
              <w:rPr>
                <w:b/>
                <w:color w:val="FFFFFF"/>
                <w:sz w:val="18"/>
              </w:rPr>
              <w:t>Purpose</w:t>
            </w:r>
          </w:p>
        </w:tc>
      </w:tr>
      <w:tr>
        <w:tc>
          <w:tcPr>
            <w:tcW w:type="dxa" w:w="3168"/>
            <w:vAlign w:val="center"/>
          </w:tcPr>
          <w:p>
            <w:r/>
            <w:r>
              <w:rPr>
                <w:b w:val="0"/>
                <w:sz w:val="17"/>
              </w:rPr>
              <w:t>jurisdictions</w:t>
            </w:r>
          </w:p>
        </w:tc>
        <w:tc>
          <w:tcPr>
            <w:tcW w:type="dxa" w:w="6912"/>
            <w:vAlign w:val="center"/>
          </w:tcPr>
          <w:p>
            <w:r/>
            <w:r>
              <w:rPr>
                <w:b w:val="0"/>
                <w:sz w:val="17"/>
              </w:rPr>
              <w:t>Country and subdivision hierarchy.</w:t>
            </w:r>
          </w:p>
        </w:tc>
      </w:tr>
      <w:tr>
        <w:tc>
          <w:tcPr>
            <w:tcW w:type="dxa" w:w="3168"/>
            <w:vAlign w:val="center"/>
            <w:shd w:fill="F3F6F9"/>
          </w:tcPr>
          <w:p>
            <w:r/>
            <w:r>
              <w:rPr>
                <w:b w:val="0"/>
                <w:sz w:val="17"/>
              </w:rPr>
              <w:t>authorities</w:t>
            </w:r>
          </w:p>
        </w:tc>
        <w:tc>
          <w:tcPr>
            <w:tcW w:type="dxa" w:w="6912"/>
            <w:vAlign w:val="center"/>
            <w:shd w:fill="F3F6F9"/>
          </w:tcPr>
          <w:p>
            <w:r/>
            <w:r>
              <w:rPr>
                <w:b w:val="0"/>
                <w:sz w:val="17"/>
              </w:rPr>
              <w:t>Regulatory and filing authorities.</w:t>
            </w:r>
          </w:p>
        </w:tc>
      </w:tr>
      <w:tr>
        <w:tc>
          <w:tcPr>
            <w:tcW w:type="dxa" w:w="3168"/>
            <w:vAlign w:val="center"/>
          </w:tcPr>
          <w:p>
            <w:r/>
            <w:r>
              <w:rPr>
                <w:b w:val="0"/>
                <w:sz w:val="17"/>
              </w:rPr>
              <w:t>entity_types</w:t>
            </w:r>
          </w:p>
        </w:tc>
        <w:tc>
          <w:tcPr>
            <w:tcW w:type="dxa" w:w="6912"/>
            <w:vAlign w:val="center"/>
          </w:tcPr>
          <w:p>
            <w:r/>
            <w:r>
              <w:rPr>
                <w:b w:val="0"/>
                <w:sz w:val="17"/>
              </w:rPr>
              <w:t>Global and local legal entity types.</w:t>
            </w:r>
          </w:p>
        </w:tc>
      </w:tr>
      <w:tr>
        <w:tc>
          <w:tcPr>
            <w:tcW w:type="dxa" w:w="3168"/>
            <w:vAlign w:val="center"/>
            <w:shd w:fill="F3F6F9"/>
          </w:tcPr>
          <w:p>
            <w:r/>
            <w:r>
              <w:rPr>
                <w:b w:val="0"/>
                <w:sz w:val="17"/>
              </w:rPr>
              <w:t>compliance_master</w:t>
            </w:r>
          </w:p>
        </w:tc>
        <w:tc>
          <w:tcPr>
            <w:tcW w:type="dxa" w:w="6912"/>
            <w:vAlign w:val="center"/>
            <w:shd w:fill="F3F6F9"/>
          </w:tcPr>
          <w:p>
            <w:r/>
            <w:r>
              <w:rPr>
                <w:b w:val="0"/>
                <w:sz w:val="17"/>
              </w:rPr>
              <w:t>Global compliance catalogue.</w:t>
            </w:r>
          </w:p>
        </w:tc>
      </w:tr>
      <w:tr>
        <w:tc>
          <w:tcPr>
            <w:tcW w:type="dxa" w:w="3168"/>
            <w:vAlign w:val="center"/>
          </w:tcPr>
          <w:p>
            <w:r/>
            <w:r>
              <w:rPr>
                <w:b w:val="0"/>
                <w:sz w:val="17"/>
              </w:rPr>
              <w:t>compliance_rule_versions</w:t>
            </w:r>
          </w:p>
        </w:tc>
        <w:tc>
          <w:tcPr>
            <w:tcW w:type="dxa" w:w="6912"/>
            <w:vAlign w:val="center"/>
          </w:tcPr>
          <w:p>
            <w:r/>
            <w:r>
              <w:rPr>
                <w:b w:val="0"/>
                <w:sz w:val="17"/>
              </w:rPr>
              <w:t>Version header, effective dates, status and approval.</w:t>
            </w:r>
          </w:p>
        </w:tc>
      </w:tr>
      <w:tr>
        <w:tc>
          <w:tcPr>
            <w:tcW w:type="dxa" w:w="3168"/>
            <w:vAlign w:val="center"/>
            <w:shd w:fill="F3F6F9"/>
          </w:tcPr>
          <w:p>
            <w:r/>
            <w:r>
              <w:rPr>
                <w:b w:val="0"/>
                <w:sz w:val="17"/>
              </w:rPr>
              <w:t>compliance_rules</w:t>
            </w:r>
          </w:p>
        </w:tc>
        <w:tc>
          <w:tcPr>
            <w:tcW w:type="dxa" w:w="6912"/>
            <w:vAlign w:val="center"/>
            <w:shd w:fill="F3F6F9"/>
          </w:tcPr>
          <w:p>
            <w:r/>
            <w:r>
              <w:rPr>
                <w:b w:val="0"/>
                <w:sz w:val="17"/>
              </w:rPr>
              <w:t>Applicability, trigger, formula and frequency.</w:t>
            </w:r>
          </w:p>
        </w:tc>
      </w:tr>
      <w:tr>
        <w:tc>
          <w:tcPr>
            <w:tcW w:type="dxa" w:w="3168"/>
            <w:vAlign w:val="center"/>
          </w:tcPr>
          <w:p>
            <w:r/>
            <w:r>
              <w:rPr>
                <w:b w:val="0"/>
                <w:sz w:val="17"/>
              </w:rPr>
              <w:t>compliance_rule_conditions</w:t>
            </w:r>
          </w:p>
        </w:tc>
        <w:tc>
          <w:tcPr>
            <w:tcW w:type="dxa" w:w="6912"/>
            <w:vAlign w:val="center"/>
          </w:tcPr>
          <w:p>
            <w:r/>
            <w:r>
              <w:rPr>
                <w:b w:val="0"/>
                <w:sz w:val="17"/>
              </w:rPr>
              <w:t>Structured inclusion/exclusion conditions.</w:t>
            </w:r>
          </w:p>
        </w:tc>
      </w:tr>
      <w:tr>
        <w:tc>
          <w:tcPr>
            <w:tcW w:type="dxa" w:w="3168"/>
            <w:vAlign w:val="center"/>
            <w:shd w:fill="F3F6F9"/>
          </w:tcPr>
          <w:p>
            <w:r/>
            <w:r>
              <w:rPr>
                <w:b w:val="0"/>
                <w:sz w:val="17"/>
              </w:rPr>
              <w:t>reminder_profiles</w:t>
            </w:r>
          </w:p>
        </w:tc>
        <w:tc>
          <w:tcPr>
            <w:tcW w:type="dxa" w:w="6912"/>
            <w:vAlign w:val="center"/>
            <w:shd w:fill="F3F6F9"/>
          </w:tcPr>
          <w:p>
            <w:r/>
            <w:r>
              <w:rPr>
                <w:b w:val="0"/>
                <w:sz w:val="17"/>
              </w:rPr>
              <w:t>Reusable reminder and escalation definitions.</w:t>
            </w:r>
          </w:p>
        </w:tc>
      </w:tr>
      <w:tr>
        <w:tc>
          <w:tcPr>
            <w:tcW w:type="dxa" w:w="3168"/>
            <w:vAlign w:val="center"/>
          </w:tcPr>
          <w:p>
            <w:r/>
            <w:r>
              <w:rPr>
                <w:b w:val="0"/>
                <w:sz w:val="17"/>
              </w:rPr>
              <w:t>companies</w:t>
            </w:r>
          </w:p>
        </w:tc>
        <w:tc>
          <w:tcPr>
            <w:tcW w:type="dxa" w:w="6912"/>
            <w:vAlign w:val="center"/>
          </w:tcPr>
          <w:p>
            <w:r/>
            <w:r>
              <w:rPr>
                <w:b w:val="0"/>
                <w:sz w:val="17"/>
              </w:rPr>
              <w:t>Company profile and jurisdiction data.</w:t>
            </w:r>
          </w:p>
        </w:tc>
      </w:tr>
      <w:tr>
        <w:tc>
          <w:tcPr>
            <w:tcW w:type="dxa" w:w="3168"/>
            <w:vAlign w:val="center"/>
            <w:shd w:fill="F3F6F9"/>
          </w:tcPr>
          <w:p>
            <w:r/>
            <w:r>
              <w:rPr>
                <w:b w:val="0"/>
                <w:sz w:val="17"/>
              </w:rPr>
              <w:t>company_registrations</w:t>
            </w:r>
          </w:p>
        </w:tc>
        <w:tc>
          <w:tcPr>
            <w:tcW w:type="dxa" w:w="6912"/>
            <w:vAlign w:val="center"/>
            <w:shd w:fill="F3F6F9"/>
          </w:tcPr>
          <w:p>
            <w:r/>
            <w:r>
              <w:rPr>
                <w:b w:val="0"/>
                <w:sz w:val="17"/>
              </w:rPr>
              <w:t>Tax, licence and regulatory registrations.</w:t>
            </w:r>
          </w:p>
        </w:tc>
      </w:tr>
      <w:tr>
        <w:tc>
          <w:tcPr>
            <w:tcW w:type="dxa" w:w="3168"/>
            <w:vAlign w:val="center"/>
          </w:tcPr>
          <w:p>
            <w:r/>
            <w:r>
              <w:rPr>
                <w:b w:val="0"/>
                <w:sz w:val="17"/>
              </w:rPr>
              <w:t>company_compliance_events</w:t>
            </w:r>
          </w:p>
        </w:tc>
        <w:tc>
          <w:tcPr>
            <w:tcW w:type="dxa" w:w="6912"/>
            <w:vAlign w:val="center"/>
          </w:tcPr>
          <w:p>
            <w:r/>
            <w:r>
              <w:rPr>
                <w:b w:val="0"/>
                <w:sz w:val="17"/>
              </w:rPr>
              <w:t>Generated obligation instances.</w:t>
            </w:r>
          </w:p>
        </w:tc>
      </w:tr>
      <w:tr>
        <w:tc>
          <w:tcPr>
            <w:tcW w:type="dxa" w:w="3168"/>
            <w:vAlign w:val="center"/>
            <w:shd w:fill="F3F6F9"/>
          </w:tcPr>
          <w:p>
            <w:r/>
            <w:r>
              <w:rPr>
                <w:b w:val="0"/>
                <w:sz w:val="17"/>
              </w:rPr>
              <w:t>compliance_event_dependencies</w:t>
            </w:r>
          </w:p>
        </w:tc>
        <w:tc>
          <w:tcPr>
            <w:tcW w:type="dxa" w:w="6912"/>
            <w:vAlign w:val="center"/>
            <w:shd w:fill="F3F6F9"/>
          </w:tcPr>
          <w:p>
            <w:r/>
            <w:r>
              <w:rPr>
                <w:b w:val="0"/>
                <w:sz w:val="17"/>
              </w:rPr>
              <w:t>Parent-child and internal milestone relationships.</w:t>
            </w:r>
          </w:p>
        </w:tc>
      </w:tr>
      <w:tr>
        <w:tc>
          <w:tcPr>
            <w:tcW w:type="dxa" w:w="3168"/>
            <w:vAlign w:val="center"/>
          </w:tcPr>
          <w:p>
            <w:r/>
            <w:r>
              <w:rPr>
                <w:b w:val="0"/>
                <w:sz w:val="17"/>
              </w:rPr>
              <w:t>compliance_extensions</w:t>
            </w:r>
          </w:p>
        </w:tc>
        <w:tc>
          <w:tcPr>
            <w:tcW w:type="dxa" w:w="6912"/>
            <w:vAlign w:val="center"/>
          </w:tcPr>
          <w:p>
            <w:r/>
            <w:r>
              <w:rPr>
                <w:b w:val="0"/>
                <w:sz w:val="17"/>
              </w:rPr>
              <w:t>Extension requests and decisions.</w:t>
            </w:r>
          </w:p>
        </w:tc>
      </w:tr>
      <w:tr>
        <w:tc>
          <w:tcPr>
            <w:tcW w:type="dxa" w:w="3168"/>
            <w:vAlign w:val="center"/>
            <w:shd w:fill="F3F6F9"/>
          </w:tcPr>
          <w:p>
            <w:r/>
            <w:r>
              <w:rPr>
                <w:b w:val="0"/>
                <w:sz w:val="17"/>
              </w:rPr>
              <w:t>compliance_waivers</w:t>
            </w:r>
          </w:p>
        </w:tc>
        <w:tc>
          <w:tcPr>
            <w:tcW w:type="dxa" w:w="6912"/>
            <w:vAlign w:val="center"/>
            <w:shd w:fill="F3F6F9"/>
          </w:tcPr>
          <w:p>
            <w:r/>
            <w:r>
              <w:rPr>
                <w:b w:val="0"/>
                <w:sz w:val="17"/>
              </w:rPr>
              <w:t>Exemption/waiver evidence and validity.</w:t>
            </w:r>
          </w:p>
        </w:tc>
      </w:tr>
      <w:tr>
        <w:tc>
          <w:tcPr>
            <w:tcW w:type="dxa" w:w="3168"/>
            <w:vAlign w:val="center"/>
          </w:tcPr>
          <w:p>
            <w:r/>
            <w:r>
              <w:rPr>
                <w:b w:val="0"/>
                <w:sz w:val="17"/>
              </w:rPr>
              <w:t>compliance_reminders</w:t>
            </w:r>
          </w:p>
        </w:tc>
        <w:tc>
          <w:tcPr>
            <w:tcW w:type="dxa" w:w="6912"/>
            <w:vAlign w:val="center"/>
          </w:tcPr>
          <w:p>
            <w:r/>
            <w:r>
              <w:rPr>
                <w:b w:val="0"/>
                <w:sz w:val="17"/>
              </w:rPr>
              <w:t>Scheduled and sent notifications.</w:t>
            </w:r>
          </w:p>
        </w:tc>
      </w:tr>
      <w:tr>
        <w:tc>
          <w:tcPr>
            <w:tcW w:type="dxa" w:w="3168"/>
            <w:vAlign w:val="center"/>
            <w:shd w:fill="F3F6F9"/>
          </w:tcPr>
          <w:p>
            <w:r/>
            <w:r>
              <w:rPr>
                <w:b w:val="0"/>
                <w:sz w:val="17"/>
              </w:rPr>
              <w:t>compliance_documents</w:t>
            </w:r>
          </w:p>
        </w:tc>
        <w:tc>
          <w:tcPr>
            <w:tcW w:type="dxa" w:w="6912"/>
            <w:vAlign w:val="center"/>
            <w:shd w:fill="F3F6F9"/>
          </w:tcPr>
          <w:p>
            <w:r/>
            <w:r>
              <w:rPr>
                <w:b w:val="0"/>
                <w:sz w:val="17"/>
              </w:rPr>
              <w:t>Document metadata and links.</w:t>
            </w:r>
          </w:p>
        </w:tc>
      </w:tr>
      <w:tr>
        <w:tc>
          <w:tcPr>
            <w:tcW w:type="dxa" w:w="3168"/>
            <w:vAlign w:val="center"/>
          </w:tcPr>
          <w:p>
            <w:r/>
            <w:r>
              <w:rPr>
                <w:b w:val="0"/>
                <w:sz w:val="17"/>
              </w:rPr>
              <w:t>compliance_submissions</w:t>
            </w:r>
          </w:p>
        </w:tc>
        <w:tc>
          <w:tcPr>
            <w:tcW w:type="dxa" w:w="6912"/>
            <w:vAlign w:val="center"/>
          </w:tcPr>
          <w:p>
            <w:r/>
            <w:r>
              <w:rPr>
                <w:b w:val="0"/>
                <w:sz w:val="17"/>
              </w:rPr>
              <w:t>Filing, acknowledgement and authority references.</w:t>
            </w:r>
          </w:p>
        </w:tc>
      </w:tr>
      <w:tr>
        <w:tc>
          <w:tcPr>
            <w:tcW w:type="dxa" w:w="3168"/>
            <w:vAlign w:val="center"/>
            <w:shd w:fill="F3F6F9"/>
          </w:tcPr>
          <w:p>
            <w:r/>
            <w:r>
              <w:rPr>
                <w:b w:val="0"/>
                <w:sz w:val="17"/>
              </w:rPr>
              <w:t>compliance_status_history</w:t>
            </w:r>
          </w:p>
        </w:tc>
        <w:tc>
          <w:tcPr>
            <w:tcW w:type="dxa" w:w="6912"/>
            <w:vAlign w:val="center"/>
            <w:shd w:fill="F3F6F9"/>
          </w:tcPr>
          <w:p>
            <w:r/>
            <w:r>
              <w:rPr>
                <w:b w:val="0"/>
                <w:sz w:val="17"/>
              </w:rPr>
              <w:t>Immutable status change history.</w:t>
            </w:r>
          </w:p>
        </w:tc>
      </w:tr>
      <w:tr>
        <w:tc>
          <w:tcPr>
            <w:tcW w:type="dxa" w:w="3168"/>
            <w:vAlign w:val="center"/>
          </w:tcPr>
          <w:p>
            <w:r/>
            <w:r>
              <w:rPr>
                <w:b w:val="0"/>
                <w:sz w:val="17"/>
              </w:rPr>
              <w:t>holiday_calendars</w:t>
            </w:r>
          </w:p>
        </w:tc>
        <w:tc>
          <w:tcPr>
            <w:tcW w:type="dxa" w:w="6912"/>
            <w:vAlign w:val="center"/>
          </w:tcPr>
          <w:p>
            <w:r/>
            <w:r>
              <w:rPr>
                <w:b w:val="0"/>
                <w:sz w:val="17"/>
              </w:rPr>
              <w:t>Authority-specific working-day calendars.</w:t>
            </w:r>
          </w:p>
        </w:tc>
      </w:tr>
      <w:tr>
        <w:tc>
          <w:tcPr>
            <w:tcW w:type="dxa" w:w="3168"/>
            <w:vAlign w:val="center"/>
            <w:shd w:fill="F3F6F9"/>
          </w:tcPr>
          <w:p>
            <w:r/>
            <w:r>
              <w:rPr>
                <w:b w:val="0"/>
                <w:sz w:val="17"/>
              </w:rPr>
              <w:t>rule_calculation_logs</w:t>
            </w:r>
          </w:p>
        </w:tc>
        <w:tc>
          <w:tcPr>
            <w:tcW w:type="dxa" w:w="6912"/>
            <w:vAlign w:val="center"/>
            <w:shd w:fill="F3F6F9"/>
          </w:tcPr>
          <w:p>
            <w:r/>
            <w:r>
              <w:rPr>
                <w:b w:val="0"/>
                <w:sz w:val="17"/>
              </w:rPr>
              <w:t>Formula inputs, outputs and trace.</w:t>
            </w:r>
          </w:p>
        </w:tc>
      </w:tr>
    </w:tbl>
    <w:p/>
    <w:p>
      <w:pPr>
        <w:pStyle w:val="Heading2"/>
      </w:pPr>
      <w:r>
        <w:t>12.2 Company Compliance Event Minimum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center"/>
            <w:shd w:fill="1F4E78"/>
          </w:tcPr>
          <w:p>
            <w:r/>
            <w:r>
              <w:rPr>
                <w:b/>
                <w:color w:val="FFFFFF"/>
                <w:sz w:val="18"/>
              </w:rPr>
              <w:t>Field</w:t>
            </w:r>
          </w:p>
        </w:tc>
        <w:tc>
          <w:tcPr>
            <w:tcW w:type="dxa" w:w="6480"/>
            <w:vAlign w:val="center"/>
            <w:shd w:fill="1F4E78"/>
          </w:tcPr>
          <w:p>
            <w:r/>
            <w:r>
              <w:rPr>
                <w:b/>
                <w:color w:val="FFFFFF"/>
                <w:sz w:val="18"/>
              </w:rPr>
              <w:t>Purpose</w:t>
            </w:r>
          </w:p>
        </w:tc>
      </w:tr>
      <w:tr>
        <w:tc>
          <w:tcPr>
            <w:tcW w:type="dxa" w:w="3600"/>
            <w:vAlign w:val="center"/>
          </w:tcPr>
          <w:p>
            <w:r/>
            <w:r>
              <w:rPr>
                <w:b w:val="0"/>
                <w:sz w:val="17"/>
              </w:rPr>
              <w:t>id</w:t>
            </w:r>
          </w:p>
        </w:tc>
        <w:tc>
          <w:tcPr>
            <w:tcW w:type="dxa" w:w="6480"/>
            <w:vAlign w:val="center"/>
          </w:tcPr>
          <w:p>
            <w:r/>
            <w:r>
              <w:rPr>
                <w:b w:val="0"/>
                <w:sz w:val="17"/>
              </w:rPr>
              <w:t>Primary identifier</w:t>
            </w:r>
          </w:p>
        </w:tc>
      </w:tr>
      <w:tr>
        <w:tc>
          <w:tcPr>
            <w:tcW w:type="dxa" w:w="3600"/>
            <w:vAlign w:val="center"/>
            <w:shd w:fill="F3F6F9"/>
          </w:tcPr>
          <w:p>
            <w:r/>
            <w:r>
              <w:rPr>
                <w:b w:val="0"/>
                <w:sz w:val="17"/>
              </w:rPr>
              <w:t>company_id</w:t>
            </w:r>
          </w:p>
        </w:tc>
        <w:tc>
          <w:tcPr>
            <w:tcW w:type="dxa" w:w="6480"/>
            <w:vAlign w:val="center"/>
            <w:shd w:fill="F3F6F9"/>
          </w:tcPr>
          <w:p>
            <w:r/>
            <w:r>
              <w:rPr>
                <w:b w:val="0"/>
                <w:sz w:val="17"/>
              </w:rPr>
              <w:t>Company</w:t>
            </w:r>
          </w:p>
        </w:tc>
      </w:tr>
      <w:tr>
        <w:tc>
          <w:tcPr>
            <w:tcW w:type="dxa" w:w="3600"/>
            <w:vAlign w:val="center"/>
          </w:tcPr>
          <w:p>
            <w:r/>
            <w:r>
              <w:rPr>
                <w:b w:val="0"/>
                <w:sz w:val="17"/>
              </w:rPr>
              <w:t>compliance_rule_version_id</w:t>
            </w:r>
          </w:p>
        </w:tc>
        <w:tc>
          <w:tcPr>
            <w:tcW w:type="dxa" w:w="6480"/>
            <w:vAlign w:val="center"/>
          </w:tcPr>
          <w:p>
            <w:r/>
            <w:r>
              <w:rPr>
                <w:b w:val="0"/>
                <w:sz w:val="17"/>
              </w:rPr>
              <w:t>Generating rule version</w:t>
            </w:r>
          </w:p>
        </w:tc>
      </w:tr>
      <w:tr>
        <w:tc>
          <w:tcPr>
            <w:tcW w:type="dxa" w:w="3600"/>
            <w:vAlign w:val="center"/>
            <w:shd w:fill="F3F6F9"/>
          </w:tcPr>
          <w:p>
            <w:r/>
            <w:r>
              <w:rPr>
                <w:b w:val="0"/>
                <w:sz w:val="17"/>
              </w:rPr>
              <w:t>compliance_code</w:t>
            </w:r>
          </w:p>
        </w:tc>
        <w:tc>
          <w:tcPr>
            <w:tcW w:type="dxa" w:w="6480"/>
            <w:vAlign w:val="center"/>
            <w:shd w:fill="F3F6F9"/>
          </w:tcPr>
          <w:p>
            <w:r/>
            <w:r>
              <w:rPr>
                <w:b w:val="0"/>
                <w:sz w:val="17"/>
              </w:rPr>
              <w:t>Compliance code</w:t>
            </w:r>
          </w:p>
        </w:tc>
      </w:tr>
      <w:tr>
        <w:tc>
          <w:tcPr>
            <w:tcW w:type="dxa" w:w="3600"/>
            <w:vAlign w:val="center"/>
          </w:tcPr>
          <w:p>
            <w:r/>
            <w:r>
              <w:rPr>
                <w:b w:val="0"/>
                <w:sz w:val="17"/>
              </w:rPr>
              <w:t>period_key</w:t>
            </w:r>
          </w:p>
        </w:tc>
        <w:tc>
          <w:tcPr>
            <w:tcW w:type="dxa" w:w="6480"/>
            <w:vAlign w:val="center"/>
          </w:tcPr>
          <w:p>
            <w:r/>
            <w:r>
              <w:rPr>
                <w:b w:val="0"/>
                <w:sz w:val="17"/>
              </w:rPr>
              <w:t>Year/quarter/month/event period</w:t>
            </w:r>
          </w:p>
        </w:tc>
      </w:tr>
      <w:tr>
        <w:tc>
          <w:tcPr>
            <w:tcW w:type="dxa" w:w="3600"/>
            <w:vAlign w:val="center"/>
            <w:shd w:fill="F3F6F9"/>
          </w:tcPr>
          <w:p>
            <w:r/>
            <w:r>
              <w:rPr>
                <w:b w:val="0"/>
                <w:sz w:val="17"/>
              </w:rPr>
              <w:t>trigger_type</w:t>
            </w:r>
          </w:p>
        </w:tc>
        <w:tc>
          <w:tcPr>
            <w:tcW w:type="dxa" w:w="6480"/>
            <w:vAlign w:val="center"/>
            <w:shd w:fill="F3F6F9"/>
          </w:tcPr>
          <w:p>
            <w:r/>
            <w:r>
              <w:rPr>
                <w:b w:val="0"/>
                <w:sz w:val="17"/>
              </w:rPr>
              <w:t>FYE, anniversary, event, period end and similar</w:t>
            </w:r>
          </w:p>
        </w:tc>
      </w:tr>
      <w:tr>
        <w:tc>
          <w:tcPr>
            <w:tcW w:type="dxa" w:w="3600"/>
            <w:vAlign w:val="center"/>
          </w:tcPr>
          <w:p>
            <w:r/>
            <w:r>
              <w:rPr>
                <w:b w:val="0"/>
                <w:sz w:val="17"/>
              </w:rPr>
              <w:t>trigger_date</w:t>
            </w:r>
          </w:p>
        </w:tc>
        <w:tc>
          <w:tcPr>
            <w:tcW w:type="dxa" w:w="6480"/>
            <w:vAlign w:val="center"/>
          </w:tcPr>
          <w:p>
            <w:r/>
            <w:r>
              <w:rPr>
                <w:b w:val="0"/>
                <w:sz w:val="17"/>
              </w:rPr>
              <w:t>Date used by formula</w:t>
            </w:r>
          </w:p>
        </w:tc>
      </w:tr>
      <w:tr>
        <w:tc>
          <w:tcPr>
            <w:tcW w:type="dxa" w:w="3600"/>
            <w:vAlign w:val="center"/>
            <w:shd w:fill="F3F6F9"/>
          </w:tcPr>
          <w:p>
            <w:r/>
            <w:r>
              <w:rPr>
                <w:b w:val="0"/>
                <w:sz w:val="17"/>
              </w:rPr>
              <w:t>original_due_date</w:t>
            </w:r>
          </w:p>
        </w:tc>
        <w:tc>
          <w:tcPr>
            <w:tcW w:type="dxa" w:w="6480"/>
            <w:vAlign w:val="center"/>
            <w:shd w:fill="F3F6F9"/>
          </w:tcPr>
          <w:p>
            <w:r/>
            <w:r>
              <w:rPr>
                <w:b w:val="0"/>
                <w:sz w:val="17"/>
              </w:rPr>
              <w:t>Immutable statutory date</w:t>
            </w:r>
          </w:p>
        </w:tc>
      </w:tr>
      <w:tr>
        <w:tc>
          <w:tcPr>
            <w:tcW w:type="dxa" w:w="3600"/>
            <w:vAlign w:val="center"/>
          </w:tcPr>
          <w:p>
            <w:r/>
            <w:r>
              <w:rPr>
                <w:b w:val="0"/>
                <w:sz w:val="17"/>
              </w:rPr>
              <w:t>adjusted_due_date</w:t>
            </w:r>
          </w:p>
        </w:tc>
        <w:tc>
          <w:tcPr>
            <w:tcW w:type="dxa" w:w="6480"/>
            <w:vAlign w:val="center"/>
          </w:tcPr>
          <w:p>
            <w:r/>
            <w:r>
              <w:rPr>
                <w:b w:val="0"/>
                <w:sz w:val="17"/>
              </w:rPr>
              <w:t>Holiday/weekend-adjusted date</w:t>
            </w:r>
          </w:p>
        </w:tc>
      </w:tr>
      <w:tr>
        <w:tc>
          <w:tcPr>
            <w:tcW w:type="dxa" w:w="3600"/>
            <w:vAlign w:val="center"/>
            <w:shd w:fill="F3F6F9"/>
          </w:tcPr>
          <w:p>
            <w:r/>
            <w:r>
              <w:rPr>
                <w:b w:val="0"/>
                <w:sz w:val="17"/>
              </w:rPr>
              <w:t>approved_extended_due_date</w:t>
            </w:r>
          </w:p>
        </w:tc>
        <w:tc>
          <w:tcPr>
            <w:tcW w:type="dxa" w:w="6480"/>
            <w:vAlign w:val="center"/>
            <w:shd w:fill="F3F6F9"/>
          </w:tcPr>
          <w:p>
            <w:r/>
            <w:r>
              <w:rPr>
                <w:b w:val="0"/>
                <w:sz w:val="17"/>
              </w:rPr>
              <w:t>Approved extension, if any</w:t>
            </w:r>
          </w:p>
        </w:tc>
      </w:tr>
      <w:tr>
        <w:tc>
          <w:tcPr>
            <w:tcW w:type="dxa" w:w="3600"/>
            <w:vAlign w:val="center"/>
          </w:tcPr>
          <w:p>
            <w:r/>
            <w:r>
              <w:rPr>
                <w:b w:val="0"/>
                <w:sz w:val="17"/>
              </w:rPr>
              <w:t>current_due_date</w:t>
            </w:r>
          </w:p>
        </w:tc>
        <w:tc>
          <w:tcPr>
            <w:tcW w:type="dxa" w:w="6480"/>
            <w:vAlign w:val="center"/>
          </w:tcPr>
          <w:p>
            <w:r/>
            <w:r>
              <w:rPr>
                <w:b w:val="0"/>
                <w:sz w:val="17"/>
              </w:rPr>
              <w:t>Date used for status and reminders</w:t>
            </w:r>
          </w:p>
        </w:tc>
      </w:tr>
      <w:tr>
        <w:tc>
          <w:tcPr>
            <w:tcW w:type="dxa" w:w="3600"/>
            <w:vAlign w:val="center"/>
            <w:shd w:fill="F3F6F9"/>
          </w:tcPr>
          <w:p>
            <w:r/>
            <w:r>
              <w:rPr>
                <w:b w:val="0"/>
                <w:sz w:val="17"/>
              </w:rPr>
              <w:t>operational_target_date</w:t>
            </w:r>
          </w:p>
        </w:tc>
        <w:tc>
          <w:tcPr>
            <w:tcW w:type="dxa" w:w="6480"/>
            <w:vAlign w:val="center"/>
            <w:shd w:fill="F3F6F9"/>
          </w:tcPr>
          <w:p>
            <w:r/>
            <w:r>
              <w:rPr>
                <w:b w:val="0"/>
                <w:sz w:val="17"/>
              </w:rPr>
              <w:t>Internal earlier deadline</w:t>
            </w:r>
          </w:p>
        </w:tc>
      </w:tr>
      <w:tr>
        <w:tc>
          <w:tcPr>
            <w:tcW w:type="dxa" w:w="3600"/>
            <w:vAlign w:val="center"/>
          </w:tcPr>
          <w:p>
            <w:r/>
            <w:r>
              <w:rPr>
                <w:b w:val="0"/>
                <w:sz w:val="17"/>
              </w:rPr>
              <w:t>status</w:t>
            </w:r>
          </w:p>
        </w:tc>
        <w:tc>
          <w:tcPr>
            <w:tcW w:type="dxa" w:w="6480"/>
            <w:vAlign w:val="center"/>
          </w:tcPr>
          <w:p>
            <w:r/>
            <w:r>
              <w:rPr>
                <w:b w:val="0"/>
                <w:sz w:val="17"/>
              </w:rPr>
              <w:t>Workflow status</w:t>
            </w:r>
          </w:p>
        </w:tc>
      </w:tr>
      <w:tr>
        <w:tc>
          <w:tcPr>
            <w:tcW w:type="dxa" w:w="3600"/>
            <w:vAlign w:val="center"/>
            <w:shd w:fill="F3F6F9"/>
          </w:tcPr>
          <w:p>
            <w:r/>
            <w:r>
              <w:rPr>
                <w:b w:val="0"/>
                <w:sz w:val="17"/>
              </w:rPr>
              <w:t>priority</w:t>
            </w:r>
          </w:p>
        </w:tc>
        <w:tc>
          <w:tcPr>
            <w:tcW w:type="dxa" w:w="6480"/>
            <w:vAlign w:val="center"/>
            <w:shd w:fill="F3F6F9"/>
          </w:tcPr>
          <w:p>
            <w:r/>
            <w:r>
              <w:rPr>
                <w:b w:val="0"/>
                <w:sz w:val="17"/>
              </w:rPr>
              <w:t>Risk/operational priority</w:t>
            </w:r>
          </w:p>
        </w:tc>
      </w:tr>
      <w:tr>
        <w:tc>
          <w:tcPr>
            <w:tcW w:type="dxa" w:w="3600"/>
            <w:vAlign w:val="center"/>
          </w:tcPr>
          <w:p>
            <w:r/>
            <w:r>
              <w:rPr>
                <w:b w:val="0"/>
                <w:sz w:val="17"/>
              </w:rPr>
              <w:t>responsible_user_id</w:t>
            </w:r>
          </w:p>
        </w:tc>
        <w:tc>
          <w:tcPr>
            <w:tcW w:type="dxa" w:w="6480"/>
            <w:vAlign w:val="center"/>
          </w:tcPr>
          <w:p>
            <w:r/>
            <w:r>
              <w:rPr>
                <w:b w:val="0"/>
                <w:sz w:val="17"/>
              </w:rPr>
              <w:t>Primary assignee</w:t>
            </w:r>
          </w:p>
        </w:tc>
      </w:tr>
      <w:tr>
        <w:tc>
          <w:tcPr>
            <w:tcW w:type="dxa" w:w="3600"/>
            <w:vAlign w:val="center"/>
            <w:shd w:fill="F3F6F9"/>
          </w:tcPr>
          <w:p>
            <w:r/>
            <w:r>
              <w:rPr>
                <w:b w:val="0"/>
                <w:sz w:val="17"/>
              </w:rPr>
              <w:t>filing_date</w:t>
            </w:r>
          </w:p>
        </w:tc>
        <w:tc>
          <w:tcPr>
            <w:tcW w:type="dxa" w:w="6480"/>
            <w:vAlign w:val="center"/>
            <w:shd w:fill="F3F6F9"/>
          </w:tcPr>
          <w:p>
            <w:r/>
            <w:r>
              <w:rPr>
                <w:b w:val="0"/>
                <w:sz w:val="17"/>
              </w:rPr>
              <w:t>Submission date</w:t>
            </w:r>
          </w:p>
        </w:tc>
      </w:tr>
      <w:tr>
        <w:tc>
          <w:tcPr>
            <w:tcW w:type="dxa" w:w="3600"/>
            <w:vAlign w:val="center"/>
          </w:tcPr>
          <w:p>
            <w:r/>
            <w:r>
              <w:rPr>
                <w:b w:val="0"/>
                <w:sz w:val="17"/>
              </w:rPr>
              <w:t>completion_date</w:t>
            </w:r>
          </w:p>
        </w:tc>
        <w:tc>
          <w:tcPr>
            <w:tcW w:type="dxa" w:w="6480"/>
            <w:vAlign w:val="center"/>
          </w:tcPr>
          <w:p>
            <w:r/>
            <w:r>
              <w:rPr>
                <w:b w:val="0"/>
                <w:sz w:val="17"/>
              </w:rPr>
              <w:t>Validated completion date</w:t>
            </w:r>
          </w:p>
        </w:tc>
      </w:tr>
      <w:tr>
        <w:tc>
          <w:tcPr>
            <w:tcW w:type="dxa" w:w="3600"/>
            <w:vAlign w:val="center"/>
            <w:shd w:fill="F3F6F9"/>
          </w:tcPr>
          <w:p>
            <w:r/>
            <w:r>
              <w:rPr>
                <w:b w:val="0"/>
                <w:sz w:val="17"/>
              </w:rPr>
              <w:t>authority_reference</w:t>
            </w:r>
          </w:p>
        </w:tc>
        <w:tc>
          <w:tcPr>
            <w:tcW w:type="dxa" w:w="6480"/>
            <w:vAlign w:val="center"/>
            <w:shd w:fill="F3F6F9"/>
          </w:tcPr>
          <w:p>
            <w:r/>
            <w:r>
              <w:rPr>
                <w:b w:val="0"/>
                <w:sz w:val="17"/>
              </w:rPr>
              <w:t>Submission/acknowledgement reference</w:t>
            </w:r>
          </w:p>
        </w:tc>
      </w:tr>
      <w:tr>
        <w:tc>
          <w:tcPr>
            <w:tcW w:type="dxa" w:w="3600"/>
            <w:vAlign w:val="center"/>
          </w:tcPr>
          <w:p>
            <w:r/>
            <w:r>
              <w:rPr>
                <w:b w:val="0"/>
                <w:sz w:val="17"/>
              </w:rPr>
              <w:t>calculation_trace_id</w:t>
            </w:r>
          </w:p>
        </w:tc>
        <w:tc>
          <w:tcPr>
            <w:tcW w:type="dxa" w:w="6480"/>
            <w:vAlign w:val="center"/>
          </w:tcPr>
          <w:p>
            <w:r/>
            <w:r>
              <w:rPr>
                <w:b w:val="0"/>
                <w:sz w:val="17"/>
              </w:rPr>
              <w:t>Due-date explanation</w:t>
            </w:r>
          </w:p>
        </w:tc>
      </w:tr>
      <w:tr>
        <w:tc>
          <w:tcPr>
            <w:tcW w:type="dxa" w:w="3600"/>
            <w:vAlign w:val="center"/>
            <w:shd w:fill="F3F6F9"/>
          </w:tcPr>
          <w:p>
            <w:r/>
            <w:r>
              <w:rPr>
                <w:b w:val="0"/>
                <w:sz w:val="17"/>
              </w:rPr>
              <w:t>created_at / updated_at</w:t>
            </w:r>
          </w:p>
        </w:tc>
        <w:tc>
          <w:tcPr>
            <w:tcW w:type="dxa" w:w="6480"/>
            <w:vAlign w:val="center"/>
            <w:shd w:fill="F3F6F9"/>
          </w:tcPr>
          <w:p>
            <w:r/>
            <w:r>
              <w:rPr>
                <w:b w:val="0"/>
                <w:sz w:val="17"/>
              </w:rPr>
              <w:t>Audit timestamps</w:t>
            </w:r>
          </w:p>
        </w:tc>
      </w:tr>
    </w:tbl>
    <w:p/>
    <w:p>
      <w:pPr>
        <w:pStyle w:val="Heading1"/>
      </w:pPr>
      <w:r>
        <w:t>13. APIs and Services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176"/>
            <w:vAlign w:val="center"/>
            <w:shd w:fill="1F4E78"/>
          </w:tcPr>
          <w:p>
            <w:r/>
            <w:r>
              <w:rPr>
                <w:b/>
                <w:color w:val="FFFFFF"/>
                <w:sz w:val="18"/>
              </w:rPr>
              <w:t>Service / Endpoint</w:t>
            </w:r>
          </w:p>
        </w:tc>
        <w:tc>
          <w:tcPr>
            <w:tcW w:type="dxa" w:w="5904"/>
            <w:vAlign w:val="center"/>
            <w:shd w:fill="1F4E78"/>
          </w:tcPr>
          <w:p>
            <w:r/>
            <w:r>
              <w:rPr>
                <w:b/>
                <w:color w:val="FFFFFF"/>
                <w:sz w:val="18"/>
              </w:rPr>
              <w:t>Purpose</w:t>
            </w:r>
          </w:p>
        </w:tc>
      </w:tr>
      <w:tr>
        <w:tc>
          <w:tcPr>
            <w:tcW w:type="dxa" w:w="4176"/>
            <w:vAlign w:val="center"/>
          </w:tcPr>
          <w:p>
            <w:r/>
            <w:r>
              <w:rPr>
                <w:b w:val="0"/>
                <w:sz w:val="17"/>
              </w:rPr>
              <w:t>POST /rule-versions</w:t>
            </w:r>
          </w:p>
        </w:tc>
        <w:tc>
          <w:tcPr>
            <w:tcW w:type="dxa" w:w="5904"/>
            <w:vAlign w:val="center"/>
          </w:tcPr>
          <w:p>
            <w:r/>
            <w:r>
              <w:rPr>
                <w:b w:val="0"/>
                <w:sz w:val="17"/>
              </w:rPr>
              <w:t>Create draft rule version.</w:t>
            </w:r>
          </w:p>
        </w:tc>
      </w:tr>
      <w:tr>
        <w:tc>
          <w:tcPr>
            <w:tcW w:type="dxa" w:w="4176"/>
            <w:vAlign w:val="center"/>
            <w:shd w:fill="F3F6F9"/>
          </w:tcPr>
          <w:p>
            <w:r/>
            <w:r>
              <w:rPr>
                <w:b w:val="0"/>
                <w:sz w:val="17"/>
              </w:rPr>
              <w:t>POST /rule-versions/{id}/validate</w:t>
            </w:r>
          </w:p>
        </w:tc>
        <w:tc>
          <w:tcPr>
            <w:tcW w:type="dxa" w:w="5904"/>
            <w:vAlign w:val="center"/>
            <w:shd w:fill="F3F6F9"/>
          </w:tcPr>
          <w:p>
            <w:r/>
            <w:r>
              <w:rPr>
                <w:b w:val="0"/>
                <w:sz w:val="17"/>
              </w:rPr>
              <w:t>Run schema and calculation tests.</w:t>
            </w:r>
          </w:p>
        </w:tc>
      </w:tr>
      <w:tr>
        <w:tc>
          <w:tcPr>
            <w:tcW w:type="dxa" w:w="4176"/>
            <w:vAlign w:val="center"/>
          </w:tcPr>
          <w:p>
            <w:r/>
            <w:r>
              <w:rPr>
                <w:b w:val="0"/>
                <w:sz w:val="17"/>
              </w:rPr>
              <w:t>POST /rule-versions/{id}/publish</w:t>
            </w:r>
          </w:p>
        </w:tc>
        <w:tc>
          <w:tcPr>
            <w:tcW w:type="dxa" w:w="5904"/>
            <w:vAlign w:val="center"/>
          </w:tcPr>
          <w:p>
            <w:r/>
            <w:r>
              <w:rPr>
                <w:b w:val="0"/>
                <w:sz w:val="17"/>
              </w:rPr>
              <w:t>Publish approved version.</w:t>
            </w:r>
          </w:p>
        </w:tc>
      </w:tr>
      <w:tr>
        <w:tc>
          <w:tcPr>
            <w:tcW w:type="dxa" w:w="4176"/>
            <w:vAlign w:val="center"/>
            <w:shd w:fill="F3F6F9"/>
          </w:tcPr>
          <w:p>
            <w:r/>
            <w:r>
              <w:rPr>
                <w:b w:val="0"/>
                <w:sz w:val="17"/>
              </w:rPr>
              <w:t>POST /companies/{id}/generate-calendar</w:t>
            </w:r>
          </w:p>
        </w:tc>
        <w:tc>
          <w:tcPr>
            <w:tcW w:type="dxa" w:w="5904"/>
            <w:vAlign w:val="center"/>
            <w:shd w:fill="F3F6F9"/>
          </w:tcPr>
          <w:p>
            <w:r/>
            <w:r>
              <w:rPr>
                <w:b w:val="0"/>
                <w:sz w:val="17"/>
              </w:rPr>
              <w:t>Generate or regenerate events.</w:t>
            </w:r>
          </w:p>
        </w:tc>
      </w:tr>
      <w:tr>
        <w:tc>
          <w:tcPr>
            <w:tcW w:type="dxa" w:w="4176"/>
            <w:vAlign w:val="center"/>
          </w:tcPr>
          <w:p>
            <w:r/>
            <w:r>
              <w:rPr>
                <w:b w:val="0"/>
                <w:sz w:val="17"/>
              </w:rPr>
              <w:t>GET /companies/{id}/compliances</w:t>
            </w:r>
          </w:p>
        </w:tc>
        <w:tc>
          <w:tcPr>
            <w:tcW w:type="dxa" w:w="5904"/>
            <w:vAlign w:val="center"/>
          </w:tcPr>
          <w:p>
            <w:r/>
            <w:r>
              <w:rPr>
                <w:b w:val="0"/>
                <w:sz w:val="17"/>
              </w:rPr>
              <w:t>List calendar and filters.</w:t>
            </w:r>
          </w:p>
        </w:tc>
      </w:tr>
      <w:tr>
        <w:tc>
          <w:tcPr>
            <w:tcW w:type="dxa" w:w="4176"/>
            <w:vAlign w:val="center"/>
            <w:shd w:fill="F3F6F9"/>
          </w:tcPr>
          <w:p>
            <w:r/>
            <w:r>
              <w:rPr>
                <w:b w:val="0"/>
                <w:sz w:val="17"/>
              </w:rPr>
              <w:t>GET /compliances/{id}/calculation-trace</w:t>
            </w:r>
          </w:p>
        </w:tc>
        <w:tc>
          <w:tcPr>
            <w:tcW w:type="dxa" w:w="5904"/>
            <w:vAlign w:val="center"/>
            <w:shd w:fill="F3F6F9"/>
          </w:tcPr>
          <w:p>
            <w:r/>
            <w:r>
              <w:rPr>
                <w:b w:val="0"/>
                <w:sz w:val="17"/>
              </w:rPr>
              <w:t>Explain due-date calculation.</w:t>
            </w:r>
          </w:p>
        </w:tc>
      </w:tr>
      <w:tr>
        <w:tc>
          <w:tcPr>
            <w:tcW w:type="dxa" w:w="4176"/>
            <w:vAlign w:val="center"/>
          </w:tcPr>
          <w:p>
            <w:r/>
            <w:r>
              <w:rPr>
                <w:b w:val="0"/>
                <w:sz w:val="17"/>
              </w:rPr>
              <w:t>POST /compliances/{id}/assign</w:t>
            </w:r>
          </w:p>
        </w:tc>
        <w:tc>
          <w:tcPr>
            <w:tcW w:type="dxa" w:w="5904"/>
            <w:vAlign w:val="center"/>
          </w:tcPr>
          <w:p>
            <w:r/>
            <w:r>
              <w:rPr>
                <w:b w:val="0"/>
                <w:sz w:val="17"/>
              </w:rPr>
              <w:t>Assign responsible person.</w:t>
            </w:r>
          </w:p>
        </w:tc>
      </w:tr>
      <w:tr>
        <w:tc>
          <w:tcPr>
            <w:tcW w:type="dxa" w:w="4176"/>
            <w:vAlign w:val="center"/>
            <w:shd w:fill="F3F6F9"/>
          </w:tcPr>
          <w:p>
            <w:r/>
            <w:r>
              <w:rPr>
                <w:b w:val="0"/>
                <w:sz w:val="17"/>
              </w:rPr>
              <w:t>POST /compliances/{id}/extensions</w:t>
            </w:r>
          </w:p>
        </w:tc>
        <w:tc>
          <w:tcPr>
            <w:tcW w:type="dxa" w:w="5904"/>
            <w:vAlign w:val="center"/>
            <w:shd w:fill="F3F6F9"/>
          </w:tcPr>
          <w:p>
            <w:r/>
            <w:r>
              <w:rPr>
                <w:b w:val="0"/>
                <w:sz w:val="17"/>
              </w:rPr>
              <w:t>Create extension request.</w:t>
            </w:r>
          </w:p>
        </w:tc>
      </w:tr>
      <w:tr>
        <w:tc>
          <w:tcPr>
            <w:tcW w:type="dxa" w:w="4176"/>
            <w:vAlign w:val="center"/>
          </w:tcPr>
          <w:p>
            <w:r/>
            <w:r>
              <w:rPr>
                <w:b w:val="0"/>
                <w:sz w:val="17"/>
              </w:rPr>
              <w:t>POST /extensions/{id}/decision</w:t>
            </w:r>
          </w:p>
        </w:tc>
        <w:tc>
          <w:tcPr>
            <w:tcW w:type="dxa" w:w="5904"/>
            <w:vAlign w:val="center"/>
          </w:tcPr>
          <w:p>
            <w:r/>
            <w:r>
              <w:rPr>
                <w:b w:val="0"/>
                <w:sz w:val="17"/>
              </w:rPr>
              <w:t>Approve/reject extension.</w:t>
            </w:r>
          </w:p>
        </w:tc>
      </w:tr>
      <w:tr>
        <w:tc>
          <w:tcPr>
            <w:tcW w:type="dxa" w:w="4176"/>
            <w:vAlign w:val="center"/>
            <w:shd w:fill="F3F6F9"/>
          </w:tcPr>
          <w:p>
            <w:r/>
            <w:r>
              <w:rPr>
                <w:b w:val="0"/>
                <w:sz w:val="17"/>
              </w:rPr>
              <w:t>POST /compliances/{id}/documents</w:t>
            </w:r>
          </w:p>
        </w:tc>
        <w:tc>
          <w:tcPr>
            <w:tcW w:type="dxa" w:w="5904"/>
            <w:vAlign w:val="center"/>
            <w:shd w:fill="F3F6F9"/>
          </w:tcPr>
          <w:p>
            <w:r/>
            <w:r>
              <w:rPr>
                <w:b w:val="0"/>
                <w:sz w:val="17"/>
              </w:rPr>
              <w:t>Attach required evidence.</w:t>
            </w:r>
          </w:p>
        </w:tc>
      </w:tr>
      <w:tr>
        <w:tc>
          <w:tcPr>
            <w:tcW w:type="dxa" w:w="4176"/>
            <w:vAlign w:val="center"/>
          </w:tcPr>
          <w:p>
            <w:r/>
            <w:r>
              <w:rPr>
                <w:b w:val="0"/>
                <w:sz w:val="17"/>
              </w:rPr>
              <w:t>POST /compliances/{id}/submit</w:t>
            </w:r>
          </w:p>
        </w:tc>
        <w:tc>
          <w:tcPr>
            <w:tcW w:type="dxa" w:w="5904"/>
            <w:vAlign w:val="center"/>
          </w:tcPr>
          <w:p>
            <w:r/>
            <w:r>
              <w:rPr>
                <w:b w:val="0"/>
                <w:sz w:val="17"/>
              </w:rPr>
              <w:t>Record authority submission.</w:t>
            </w:r>
          </w:p>
        </w:tc>
      </w:tr>
      <w:tr>
        <w:tc>
          <w:tcPr>
            <w:tcW w:type="dxa" w:w="4176"/>
            <w:vAlign w:val="center"/>
            <w:shd w:fill="F3F6F9"/>
          </w:tcPr>
          <w:p>
            <w:r/>
            <w:r>
              <w:rPr>
                <w:b w:val="0"/>
                <w:sz w:val="17"/>
              </w:rPr>
              <w:t>POST /compliances/{id}/complete</w:t>
            </w:r>
          </w:p>
        </w:tc>
        <w:tc>
          <w:tcPr>
            <w:tcW w:type="dxa" w:w="5904"/>
            <w:vAlign w:val="center"/>
            <w:shd w:fill="F3F6F9"/>
          </w:tcPr>
          <w:p>
            <w:r/>
            <w:r>
              <w:rPr>
                <w:b w:val="0"/>
                <w:sz w:val="17"/>
              </w:rPr>
              <w:t>Validate and complete event.</w:t>
            </w:r>
          </w:p>
        </w:tc>
      </w:tr>
      <w:tr>
        <w:tc>
          <w:tcPr>
            <w:tcW w:type="dxa" w:w="4176"/>
            <w:vAlign w:val="center"/>
          </w:tcPr>
          <w:p>
            <w:r/>
            <w:r>
              <w:rPr>
                <w:b w:val="0"/>
                <w:sz w:val="17"/>
              </w:rPr>
              <w:t>POST /compliances/{id}/waive</w:t>
            </w:r>
          </w:p>
        </w:tc>
        <w:tc>
          <w:tcPr>
            <w:tcW w:type="dxa" w:w="5904"/>
            <w:vAlign w:val="center"/>
          </w:tcPr>
          <w:p>
            <w:r/>
            <w:r>
              <w:rPr>
                <w:b w:val="0"/>
                <w:sz w:val="17"/>
              </w:rPr>
              <w:t>Record waiver or non-applicability.</w:t>
            </w:r>
          </w:p>
        </w:tc>
      </w:tr>
      <w:tr>
        <w:tc>
          <w:tcPr>
            <w:tcW w:type="dxa" w:w="4176"/>
            <w:vAlign w:val="center"/>
            <w:shd w:fill="F3F6F9"/>
          </w:tcPr>
          <w:p>
            <w:r/>
            <w:r>
              <w:rPr>
                <w:b w:val="0"/>
                <w:sz w:val="17"/>
              </w:rPr>
              <w:t>GET /reports/compliance-risk</w:t>
            </w:r>
          </w:p>
        </w:tc>
        <w:tc>
          <w:tcPr>
            <w:tcW w:type="dxa" w:w="5904"/>
            <w:vAlign w:val="center"/>
            <w:shd w:fill="F3F6F9"/>
          </w:tcPr>
          <w:p>
            <w:r/>
            <w:r>
              <w:rPr>
                <w:b w:val="0"/>
                <w:sz w:val="17"/>
              </w:rPr>
              <w:t>Portfolio risk dashboard data.</w:t>
            </w:r>
          </w:p>
        </w:tc>
      </w:tr>
    </w:tbl>
    <w:p/>
    <w:p>
      <w:pPr>
        <w:pStyle w:val="Heading1"/>
      </w:pPr>
      <w:r>
        <w:t>14. User Interface Specification</w:t>
      </w:r>
    </w:p>
    <w:p>
      <w:pPr>
        <w:pStyle w:val="Heading2"/>
      </w:pPr>
      <w:r>
        <w:t>14.1 Main Screens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F4E78"/>
          </w:tcPr>
          <w:p>
            <w:r/>
            <w:r>
              <w:rPr>
                <w:b/>
                <w:color w:val="FFFFFF"/>
                <w:sz w:val="18"/>
              </w:rPr>
              <w:t>Screen</w:t>
            </w:r>
          </w:p>
        </w:tc>
        <w:tc>
          <w:tcPr>
            <w:tcW w:type="dxa" w:w="7056"/>
            <w:vAlign w:val="center"/>
            <w:shd w:fill="1F4E78"/>
          </w:tcPr>
          <w:p>
            <w:r/>
            <w:r>
              <w:rPr>
                <w:b/>
                <w:color w:val="FFFFFF"/>
                <w:sz w:val="18"/>
              </w:rPr>
              <w:t>Required Functions</w:t>
            </w:r>
          </w:p>
        </w:tc>
      </w:tr>
      <w:tr>
        <w:tc>
          <w:tcPr>
            <w:tcW w:type="dxa" w:w="3024"/>
            <w:vAlign w:val="center"/>
          </w:tcPr>
          <w:p>
            <w:r/>
            <w:r>
              <w:rPr>
                <w:b w:val="0"/>
                <w:sz w:val="17"/>
              </w:rPr>
              <w:t>Global Compliance Master</w:t>
            </w:r>
          </w:p>
        </w:tc>
        <w:tc>
          <w:tcPr>
            <w:tcW w:type="dxa" w:w="7056"/>
            <w:vAlign w:val="center"/>
          </w:tcPr>
          <w:p>
            <w:r/>
            <w:r>
              <w:rPr>
                <w:b w:val="0"/>
                <w:sz w:val="17"/>
              </w:rPr>
              <w:t>Search, category, code, authority type, active state.</w:t>
            </w:r>
          </w:p>
        </w:tc>
      </w:tr>
      <w:tr>
        <w:tc>
          <w:tcPr>
            <w:tcW w:type="dxa" w:w="3024"/>
            <w:vAlign w:val="center"/>
            <w:shd w:fill="F3F6F9"/>
          </w:tcPr>
          <w:p>
            <w:r/>
            <w:r>
              <w:rPr>
                <w:b w:val="0"/>
                <w:sz w:val="17"/>
              </w:rPr>
              <w:t>Country Rule-Pack Manager</w:t>
            </w:r>
          </w:p>
        </w:tc>
        <w:tc>
          <w:tcPr>
            <w:tcW w:type="dxa" w:w="7056"/>
            <w:vAlign w:val="center"/>
            <w:shd w:fill="F3F6F9"/>
          </w:tcPr>
          <w:p>
            <w:r/>
            <w:r>
              <w:rPr>
                <w:b w:val="0"/>
                <w:sz w:val="17"/>
              </w:rPr>
              <w:t>Jurisdiction tree, versions, effective dates, status, sources and test cases.</w:t>
            </w:r>
          </w:p>
        </w:tc>
      </w:tr>
      <w:tr>
        <w:tc>
          <w:tcPr>
            <w:tcW w:type="dxa" w:w="3024"/>
            <w:vAlign w:val="center"/>
          </w:tcPr>
          <w:p>
            <w:r/>
            <w:r>
              <w:rPr>
                <w:b w:val="0"/>
                <w:sz w:val="17"/>
              </w:rPr>
              <w:t>Rule Builder</w:t>
            </w:r>
          </w:p>
        </w:tc>
        <w:tc>
          <w:tcPr>
            <w:tcW w:type="dxa" w:w="7056"/>
            <w:vAlign w:val="center"/>
          </w:tcPr>
          <w:p>
            <w:r/>
            <w:r>
              <w:rPr>
                <w:b w:val="0"/>
                <w:sz w:val="17"/>
              </w:rPr>
              <w:t>Applicability conditions, trigger, formula, holiday rule, reminders, extensions.</w:t>
            </w:r>
          </w:p>
        </w:tc>
      </w:tr>
      <w:tr>
        <w:tc>
          <w:tcPr>
            <w:tcW w:type="dxa" w:w="3024"/>
            <w:vAlign w:val="center"/>
            <w:shd w:fill="F3F6F9"/>
          </w:tcPr>
          <w:p>
            <w:r/>
            <w:r>
              <w:rPr>
                <w:b w:val="0"/>
                <w:sz w:val="17"/>
              </w:rPr>
              <w:t>Impact Preview</w:t>
            </w:r>
          </w:p>
        </w:tc>
        <w:tc>
          <w:tcPr>
            <w:tcW w:type="dxa" w:w="7056"/>
            <w:vAlign w:val="center"/>
            <w:shd w:fill="F3F6F9"/>
          </w:tcPr>
          <w:p>
            <w:r/>
            <w:r>
              <w:rPr>
                <w:b w:val="0"/>
                <w:sz w:val="17"/>
              </w:rPr>
              <w:t>Affected companies, new events, changed dates and conflicts.</w:t>
            </w:r>
          </w:p>
        </w:tc>
      </w:tr>
      <w:tr>
        <w:tc>
          <w:tcPr>
            <w:tcW w:type="dxa" w:w="3024"/>
            <w:vAlign w:val="center"/>
          </w:tcPr>
          <w:p>
            <w:r/>
            <w:r>
              <w:rPr>
                <w:b w:val="0"/>
                <w:sz w:val="17"/>
              </w:rPr>
              <w:t>Company Compliance Calendar</w:t>
            </w:r>
          </w:p>
        </w:tc>
        <w:tc>
          <w:tcPr>
            <w:tcW w:type="dxa" w:w="7056"/>
            <w:vAlign w:val="center"/>
          </w:tcPr>
          <w:p>
            <w:r/>
            <w:r>
              <w:rPr>
                <w:b w:val="0"/>
                <w:sz w:val="17"/>
              </w:rPr>
              <w:t>Calendar/list view, filters, assignee, status, risk and due date.</w:t>
            </w:r>
          </w:p>
        </w:tc>
      </w:tr>
      <w:tr>
        <w:tc>
          <w:tcPr>
            <w:tcW w:type="dxa" w:w="3024"/>
            <w:vAlign w:val="center"/>
            <w:shd w:fill="F3F6F9"/>
          </w:tcPr>
          <w:p>
            <w:r/>
            <w:r>
              <w:rPr>
                <w:b w:val="0"/>
                <w:sz w:val="17"/>
              </w:rPr>
              <w:t>Compliance Detail</w:t>
            </w:r>
          </w:p>
        </w:tc>
        <w:tc>
          <w:tcPr>
            <w:tcW w:type="dxa" w:w="7056"/>
            <w:vAlign w:val="center"/>
            <w:shd w:fill="F3F6F9"/>
          </w:tcPr>
          <w:p>
            <w:r/>
            <w:r>
              <w:rPr>
                <w:b w:val="0"/>
                <w:sz w:val="17"/>
              </w:rPr>
              <w:t>Calculation explanation, checklist, documents, comments, status and history.</w:t>
            </w:r>
          </w:p>
        </w:tc>
      </w:tr>
      <w:tr>
        <w:tc>
          <w:tcPr>
            <w:tcW w:type="dxa" w:w="3024"/>
            <w:vAlign w:val="center"/>
          </w:tcPr>
          <w:p>
            <w:r/>
            <w:r>
              <w:rPr>
                <w:b w:val="0"/>
                <w:sz w:val="17"/>
              </w:rPr>
              <w:t>Extension Workspace</w:t>
            </w:r>
          </w:p>
        </w:tc>
        <w:tc>
          <w:tcPr>
            <w:tcW w:type="dxa" w:w="7056"/>
            <w:vAlign w:val="center"/>
          </w:tcPr>
          <w:p>
            <w:r/>
            <w:r>
              <w:rPr>
                <w:b w:val="0"/>
                <w:sz w:val="17"/>
              </w:rPr>
              <w:t>Request, authority evidence, decision and reminder regeneration.</w:t>
            </w:r>
          </w:p>
        </w:tc>
      </w:tr>
      <w:tr>
        <w:tc>
          <w:tcPr>
            <w:tcW w:type="dxa" w:w="3024"/>
            <w:vAlign w:val="center"/>
            <w:shd w:fill="F3F6F9"/>
          </w:tcPr>
          <w:p>
            <w:r/>
            <w:r>
              <w:rPr>
                <w:b w:val="0"/>
                <w:sz w:val="17"/>
              </w:rPr>
              <w:t>Reminder Centre</w:t>
            </w:r>
          </w:p>
        </w:tc>
        <w:tc>
          <w:tcPr>
            <w:tcW w:type="dxa" w:w="7056"/>
            <w:vAlign w:val="center"/>
            <w:shd w:fill="F3F6F9"/>
          </w:tcPr>
          <w:p>
            <w:r/>
            <w:r>
              <w:rPr>
                <w:b w:val="0"/>
                <w:sz w:val="17"/>
              </w:rPr>
              <w:t>Scheduled, sent, failed, escalated and suppressed reminders.</w:t>
            </w:r>
          </w:p>
        </w:tc>
      </w:tr>
      <w:tr>
        <w:tc>
          <w:tcPr>
            <w:tcW w:type="dxa" w:w="3024"/>
            <w:vAlign w:val="center"/>
          </w:tcPr>
          <w:p>
            <w:r/>
            <w:r>
              <w:rPr>
                <w:b w:val="0"/>
                <w:sz w:val="17"/>
              </w:rPr>
              <w:t>Portfolio Dashboard</w:t>
            </w:r>
          </w:p>
        </w:tc>
        <w:tc>
          <w:tcPr>
            <w:tcW w:type="dxa" w:w="7056"/>
            <w:vAlign w:val="center"/>
          </w:tcPr>
          <w:p>
            <w:r/>
            <w:r>
              <w:rPr>
                <w:b w:val="0"/>
                <w:sz w:val="17"/>
              </w:rPr>
              <w:t>Upcoming, overdue, filing status, jurisdiction and assignee metrics.</w:t>
            </w:r>
          </w:p>
        </w:tc>
      </w:tr>
      <w:tr>
        <w:tc>
          <w:tcPr>
            <w:tcW w:type="dxa" w:w="3024"/>
            <w:vAlign w:val="center"/>
            <w:shd w:fill="F3F6F9"/>
          </w:tcPr>
          <w:p>
            <w:r/>
            <w:r>
              <w:rPr>
                <w:b w:val="0"/>
                <w:sz w:val="17"/>
              </w:rPr>
              <w:t>Rule Audit View</w:t>
            </w:r>
          </w:p>
        </w:tc>
        <w:tc>
          <w:tcPr>
            <w:tcW w:type="dxa" w:w="7056"/>
            <w:vAlign w:val="center"/>
            <w:shd w:fill="F3F6F9"/>
          </w:tcPr>
          <w:p>
            <w:r/>
            <w:r>
              <w:rPr>
                <w:b w:val="0"/>
                <w:sz w:val="17"/>
              </w:rPr>
              <w:t>Version comparison, approval trail and source metadata.</w:t>
            </w:r>
          </w:p>
        </w:tc>
      </w:tr>
    </w:tbl>
    <w:p/>
    <w:p>
      <w:pPr>
        <w:pStyle w:val="Heading2"/>
      </w:pPr>
      <w:r>
        <w:t>14.2 Compliance Detail Header</w:t>
      </w:r>
    </w:p>
    <w:p>
      <w:pPr>
        <w:pStyle w:val="ListBullet"/>
      </w:pPr>
      <w:r>
        <w:t>Company and compliance name/code.</w:t>
      </w:r>
    </w:p>
    <w:p>
      <w:pPr>
        <w:pStyle w:val="ListBullet"/>
      </w:pPr>
      <w:r>
        <w:t>Jurisdiction and authority.</w:t>
      </w:r>
    </w:p>
    <w:p>
      <w:pPr>
        <w:pStyle w:val="ListBullet"/>
      </w:pPr>
      <w:r>
        <w:t>Original due date, current due date and operational target date.</w:t>
      </w:r>
    </w:p>
    <w:p>
      <w:pPr>
        <w:pStyle w:val="ListBullet"/>
      </w:pPr>
      <w:r>
        <w:t>Status, risk level and responsible person.</w:t>
      </w:r>
    </w:p>
    <w:p>
      <w:pPr>
        <w:pStyle w:val="ListBullet"/>
      </w:pPr>
      <w:r>
        <w:t>Rule version and “Why is this due?” calculation link.</w:t>
      </w:r>
    </w:p>
    <w:p>
      <w:pPr>
        <w:pStyle w:val="ListBullet"/>
      </w:pPr>
      <w:r>
        <w:t>Extension/waiver state.</w:t>
      </w:r>
    </w:p>
    <w:p>
      <w:pPr>
        <w:pStyle w:val="ListBullet"/>
      </w:pPr>
      <w:r>
        <w:t>Filing portal link where configured.</w:t>
      </w:r>
    </w:p>
    <w:p>
      <w:pPr>
        <w:pStyle w:val="Heading1"/>
      </w:pPr>
      <w:r>
        <w:t>15. Notifications and Document Management</w:t>
      </w:r>
    </w:p>
    <w:p>
      <w:pPr>
        <w:pStyle w:val="Heading2"/>
      </w:pPr>
      <w:r>
        <w:t>15.1 Document Checklist</w:t>
      </w:r>
    </w:p>
    <w:p>
      <w:pPr>
        <w:pStyle w:val="ListBullet"/>
      </w:pPr>
      <w:r>
        <w:t>Checklist may be defined at rule-pack level and copied to each event.</w:t>
      </w:r>
    </w:p>
    <w:p>
      <w:pPr>
        <w:pStyle w:val="ListBullet"/>
      </w:pPr>
      <w:r>
        <w:t>Document status: required, requested, received, approved, rejected, expired, not applicable.</w:t>
      </w:r>
    </w:p>
    <w:p>
      <w:pPr>
        <w:pStyle w:val="ListBullet"/>
      </w:pPr>
      <w:r>
        <w:t>Documents must support versioning, expiry date, confidentiality level and source.</w:t>
      </w:r>
    </w:p>
    <w:p>
      <w:pPr>
        <w:pStyle w:val="ListBullet"/>
      </w:pPr>
      <w:r>
        <w:t>Completion validation must verify all mandatory documents or approved exceptions.</w:t>
      </w:r>
    </w:p>
    <w:p>
      <w:pPr>
        <w:pStyle w:val="Heading2"/>
      </w:pPr>
      <w:r>
        <w:t>15.2 Notification Template Variables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F4E78"/>
          </w:tcPr>
          <w:p>
            <w:r/>
            <w:r>
              <w:rPr>
                <w:b/>
                <w:color w:val="FFFFFF"/>
                <w:sz w:val="18"/>
              </w:rPr>
              <w:t>Variable</w:t>
            </w:r>
          </w:p>
        </w:tc>
        <w:tc>
          <w:tcPr>
            <w:tcW w:type="dxa" w:w="6912"/>
            <w:vAlign w:val="center"/>
            <w:shd w:fill="1F4E78"/>
          </w:tcPr>
          <w:p>
            <w:r/>
            <w:r>
              <w:rPr>
                <w:b/>
                <w:color w:val="FFFFFF"/>
                <w:sz w:val="18"/>
              </w:rPr>
              <w:t>Example</w:t>
            </w:r>
          </w:p>
        </w:tc>
      </w:tr>
      <w:tr>
        <w:tc>
          <w:tcPr>
            <w:tcW w:type="dxa" w:w="3168"/>
            <w:vAlign w:val="center"/>
          </w:tcPr>
          <w:p>
            <w:r/>
            <w:r>
              <w:rPr>
                <w:b w:val="0"/>
                <w:sz w:val="17"/>
              </w:rPr>
              <w:t>{{company_name}}</w:t>
            </w:r>
          </w:p>
        </w:tc>
        <w:tc>
          <w:tcPr>
            <w:tcW w:type="dxa" w:w="6912"/>
            <w:vAlign w:val="center"/>
          </w:tcPr>
          <w:p>
            <w:r/>
            <w:r>
              <w:rPr>
                <w:b w:val="0"/>
                <w:sz w:val="17"/>
              </w:rPr>
              <w:t>ABC Holdings Ltd</w:t>
            </w:r>
          </w:p>
        </w:tc>
      </w:tr>
      <w:tr>
        <w:tc>
          <w:tcPr>
            <w:tcW w:type="dxa" w:w="3168"/>
            <w:vAlign w:val="center"/>
            <w:shd w:fill="F3F6F9"/>
          </w:tcPr>
          <w:p>
            <w:r/>
            <w:r>
              <w:rPr>
                <w:b w:val="0"/>
                <w:sz w:val="17"/>
              </w:rPr>
              <w:t>{{compliance_name}}</w:t>
            </w:r>
          </w:p>
        </w:tc>
        <w:tc>
          <w:tcPr>
            <w:tcW w:type="dxa" w:w="6912"/>
            <w:vAlign w:val="center"/>
            <w:shd w:fill="F3F6F9"/>
          </w:tcPr>
          <w:p>
            <w:r/>
            <w:r>
              <w:rPr>
                <w:b w:val="0"/>
                <w:sz w:val="17"/>
              </w:rPr>
              <w:t>Annual Return</w:t>
            </w:r>
          </w:p>
        </w:tc>
      </w:tr>
      <w:tr>
        <w:tc>
          <w:tcPr>
            <w:tcW w:type="dxa" w:w="3168"/>
            <w:vAlign w:val="center"/>
          </w:tcPr>
          <w:p>
            <w:r/>
            <w:r>
              <w:rPr>
                <w:b w:val="0"/>
                <w:sz w:val="17"/>
              </w:rPr>
              <w:t>{{original_due_date}}</w:t>
            </w:r>
          </w:p>
        </w:tc>
        <w:tc>
          <w:tcPr>
            <w:tcW w:type="dxa" w:w="6912"/>
            <w:vAlign w:val="center"/>
          </w:tcPr>
          <w:p>
            <w:r/>
            <w:r>
              <w:rPr>
                <w:b w:val="0"/>
                <w:sz w:val="17"/>
              </w:rPr>
              <w:t>31 July 2027</w:t>
            </w:r>
          </w:p>
        </w:tc>
      </w:tr>
      <w:tr>
        <w:tc>
          <w:tcPr>
            <w:tcW w:type="dxa" w:w="3168"/>
            <w:vAlign w:val="center"/>
            <w:shd w:fill="F3F6F9"/>
          </w:tcPr>
          <w:p>
            <w:r/>
            <w:r>
              <w:rPr>
                <w:b w:val="0"/>
                <w:sz w:val="17"/>
              </w:rPr>
              <w:t>{{current_due_date}}</w:t>
            </w:r>
          </w:p>
        </w:tc>
        <w:tc>
          <w:tcPr>
            <w:tcW w:type="dxa" w:w="6912"/>
            <w:vAlign w:val="center"/>
            <w:shd w:fill="F3F6F9"/>
          </w:tcPr>
          <w:p>
            <w:r/>
            <w:r>
              <w:rPr>
                <w:b w:val="0"/>
                <w:sz w:val="17"/>
              </w:rPr>
              <w:t>31 August 2027</w:t>
            </w:r>
          </w:p>
        </w:tc>
      </w:tr>
      <w:tr>
        <w:tc>
          <w:tcPr>
            <w:tcW w:type="dxa" w:w="3168"/>
            <w:vAlign w:val="center"/>
          </w:tcPr>
          <w:p>
            <w:r/>
            <w:r>
              <w:rPr>
                <w:b w:val="0"/>
                <w:sz w:val="17"/>
              </w:rPr>
              <w:t>{{days_remaining}}</w:t>
            </w:r>
          </w:p>
        </w:tc>
        <w:tc>
          <w:tcPr>
            <w:tcW w:type="dxa" w:w="6912"/>
            <w:vAlign w:val="center"/>
          </w:tcPr>
          <w:p>
            <w:r/>
            <w:r>
              <w:rPr>
                <w:b w:val="0"/>
                <w:sz w:val="17"/>
              </w:rPr>
              <w:t>15</w:t>
            </w:r>
          </w:p>
        </w:tc>
      </w:tr>
      <w:tr>
        <w:tc>
          <w:tcPr>
            <w:tcW w:type="dxa" w:w="3168"/>
            <w:vAlign w:val="center"/>
            <w:shd w:fill="F3F6F9"/>
          </w:tcPr>
          <w:p>
            <w:r/>
            <w:r>
              <w:rPr>
                <w:b w:val="0"/>
                <w:sz w:val="17"/>
              </w:rPr>
              <w:t>{{responsible_person}}</w:t>
            </w:r>
          </w:p>
        </w:tc>
        <w:tc>
          <w:tcPr>
            <w:tcW w:type="dxa" w:w="6912"/>
            <w:vAlign w:val="center"/>
            <w:shd w:fill="F3F6F9"/>
          </w:tcPr>
          <w:p>
            <w:r/>
            <w:r>
              <w:rPr>
                <w:b w:val="0"/>
                <w:sz w:val="17"/>
              </w:rPr>
              <w:t>Compliance Executive</w:t>
            </w:r>
          </w:p>
        </w:tc>
      </w:tr>
      <w:tr>
        <w:tc>
          <w:tcPr>
            <w:tcW w:type="dxa" w:w="3168"/>
            <w:vAlign w:val="center"/>
          </w:tcPr>
          <w:p>
            <w:r/>
            <w:r>
              <w:rPr>
                <w:b w:val="0"/>
                <w:sz w:val="17"/>
              </w:rPr>
              <w:t>{{authority_name}}</w:t>
            </w:r>
          </w:p>
        </w:tc>
        <w:tc>
          <w:tcPr>
            <w:tcW w:type="dxa" w:w="6912"/>
            <w:vAlign w:val="center"/>
          </w:tcPr>
          <w:p>
            <w:r/>
            <w:r>
              <w:rPr>
                <w:b w:val="0"/>
                <w:sz w:val="17"/>
              </w:rPr>
              <w:t>Company Registrar</w:t>
            </w:r>
          </w:p>
        </w:tc>
      </w:tr>
      <w:tr>
        <w:tc>
          <w:tcPr>
            <w:tcW w:type="dxa" w:w="3168"/>
            <w:vAlign w:val="center"/>
            <w:shd w:fill="F3F6F9"/>
          </w:tcPr>
          <w:p>
            <w:r/>
            <w:r>
              <w:rPr>
                <w:b w:val="0"/>
                <w:sz w:val="17"/>
              </w:rPr>
              <w:t>{{status}}</w:t>
            </w:r>
          </w:p>
        </w:tc>
        <w:tc>
          <w:tcPr>
            <w:tcW w:type="dxa" w:w="6912"/>
            <w:vAlign w:val="center"/>
            <w:shd w:fill="F3F6F9"/>
          </w:tcPr>
          <w:p>
            <w:r/>
            <w:r>
              <w:rPr>
                <w:b w:val="0"/>
                <w:sz w:val="17"/>
              </w:rPr>
              <w:t>Awaiting Approval</w:t>
            </w:r>
          </w:p>
        </w:tc>
      </w:tr>
      <w:tr>
        <w:tc>
          <w:tcPr>
            <w:tcW w:type="dxa" w:w="3168"/>
            <w:vAlign w:val="center"/>
          </w:tcPr>
          <w:p>
            <w:r/>
            <w:r>
              <w:rPr>
                <w:b w:val="0"/>
                <w:sz w:val="17"/>
              </w:rPr>
              <w:t>{{action_url}}</w:t>
            </w:r>
          </w:p>
        </w:tc>
        <w:tc>
          <w:tcPr>
            <w:tcW w:type="dxa" w:w="6912"/>
            <w:vAlign w:val="center"/>
          </w:tcPr>
          <w:p>
            <w:r/>
            <w:r>
              <w:rPr>
                <w:b w:val="0"/>
                <w:sz w:val="17"/>
              </w:rPr>
              <w:t>Secure compliance detail link</w:t>
            </w:r>
          </w:p>
        </w:tc>
      </w:tr>
    </w:tbl>
    <w:p/>
    <w:p>
      <w:pPr>
        <w:pStyle w:val="Heading1"/>
      </w:pPr>
      <w:r>
        <w:t>16. Audit, Security and Permissions</w:t>
      </w:r>
    </w:p>
    <w:p>
      <w:pPr>
        <w:pStyle w:val="ListBullet"/>
      </w:pPr>
      <w:r>
        <w:t>Tenant isolation for all company, event, document and reminder data.</w:t>
      </w:r>
    </w:p>
    <w:p>
      <w:pPr>
        <w:pStyle w:val="ListBullet"/>
      </w:pPr>
      <w:r>
        <w:t>Role-based access plus company/portfolio-level assignment.</w:t>
      </w:r>
    </w:p>
    <w:p>
      <w:pPr>
        <w:pStyle w:val="ListBullet"/>
      </w:pPr>
      <w:r>
        <w:t>Field-level restrictions for rule publication, extension approval and completion override.</w:t>
      </w:r>
    </w:p>
    <w:p>
      <w:pPr>
        <w:pStyle w:val="ListBullet"/>
      </w:pPr>
      <w:r>
        <w:t>Immutable audit log for date changes, status changes, assignment, documents and decisions.</w:t>
      </w:r>
    </w:p>
    <w:p>
      <w:pPr>
        <w:pStyle w:val="ListBullet"/>
      </w:pPr>
      <w:r>
        <w:t>Secure document storage, encryption in transit and at rest, and configurable retention.</w:t>
      </w:r>
    </w:p>
    <w:p>
      <w:pPr>
        <w:pStyle w:val="ListBullet"/>
      </w:pPr>
      <w:r>
        <w:t>Multi-factor authentication for privileged users where supported.</w:t>
      </w:r>
    </w:p>
    <w:p>
      <w:pPr>
        <w:pStyle w:val="ListBullet"/>
      </w:pPr>
      <w:r>
        <w:t>No deletion of published rules or completed events; use retire/cancel/correction workflows.</w:t>
      </w:r>
    </w:p>
    <w:p>
      <w:pPr>
        <w:pStyle w:val="ListBullet"/>
      </w:pPr>
      <w:r>
        <w:t>Every automated decision must be explainable through the calculation trace.</w:t>
      </w:r>
    </w:p>
    <w:p>
      <w:pPr>
        <w:pStyle w:val="Heading1"/>
      </w:pPr>
      <w:r>
        <w:t>17. Reporting and Dashboards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vAlign w:val="center"/>
            <w:shd w:fill="1F4E78"/>
          </w:tcPr>
          <w:p>
            <w:r/>
            <w:r>
              <w:rPr>
                <w:b/>
                <w:color w:val="FFFFFF"/>
                <w:sz w:val="18"/>
              </w:rPr>
              <w:t>Report / KPI</w:t>
            </w:r>
          </w:p>
        </w:tc>
        <w:tc>
          <w:tcPr>
            <w:tcW w:type="dxa" w:w="6768"/>
            <w:vAlign w:val="center"/>
            <w:shd w:fill="1F4E78"/>
          </w:tcPr>
          <w:p>
            <w:r/>
            <w:r>
              <w:rPr>
                <w:b/>
                <w:color w:val="FFFFFF"/>
                <w:sz w:val="18"/>
              </w:rPr>
              <w:t>Definition</w:t>
            </w:r>
          </w:p>
        </w:tc>
      </w:tr>
      <w:tr>
        <w:tc>
          <w:tcPr>
            <w:tcW w:type="dxa" w:w="3312"/>
            <w:vAlign w:val="center"/>
          </w:tcPr>
          <w:p>
            <w:r/>
            <w:r>
              <w:rPr>
                <w:b w:val="0"/>
                <w:sz w:val="17"/>
              </w:rPr>
              <w:t>Upcoming by Period</w:t>
            </w:r>
          </w:p>
        </w:tc>
        <w:tc>
          <w:tcPr>
            <w:tcW w:type="dxa" w:w="6768"/>
            <w:vAlign w:val="center"/>
          </w:tcPr>
          <w:p>
            <w:r/>
            <w:r>
              <w:rPr>
                <w:b w:val="0"/>
                <w:sz w:val="17"/>
              </w:rPr>
              <w:t>Events due in 7, 15, 30, 60 and 90 days.</w:t>
            </w:r>
          </w:p>
        </w:tc>
      </w:tr>
      <w:tr>
        <w:tc>
          <w:tcPr>
            <w:tcW w:type="dxa" w:w="3312"/>
            <w:vAlign w:val="center"/>
            <w:shd w:fill="F3F6F9"/>
          </w:tcPr>
          <w:p>
            <w:r/>
            <w:r>
              <w:rPr>
                <w:b w:val="0"/>
                <w:sz w:val="17"/>
              </w:rPr>
              <w:t>Overdue Compliance</w:t>
            </w:r>
          </w:p>
        </w:tc>
        <w:tc>
          <w:tcPr>
            <w:tcW w:type="dxa" w:w="6768"/>
            <w:vAlign w:val="center"/>
            <w:shd w:fill="F3F6F9"/>
          </w:tcPr>
          <w:p>
            <w:r/>
            <w:r>
              <w:rPr>
                <w:b w:val="0"/>
                <w:sz w:val="17"/>
              </w:rPr>
              <w:t>Open events with current due date in the past.</w:t>
            </w:r>
          </w:p>
        </w:tc>
      </w:tr>
      <w:tr>
        <w:tc>
          <w:tcPr>
            <w:tcW w:type="dxa" w:w="3312"/>
            <w:vAlign w:val="center"/>
          </w:tcPr>
          <w:p>
            <w:r/>
            <w:r>
              <w:rPr>
                <w:b w:val="0"/>
                <w:sz w:val="17"/>
              </w:rPr>
              <w:t>On-Time Filing Rate</w:t>
            </w:r>
          </w:p>
        </w:tc>
        <w:tc>
          <w:tcPr>
            <w:tcW w:type="dxa" w:w="6768"/>
            <w:vAlign w:val="center"/>
          </w:tcPr>
          <w:p>
            <w:r/>
            <w:r>
              <w:rPr>
                <w:b w:val="0"/>
                <w:sz w:val="17"/>
              </w:rPr>
              <w:t>Completed on/before current due date divided by completed events.</w:t>
            </w:r>
          </w:p>
        </w:tc>
      </w:tr>
      <w:tr>
        <w:tc>
          <w:tcPr>
            <w:tcW w:type="dxa" w:w="3312"/>
            <w:vAlign w:val="center"/>
            <w:shd w:fill="F3F6F9"/>
          </w:tcPr>
          <w:p>
            <w:r/>
            <w:r>
              <w:rPr>
                <w:b w:val="0"/>
                <w:sz w:val="17"/>
              </w:rPr>
              <w:t>Extension Usage</w:t>
            </w:r>
          </w:p>
        </w:tc>
        <w:tc>
          <w:tcPr>
            <w:tcW w:type="dxa" w:w="6768"/>
            <w:vAlign w:val="center"/>
            <w:shd w:fill="F3F6F9"/>
          </w:tcPr>
          <w:p>
            <w:r/>
            <w:r>
              <w:rPr>
                <w:b w:val="0"/>
                <w:sz w:val="17"/>
              </w:rPr>
              <w:t>Approved extensions by jurisdiction, compliance and company.</w:t>
            </w:r>
          </w:p>
        </w:tc>
      </w:tr>
      <w:tr>
        <w:tc>
          <w:tcPr>
            <w:tcW w:type="dxa" w:w="3312"/>
            <w:vAlign w:val="center"/>
          </w:tcPr>
          <w:p>
            <w:r/>
            <w:r>
              <w:rPr>
                <w:b w:val="0"/>
                <w:sz w:val="17"/>
              </w:rPr>
              <w:t>Pending Documents</w:t>
            </w:r>
          </w:p>
        </w:tc>
        <w:tc>
          <w:tcPr>
            <w:tcW w:type="dxa" w:w="6768"/>
            <w:vAlign w:val="center"/>
          </w:tcPr>
          <w:p>
            <w:r/>
            <w:r>
              <w:rPr>
                <w:b w:val="0"/>
                <w:sz w:val="17"/>
              </w:rPr>
              <w:t>Events blocked by missing mandatory documents.</w:t>
            </w:r>
          </w:p>
        </w:tc>
      </w:tr>
      <w:tr>
        <w:tc>
          <w:tcPr>
            <w:tcW w:type="dxa" w:w="3312"/>
            <w:vAlign w:val="center"/>
            <w:shd w:fill="F3F6F9"/>
          </w:tcPr>
          <w:p>
            <w:r/>
            <w:r>
              <w:rPr>
                <w:b w:val="0"/>
                <w:sz w:val="17"/>
              </w:rPr>
              <w:t>Workload by Assignee</w:t>
            </w:r>
          </w:p>
        </w:tc>
        <w:tc>
          <w:tcPr>
            <w:tcW w:type="dxa" w:w="6768"/>
            <w:vAlign w:val="center"/>
            <w:shd w:fill="F3F6F9"/>
          </w:tcPr>
          <w:p>
            <w:r/>
            <w:r>
              <w:rPr>
                <w:b w:val="0"/>
                <w:sz w:val="17"/>
              </w:rPr>
              <w:t>Open events by user, period, priority and status.</w:t>
            </w:r>
          </w:p>
        </w:tc>
      </w:tr>
      <w:tr>
        <w:tc>
          <w:tcPr>
            <w:tcW w:type="dxa" w:w="3312"/>
            <w:vAlign w:val="center"/>
          </w:tcPr>
          <w:p>
            <w:r/>
            <w:r>
              <w:rPr>
                <w:b w:val="0"/>
                <w:sz w:val="17"/>
              </w:rPr>
              <w:t>Country Risk Heatmap</w:t>
            </w:r>
          </w:p>
        </w:tc>
        <w:tc>
          <w:tcPr>
            <w:tcW w:type="dxa" w:w="6768"/>
            <w:vAlign w:val="center"/>
          </w:tcPr>
          <w:p>
            <w:r/>
            <w:r>
              <w:rPr>
                <w:b w:val="0"/>
                <w:sz w:val="17"/>
              </w:rPr>
              <w:t>Overdue/high-risk events by jurisdiction.</w:t>
            </w:r>
          </w:p>
        </w:tc>
      </w:tr>
      <w:tr>
        <w:tc>
          <w:tcPr>
            <w:tcW w:type="dxa" w:w="3312"/>
            <w:vAlign w:val="center"/>
            <w:shd w:fill="F3F6F9"/>
          </w:tcPr>
          <w:p>
            <w:r/>
            <w:r>
              <w:rPr>
                <w:b w:val="0"/>
                <w:sz w:val="17"/>
              </w:rPr>
              <w:t>Rule Coverage</w:t>
            </w:r>
          </w:p>
        </w:tc>
        <w:tc>
          <w:tcPr>
            <w:tcW w:type="dxa" w:w="6768"/>
            <w:vAlign w:val="center"/>
            <w:shd w:fill="F3F6F9"/>
          </w:tcPr>
          <w:p>
            <w:r/>
            <w:r>
              <w:rPr>
                <w:b w:val="0"/>
                <w:sz w:val="17"/>
              </w:rPr>
              <w:t>Countries/entity types with published, draft or missing rule packs.</w:t>
            </w:r>
          </w:p>
        </w:tc>
      </w:tr>
      <w:tr>
        <w:tc>
          <w:tcPr>
            <w:tcW w:type="dxa" w:w="3312"/>
            <w:vAlign w:val="center"/>
          </w:tcPr>
          <w:p>
            <w:r/>
            <w:r>
              <w:rPr>
                <w:b w:val="0"/>
                <w:sz w:val="17"/>
              </w:rPr>
              <w:t>Rule Change Impact</w:t>
            </w:r>
          </w:p>
        </w:tc>
        <w:tc>
          <w:tcPr>
            <w:tcW w:type="dxa" w:w="6768"/>
            <w:vAlign w:val="center"/>
          </w:tcPr>
          <w:p>
            <w:r/>
            <w:r>
              <w:rPr>
                <w:b w:val="0"/>
                <w:sz w:val="17"/>
              </w:rPr>
              <w:t>Events and companies affected by published changes.</w:t>
            </w:r>
          </w:p>
        </w:tc>
      </w:tr>
      <w:tr>
        <w:tc>
          <w:tcPr>
            <w:tcW w:type="dxa" w:w="3312"/>
            <w:vAlign w:val="center"/>
            <w:shd w:fill="F3F6F9"/>
          </w:tcPr>
          <w:p>
            <w:r/>
            <w:r>
              <w:rPr>
                <w:b w:val="0"/>
                <w:sz w:val="17"/>
              </w:rPr>
              <w:t>Notification Delivery</w:t>
            </w:r>
          </w:p>
        </w:tc>
        <w:tc>
          <w:tcPr>
            <w:tcW w:type="dxa" w:w="6768"/>
            <w:vAlign w:val="center"/>
            <w:shd w:fill="F3F6F9"/>
          </w:tcPr>
          <w:p>
            <w:r/>
            <w:r>
              <w:rPr>
                <w:b w:val="0"/>
                <w:sz w:val="17"/>
              </w:rPr>
              <w:t>Sent, failed, bounced, suppressed and escalated reminders.</w:t>
            </w:r>
          </w:p>
        </w:tc>
      </w:tr>
    </w:tbl>
    <w:p/>
    <w:p>
      <w:pPr>
        <w:pStyle w:val="Heading1"/>
      </w:pPr>
      <w:r>
        <w:t>18. Exceptions and Recalculation</w:t>
      </w:r>
    </w:p>
    <w:p>
      <w:pPr>
        <w:pStyle w:val="Heading2"/>
      </w:pPr>
      <w:r>
        <w:t>18.1 Common Exceptions</w:t>
      </w:r>
    </w:p>
    <w:p>
      <w:pPr>
        <w:pStyle w:val="ListBullet"/>
      </w:pPr>
      <w:r>
        <w:t>Missing FYE, incorporation date, registration period or licence expiry date.</w:t>
      </w:r>
    </w:p>
    <w:p>
      <w:pPr>
        <w:pStyle w:val="ListBullet"/>
      </w:pPr>
      <w:r>
        <w:t>Multiple active rules with same specificity and priority.</w:t>
      </w:r>
    </w:p>
    <w:p>
      <w:pPr>
        <w:pStyle w:val="ListBullet"/>
      </w:pPr>
      <w:r>
        <w:t>No published rule for country/entity combination.</w:t>
      </w:r>
    </w:p>
    <w:p>
      <w:pPr>
        <w:pStyle w:val="ListBullet"/>
      </w:pPr>
      <w:r>
        <w:t>Rule formula error or missing holiday calendar.</w:t>
      </w:r>
    </w:p>
    <w:p>
      <w:pPr>
        <w:pStyle w:val="ListBullet"/>
      </w:pPr>
      <w:r>
        <w:t>Company attribute conflicts with a previously generated event.</w:t>
      </w:r>
    </w:p>
    <w:p>
      <w:pPr>
        <w:pStyle w:val="ListBullet"/>
      </w:pPr>
      <w:r>
        <w:t>Completed event affected by retroactive rule change.</w:t>
      </w:r>
    </w:p>
    <w:p>
      <w:pPr>
        <w:pStyle w:val="ListBullet"/>
      </w:pPr>
      <w:r>
        <w:t>Extension approved after original deadline.</w:t>
      </w:r>
    </w:p>
    <w:p>
      <w:pPr>
        <w:pStyle w:val="ListBullet"/>
      </w:pPr>
      <w:r>
        <w:t>Reminder recipient inactive or without contact details.</w:t>
      </w:r>
    </w:p>
    <w:p>
      <w:pPr>
        <w:pStyle w:val="Heading2"/>
      </w:pPr>
      <w:r>
        <w:t>18.2 Recalculation Policy Options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F4E78"/>
          </w:tcPr>
          <w:p>
            <w:r/>
            <w:r>
              <w:rPr>
                <w:b/>
                <w:color w:val="FFFFFF"/>
                <w:sz w:val="18"/>
              </w:rPr>
              <w:t>Policy</w:t>
            </w:r>
          </w:p>
        </w:tc>
        <w:tc>
          <w:tcPr>
            <w:tcW w:type="dxa" w:w="7056"/>
            <w:vAlign w:val="center"/>
            <w:shd w:fill="1F4E78"/>
          </w:tcPr>
          <w:p>
            <w:r/>
            <w:r>
              <w:rPr>
                <w:b/>
                <w:color w:val="FFFFFF"/>
                <w:sz w:val="18"/>
              </w:rPr>
              <w:t>Behaviour</w:t>
            </w:r>
          </w:p>
        </w:tc>
      </w:tr>
      <w:tr>
        <w:tc>
          <w:tcPr>
            <w:tcW w:type="dxa" w:w="3024"/>
            <w:vAlign w:val="center"/>
          </w:tcPr>
          <w:p>
            <w:r/>
            <w:r>
              <w:rPr>
                <w:b w:val="0"/>
                <w:sz w:val="17"/>
              </w:rPr>
              <w:t>FUTURE_ONLY</w:t>
            </w:r>
          </w:p>
        </w:tc>
        <w:tc>
          <w:tcPr>
            <w:tcW w:type="dxa" w:w="7056"/>
            <w:vAlign w:val="center"/>
          </w:tcPr>
          <w:p>
            <w:r/>
            <w:r>
              <w:rPr>
                <w:b w:val="0"/>
                <w:sz w:val="17"/>
              </w:rPr>
              <w:t>Apply new rule only to events not yet generated.</w:t>
            </w:r>
          </w:p>
        </w:tc>
      </w:tr>
      <w:tr>
        <w:tc>
          <w:tcPr>
            <w:tcW w:type="dxa" w:w="3024"/>
            <w:vAlign w:val="center"/>
            <w:shd w:fill="F3F6F9"/>
          </w:tcPr>
          <w:p>
            <w:r/>
            <w:r>
              <w:rPr>
                <w:b w:val="0"/>
                <w:sz w:val="17"/>
              </w:rPr>
              <w:t>OPEN_EVENTS</w:t>
            </w:r>
          </w:p>
        </w:tc>
        <w:tc>
          <w:tcPr>
            <w:tcW w:type="dxa" w:w="7056"/>
            <w:vAlign w:val="center"/>
            <w:shd w:fill="F3F6F9"/>
          </w:tcPr>
          <w:p>
            <w:r/>
            <w:r>
              <w:rPr>
                <w:b w:val="0"/>
                <w:sz w:val="17"/>
              </w:rPr>
              <w:t>Recalculate open events, preserve completed events.</w:t>
            </w:r>
          </w:p>
        </w:tc>
      </w:tr>
      <w:tr>
        <w:tc>
          <w:tcPr>
            <w:tcW w:type="dxa" w:w="3024"/>
            <w:vAlign w:val="center"/>
          </w:tcPr>
          <w:p>
            <w:r/>
            <w:r>
              <w:rPr>
                <w:b w:val="0"/>
                <w:sz w:val="17"/>
              </w:rPr>
              <w:t>SELECTED_EVENTS</w:t>
            </w:r>
          </w:p>
        </w:tc>
        <w:tc>
          <w:tcPr>
            <w:tcW w:type="dxa" w:w="7056"/>
            <w:vAlign w:val="center"/>
          </w:tcPr>
          <w:p>
            <w:r/>
            <w:r>
              <w:rPr>
                <w:b w:val="0"/>
                <w:sz w:val="17"/>
              </w:rPr>
              <w:t>User reviews and selects impacted events.</w:t>
            </w:r>
          </w:p>
        </w:tc>
      </w:tr>
      <w:tr>
        <w:tc>
          <w:tcPr>
            <w:tcW w:type="dxa" w:w="3024"/>
            <w:vAlign w:val="center"/>
            <w:shd w:fill="F3F6F9"/>
          </w:tcPr>
          <w:p>
            <w:r/>
            <w:r>
              <w:rPr>
                <w:b w:val="0"/>
                <w:sz w:val="17"/>
              </w:rPr>
              <w:t>ALL_WITH_CORRECTION</w:t>
            </w:r>
          </w:p>
        </w:tc>
        <w:tc>
          <w:tcPr>
            <w:tcW w:type="dxa" w:w="7056"/>
            <w:vAlign w:val="center"/>
            <w:shd w:fill="F3F6F9"/>
          </w:tcPr>
          <w:p>
            <w:r/>
            <w:r>
              <w:rPr>
                <w:b w:val="0"/>
                <w:sz w:val="17"/>
              </w:rPr>
              <w:t>Apply broadly with correction history and elevated approval.</w:t>
            </w:r>
          </w:p>
        </w:tc>
      </w:tr>
      <w:tr>
        <w:tc>
          <w:tcPr>
            <w:tcW w:type="dxa" w:w="3024"/>
            <w:vAlign w:val="center"/>
          </w:tcPr>
          <w:p>
            <w:r/>
            <w:r>
              <w:rPr>
                <w:b w:val="0"/>
                <w:sz w:val="17"/>
              </w:rPr>
              <w:t>NO_AUTOMATIC_MIGRATION</w:t>
            </w:r>
          </w:p>
        </w:tc>
        <w:tc>
          <w:tcPr>
            <w:tcW w:type="dxa" w:w="7056"/>
            <w:vAlign w:val="center"/>
          </w:tcPr>
          <w:p>
            <w:r/>
            <w:r>
              <w:rPr>
                <w:b w:val="0"/>
                <w:sz w:val="17"/>
              </w:rPr>
              <w:t>Publish for future use only; manual migration required.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Pr>
          <w:p>
            <w:r/>
            <w:r>
              <w:rPr>
                <w:b/>
                <w:color w:val="FFFFFF"/>
                <w:sz w:val="18"/>
              </w:rPr>
              <w:t>Area</w:t>
            </w:r>
          </w:p>
        </w:tc>
        <w:tc>
          <w:tcPr>
            <w:tcW w:type="dxa" w:w="7488"/>
            <w:vAlign w:val="center"/>
            <w:shd w:fill="1F4E78"/>
          </w:tcPr>
          <w:p>
            <w:r/>
            <w:r>
              <w:rPr>
                <w:b/>
                <w:color w:val="FFFFFF"/>
                <w:sz w:val="18"/>
              </w:rPr>
              <w:t>Requirement</w:t>
            </w:r>
          </w:p>
        </w:tc>
      </w:tr>
      <w:tr>
        <w:tc>
          <w:tcPr>
            <w:tcW w:type="dxa" w:w="2592"/>
            <w:vAlign w:val="center"/>
          </w:tcPr>
          <w:p>
            <w:r/>
            <w:r>
              <w:rPr>
                <w:b w:val="0"/>
                <w:sz w:val="17"/>
              </w:rPr>
              <w:t>Performance</w:t>
            </w:r>
          </w:p>
        </w:tc>
        <w:tc>
          <w:tcPr>
            <w:tcW w:type="dxa" w:w="7488"/>
            <w:vAlign w:val="center"/>
          </w:tcPr>
          <w:p>
            <w:r/>
            <w:r>
              <w:rPr>
                <w:b w:val="0"/>
                <w:sz w:val="17"/>
              </w:rPr>
              <w:t>Company calendar generation should complete within agreed SLA; batch regeneration must be queued and resumable.</w:t>
            </w:r>
          </w:p>
        </w:tc>
      </w:tr>
      <w:tr>
        <w:tc>
          <w:tcPr>
            <w:tcW w:type="dxa" w:w="2592"/>
            <w:vAlign w:val="center"/>
            <w:shd w:fill="F3F6F9"/>
          </w:tcPr>
          <w:p>
            <w:r/>
            <w:r>
              <w:rPr>
                <w:b w:val="0"/>
                <w:sz w:val="17"/>
              </w:rPr>
              <w:t>Scalability</w:t>
            </w:r>
          </w:p>
        </w:tc>
        <w:tc>
          <w:tcPr>
            <w:tcW w:type="dxa" w:w="7488"/>
            <w:vAlign w:val="center"/>
            <w:shd w:fill="F3F6F9"/>
          </w:tcPr>
          <w:p>
            <w:r/>
            <w:r>
              <w:rPr>
                <w:b w:val="0"/>
                <w:sz w:val="17"/>
              </w:rPr>
              <w:t>Support thousands of companies and millions of reminders/events.</w:t>
            </w:r>
          </w:p>
        </w:tc>
      </w:tr>
      <w:tr>
        <w:tc>
          <w:tcPr>
            <w:tcW w:type="dxa" w:w="2592"/>
            <w:vAlign w:val="center"/>
          </w:tcPr>
          <w:p>
            <w:r/>
            <w:r>
              <w:rPr>
                <w:b w:val="0"/>
                <w:sz w:val="17"/>
              </w:rPr>
              <w:t>Reliability</w:t>
            </w:r>
          </w:p>
        </w:tc>
        <w:tc>
          <w:tcPr>
            <w:tcW w:type="dxa" w:w="7488"/>
            <w:vAlign w:val="center"/>
          </w:tcPr>
          <w:p>
            <w:r/>
            <w:r>
              <w:rPr>
                <w:b w:val="0"/>
                <w:sz w:val="17"/>
              </w:rPr>
              <w:t>Idempotent generation and notification processing; no duplicate events or reminders.</w:t>
            </w:r>
          </w:p>
        </w:tc>
      </w:tr>
      <w:tr>
        <w:tc>
          <w:tcPr>
            <w:tcW w:type="dxa" w:w="2592"/>
            <w:vAlign w:val="center"/>
            <w:shd w:fill="F3F6F9"/>
          </w:tcPr>
          <w:p>
            <w:r/>
            <w:r>
              <w:rPr>
                <w:b w:val="0"/>
                <w:sz w:val="17"/>
              </w:rPr>
              <w:t>Availability</w:t>
            </w:r>
          </w:p>
        </w:tc>
        <w:tc>
          <w:tcPr>
            <w:tcW w:type="dxa" w:w="7488"/>
            <w:vAlign w:val="center"/>
            <w:shd w:fill="F3F6F9"/>
          </w:tcPr>
          <w:p>
            <w:r/>
            <w:r>
              <w:rPr>
                <w:b w:val="0"/>
                <w:sz w:val="17"/>
              </w:rPr>
              <w:t>Critical reminder and calendar services should meet production availability target.</w:t>
            </w:r>
          </w:p>
        </w:tc>
      </w:tr>
      <w:tr>
        <w:tc>
          <w:tcPr>
            <w:tcW w:type="dxa" w:w="2592"/>
            <w:vAlign w:val="center"/>
          </w:tcPr>
          <w:p>
            <w:r/>
            <w:r>
              <w:rPr>
                <w:b w:val="0"/>
                <w:sz w:val="17"/>
              </w:rPr>
              <w:t>Localization</w:t>
            </w:r>
          </w:p>
        </w:tc>
        <w:tc>
          <w:tcPr>
            <w:tcW w:type="dxa" w:w="7488"/>
            <w:vAlign w:val="center"/>
          </w:tcPr>
          <w:p>
            <w:r/>
            <w:r>
              <w:rPr>
                <w:b w:val="0"/>
                <w:sz w:val="17"/>
              </w:rPr>
              <w:t>Multiple languages, date formats, currencies, timezones and local entity names.</w:t>
            </w:r>
          </w:p>
        </w:tc>
      </w:tr>
      <w:tr>
        <w:tc>
          <w:tcPr>
            <w:tcW w:type="dxa" w:w="2592"/>
            <w:vAlign w:val="center"/>
            <w:shd w:fill="F3F6F9"/>
          </w:tcPr>
          <w:p>
            <w:r/>
            <w:r>
              <w:rPr>
                <w:b w:val="0"/>
                <w:sz w:val="17"/>
              </w:rPr>
              <w:t>Explainability</w:t>
            </w:r>
          </w:p>
        </w:tc>
        <w:tc>
          <w:tcPr>
            <w:tcW w:type="dxa" w:w="7488"/>
            <w:vAlign w:val="center"/>
            <w:shd w:fill="F3F6F9"/>
          </w:tcPr>
          <w:p>
            <w:r/>
            <w:r>
              <w:rPr>
                <w:b w:val="0"/>
                <w:sz w:val="17"/>
              </w:rPr>
              <w:t>Every event exposes rule version, trigger, inputs, formula and adjustments.</w:t>
            </w:r>
          </w:p>
        </w:tc>
      </w:tr>
      <w:tr>
        <w:tc>
          <w:tcPr>
            <w:tcW w:type="dxa" w:w="2592"/>
            <w:vAlign w:val="center"/>
          </w:tcPr>
          <w:p>
            <w:r/>
            <w:r>
              <w:rPr>
                <w:b w:val="0"/>
                <w:sz w:val="17"/>
              </w:rPr>
              <w:t>Auditability</w:t>
            </w:r>
          </w:p>
        </w:tc>
        <w:tc>
          <w:tcPr>
            <w:tcW w:type="dxa" w:w="7488"/>
            <w:vAlign w:val="center"/>
          </w:tcPr>
          <w:p>
            <w:r/>
            <w:r>
              <w:rPr>
                <w:b w:val="0"/>
                <w:sz w:val="17"/>
              </w:rPr>
              <w:t>All material changes retained with actor, timestamp, before/after values and reason.</w:t>
            </w:r>
          </w:p>
        </w:tc>
      </w:tr>
      <w:tr>
        <w:tc>
          <w:tcPr>
            <w:tcW w:type="dxa" w:w="2592"/>
            <w:vAlign w:val="center"/>
            <w:shd w:fill="F3F6F9"/>
          </w:tcPr>
          <w:p>
            <w:r/>
            <w:r>
              <w:rPr>
                <w:b w:val="0"/>
                <w:sz w:val="17"/>
              </w:rPr>
              <w:t>Data Quality</w:t>
            </w:r>
          </w:p>
        </w:tc>
        <w:tc>
          <w:tcPr>
            <w:tcW w:type="dxa" w:w="7488"/>
            <w:vAlign w:val="center"/>
            <w:shd w:fill="F3F6F9"/>
          </w:tcPr>
          <w:p>
            <w:r/>
            <w:r>
              <w:rPr>
                <w:b w:val="0"/>
                <w:sz w:val="17"/>
              </w:rPr>
              <w:t>Mandatory onboarding validation and exception queue.</w:t>
            </w:r>
          </w:p>
        </w:tc>
      </w:tr>
      <w:tr>
        <w:tc>
          <w:tcPr>
            <w:tcW w:type="dxa" w:w="2592"/>
            <w:vAlign w:val="center"/>
          </w:tcPr>
          <w:p>
            <w:r/>
            <w:r>
              <w:rPr>
                <w:b w:val="0"/>
                <w:sz w:val="17"/>
              </w:rPr>
              <w:t>Testing</w:t>
            </w:r>
          </w:p>
        </w:tc>
        <w:tc>
          <w:tcPr>
            <w:tcW w:type="dxa" w:w="7488"/>
            <w:vAlign w:val="center"/>
          </w:tcPr>
          <w:p>
            <w:r/>
            <w:r>
              <w:rPr>
                <w:b w:val="0"/>
                <w:sz w:val="17"/>
              </w:rPr>
              <w:t>Unit, integration, regression, date-boundary, leap-year, month-end and holiday tests.</w:t>
            </w:r>
          </w:p>
        </w:tc>
      </w:tr>
      <w:tr>
        <w:tc>
          <w:tcPr>
            <w:tcW w:type="dxa" w:w="2592"/>
            <w:vAlign w:val="center"/>
            <w:shd w:fill="F3F6F9"/>
          </w:tcPr>
          <w:p>
            <w:r/>
            <w:r>
              <w:rPr>
                <w:b w:val="0"/>
                <w:sz w:val="17"/>
              </w:rPr>
              <w:t>Maintainability</w:t>
            </w:r>
          </w:p>
        </w:tc>
        <w:tc>
          <w:tcPr>
            <w:tcW w:type="dxa" w:w="7488"/>
            <w:vAlign w:val="center"/>
            <w:shd w:fill="F3F6F9"/>
          </w:tcPr>
          <w:p>
            <w:r/>
            <w:r>
              <w:rPr>
                <w:b w:val="0"/>
                <w:sz w:val="17"/>
              </w:rPr>
              <w:t>Rule packs editable without application deployment.</w:t>
            </w:r>
          </w:p>
        </w:tc>
      </w:tr>
    </w:tbl>
    <w:p/>
    <w:p>
      <w:pPr>
        <w:pStyle w:val="Heading1"/>
      </w:pPr>
      <w:r>
        <w:t>20. Acceptance Criteria and Implementation Phases</w:t>
      </w:r>
    </w:p>
    <w:p>
      <w:pPr>
        <w:pStyle w:val="Heading2"/>
      </w:pPr>
      <w:r>
        <w:t>20.1 Core Acceptance Criteria</w:t>
      </w:r>
    </w:p>
    <w:p>
      <w:pPr>
        <w:pStyle w:val="ListNumber"/>
      </w:pPr>
      <w:r>
        <w:t>A rule administrator can configure a new country without source-code changes.</w:t>
      </w:r>
    </w:p>
    <w:p>
      <w:pPr>
        <w:pStyle w:val="ListNumber"/>
      </w:pPr>
      <w:r>
        <w:t>The system can generate annual, periodic and event-driven compliance events.</w:t>
      </w:r>
    </w:p>
    <w:p>
      <w:pPr>
        <w:pStyle w:val="ListNumber"/>
      </w:pPr>
      <w:r>
        <w:t>Each event displays an auditable due-date explanation.</w:t>
      </w:r>
    </w:p>
    <w:p>
      <w:pPr>
        <w:pStyle w:val="ListNumber"/>
      </w:pPr>
      <w:r>
        <w:t>Original due dates remain unchanged after extension approval.</w:t>
      </w:r>
    </w:p>
    <w:p>
      <w:pPr>
        <w:pStyle w:val="ListNumber"/>
      </w:pPr>
      <w:r>
        <w:t>Reminders regenerate correctly when the current due date changes.</w:t>
      </w:r>
    </w:p>
    <w:p>
      <w:pPr>
        <w:pStyle w:val="ListNumber"/>
      </w:pPr>
      <w:r>
        <w:t>Completed/waived/not-applicable events do not continue sending reminders.</w:t>
      </w:r>
    </w:p>
    <w:p>
      <w:pPr>
        <w:pStyle w:val="ListNumber"/>
      </w:pPr>
      <w:r>
        <w:t>Published rule versions are effective-dated and approval-controlled.</w:t>
      </w:r>
    </w:p>
    <w:p>
      <w:pPr>
        <w:pStyle w:val="ListNumber"/>
      </w:pPr>
      <w:r>
        <w:t>Rule impact can be previewed before publication.</w:t>
      </w:r>
    </w:p>
    <w:p>
      <w:pPr>
        <w:pStyle w:val="ListNumber"/>
      </w:pPr>
      <w:r>
        <w:t>Holiday and month-end calculations pass boundary tests.</w:t>
      </w:r>
    </w:p>
    <w:p>
      <w:pPr>
        <w:pStyle w:val="ListNumber"/>
      </w:pPr>
      <w:r>
        <w:t>Users can attach evidence and cannot complete an event until required validation passes.</w:t>
      </w:r>
    </w:p>
    <w:p>
      <w:pPr>
        <w:pStyle w:val="ListNumber"/>
      </w:pPr>
      <w:r>
        <w:t>Portfolio dashboards identify upcoming, overdue, blocked and high-risk items.</w:t>
      </w:r>
    </w:p>
    <w:p>
      <w:pPr>
        <w:pStyle w:val="ListNumber"/>
      </w:pPr>
      <w:r>
        <w:t>Tenant and role permissions prevent unauthorized access or rule publication.</w:t>
      </w:r>
    </w:p>
    <w:p>
      <w:pPr>
        <w:pStyle w:val="Heading2"/>
      </w:pPr>
      <w:r>
        <w:t>20.2 Suggested Delivery Phases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r/>
            <w:r>
              <w:rPr>
                <w:b/>
                <w:color w:val="FFFFFF"/>
                <w:sz w:val="18"/>
              </w:rPr>
              <w:t>Phase</w:t>
            </w:r>
          </w:p>
        </w:tc>
        <w:tc>
          <w:tcPr>
            <w:tcW w:type="dxa" w:w="7200"/>
            <w:vAlign w:val="center"/>
            <w:shd w:fill="1F4E78"/>
          </w:tcPr>
          <w:p>
            <w:r/>
            <w:r>
              <w:rPr>
                <w:b/>
                <w:color w:val="FFFFFF"/>
                <w:sz w:val="18"/>
              </w:rPr>
              <w:t>Deliverables</w:t>
            </w:r>
          </w:p>
        </w:tc>
      </w:tr>
      <w:tr>
        <w:tc>
          <w:tcPr>
            <w:tcW w:type="dxa" w:w="2880"/>
            <w:vAlign w:val="center"/>
          </w:tcPr>
          <w:p>
            <w:r/>
            <w:r>
              <w:rPr>
                <w:b w:val="0"/>
                <w:sz w:val="17"/>
              </w:rPr>
              <w:t>Phase 1 - Foundation</w:t>
            </w:r>
          </w:p>
        </w:tc>
        <w:tc>
          <w:tcPr>
            <w:tcW w:type="dxa" w:w="7200"/>
            <w:vAlign w:val="center"/>
          </w:tcPr>
          <w:p>
            <w:r/>
            <w:r>
              <w:rPr>
                <w:b w:val="0"/>
                <w:sz w:val="17"/>
              </w:rPr>
              <w:t>Masters, companies, compliance events, rule versions, basic formulas, calendar and audit log.</w:t>
            </w:r>
          </w:p>
        </w:tc>
      </w:tr>
      <w:tr>
        <w:tc>
          <w:tcPr>
            <w:tcW w:type="dxa" w:w="2880"/>
            <w:vAlign w:val="center"/>
            <w:shd w:fill="F3F6F9"/>
          </w:tcPr>
          <w:p>
            <w:r/>
            <w:r>
              <w:rPr>
                <w:b w:val="0"/>
                <w:sz w:val="17"/>
              </w:rPr>
              <w:t>Phase 2 - Operations</w:t>
            </w:r>
          </w:p>
        </w:tc>
        <w:tc>
          <w:tcPr>
            <w:tcW w:type="dxa" w:w="7200"/>
            <w:vAlign w:val="center"/>
            <w:shd w:fill="F3F6F9"/>
          </w:tcPr>
          <w:p>
            <w:r/>
            <w:r>
              <w:rPr>
                <w:b w:val="0"/>
                <w:sz w:val="17"/>
              </w:rPr>
              <w:t>Assignments, workflow, reminders, documents, submission and completion.</w:t>
            </w:r>
          </w:p>
        </w:tc>
      </w:tr>
      <w:tr>
        <w:tc>
          <w:tcPr>
            <w:tcW w:type="dxa" w:w="2880"/>
            <w:vAlign w:val="center"/>
          </w:tcPr>
          <w:p>
            <w:r/>
            <w:r>
              <w:rPr>
                <w:b w:val="0"/>
                <w:sz w:val="17"/>
              </w:rPr>
              <w:t>Phase 3 - Advanced Rules</w:t>
            </w:r>
          </w:p>
        </w:tc>
        <w:tc>
          <w:tcPr>
            <w:tcW w:type="dxa" w:w="7200"/>
            <w:vAlign w:val="center"/>
          </w:tcPr>
          <w:p>
            <w:r/>
            <w:r>
              <w:rPr>
                <w:b w:val="0"/>
                <w:sz w:val="17"/>
              </w:rPr>
              <w:t>Extensions, waivers, holiday calendars, dependencies and impact preview.</w:t>
            </w:r>
          </w:p>
        </w:tc>
      </w:tr>
      <w:tr>
        <w:tc>
          <w:tcPr>
            <w:tcW w:type="dxa" w:w="2880"/>
            <w:vAlign w:val="center"/>
            <w:shd w:fill="F3F6F9"/>
          </w:tcPr>
          <w:p>
            <w:r/>
            <w:r>
              <w:rPr>
                <w:b w:val="0"/>
                <w:sz w:val="17"/>
              </w:rPr>
              <w:t>Phase 4 - Globalization</w:t>
            </w:r>
          </w:p>
        </w:tc>
        <w:tc>
          <w:tcPr>
            <w:tcW w:type="dxa" w:w="7200"/>
            <w:vAlign w:val="center"/>
            <w:shd w:fill="F3F6F9"/>
          </w:tcPr>
          <w:p>
            <w:r/>
            <w:r>
              <w:rPr>
                <w:b w:val="0"/>
                <w:sz w:val="17"/>
              </w:rPr>
              <w:t>Country rule packs, localization, authority calendars and bulk migration.</w:t>
            </w:r>
          </w:p>
        </w:tc>
      </w:tr>
      <w:tr>
        <w:tc>
          <w:tcPr>
            <w:tcW w:type="dxa" w:w="2880"/>
            <w:vAlign w:val="center"/>
          </w:tcPr>
          <w:p>
            <w:r/>
            <w:r>
              <w:rPr>
                <w:b w:val="0"/>
                <w:sz w:val="17"/>
              </w:rPr>
              <w:t>Phase 5 - Integration</w:t>
            </w:r>
          </w:p>
        </w:tc>
        <w:tc>
          <w:tcPr>
            <w:tcW w:type="dxa" w:w="7200"/>
            <w:vAlign w:val="center"/>
          </w:tcPr>
          <w:p>
            <w:r/>
            <w:r>
              <w:rPr>
                <w:b w:val="0"/>
                <w:sz w:val="17"/>
              </w:rPr>
              <w:t>Email/SMS/calendar, document storage, authority APIs and external portal links.</w:t>
            </w:r>
          </w:p>
        </w:tc>
      </w:tr>
      <w:tr>
        <w:tc>
          <w:tcPr>
            <w:tcW w:type="dxa" w:w="2880"/>
            <w:vAlign w:val="center"/>
            <w:shd w:fill="F3F6F9"/>
          </w:tcPr>
          <w:p>
            <w:r/>
            <w:r>
              <w:rPr>
                <w:b w:val="0"/>
                <w:sz w:val="17"/>
              </w:rPr>
              <w:t>Phase 6 - Intelligence</w:t>
            </w:r>
          </w:p>
        </w:tc>
        <w:tc>
          <w:tcPr>
            <w:tcW w:type="dxa" w:w="7200"/>
            <w:vAlign w:val="center"/>
            <w:shd w:fill="F3F6F9"/>
          </w:tcPr>
          <w:p>
            <w:r/>
            <w:r>
              <w:rPr>
                <w:b w:val="0"/>
                <w:sz w:val="17"/>
              </w:rPr>
              <w:t>Risk scoring, missing-rule detection, anomaly alerts and rule-maintenance analytics.</w:t>
            </w:r>
          </w:p>
        </w:tc>
      </w:tr>
    </w:tbl>
    <w:p/>
    <w:p>
      <w:pPr>
        <w:pStyle w:val="Heading1"/>
      </w:pPr>
      <w:r>
        <w:t>Appendix A - Default Global Starter Configuration</w:t>
      </w:r>
    </w:p>
    <w:p>
      <w:r>
        <w:t>The following are system defaults only. A country rule pack may override every value.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F4E78"/>
          </w:tcPr>
          <w:p>
            <w:r/>
            <w:r>
              <w:rPr>
                <w:b/>
                <w:color w:val="FFFFFF"/>
                <w:sz w:val="18"/>
              </w:rPr>
              <w:t>Setting</w:t>
            </w:r>
          </w:p>
        </w:tc>
        <w:tc>
          <w:tcPr>
            <w:tcW w:type="dxa" w:w="7056"/>
            <w:vAlign w:val="center"/>
            <w:shd w:fill="1F4E78"/>
          </w:tcPr>
          <w:p>
            <w:r/>
            <w:r>
              <w:rPr>
                <w:b/>
                <w:color w:val="FFFFFF"/>
                <w:sz w:val="18"/>
              </w:rPr>
              <w:t>Default</w:t>
            </w:r>
          </w:p>
        </w:tc>
      </w:tr>
      <w:tr>
        <w:tc>
          <w:tcPr>
            <w:tcW w:type="dxa" w:w="3024"/>
            <w:vAlign w:val="center"/>
          </w:tcPr>
          <w:p>
            <w:r/>
            <w:r>
              <w:rPr>
                <w:b w:val="0"/>
                <w:sz w:val="17"/>
              </w:rPr>
              <w:t>Default reminder profile</w:t>
            </w:r>
          </w:p>
        </w:tc>
        <w:tc>
          <w:tcPr>
            <w:tcW w:type="dxa" w:w="7056"/>
            <w:vAlign w:val="center"/>
          </w:tcPr>
          <w:p>
            <w:r/>
            <w:r>
              <w:rPr>
                <w:b w:val="0"/>
                <w:sz w:val="17"/>
              </w:rPr>
              <w:t>30, 15, 7, 3 and 1 day before; due date; 1, 7 and 30 days overdue.</w:t>
            </w:r>
          </w:p>
        </w:tc>
      </w:tr>
      <w:tr>
        <w:tc>
          <w:tcPr>
            <w:tcW w:type="dxa" w:w="3024"/>
            <w:vAlign w:val="center"/>
            <w:shd w:fill="F3F6F9"/>
          </w:tcPr>
          <w:p>
            <w:r/>
            <w:r>
              <w:rPr>
                <w:b w:val="0"/>
                <w:sz w:val="17"/>
              </w:rPr>
              <w:t>Operational target</w:t>
            </w:r>
          </w:p>
        </w:tc>
        <w:tc>
          <w:tcPr>
            <w:tcW w:type="dxa" w:w="7056"/>
            <w:vAlign w:val="center"/>
            <w:shd w:fill="F3F6F9"/>
          </w:tcPr>
          <w:p>
            <w:r/>
            <w:r>
              <w:rPr>
                <w:b w:val="0"/>
                <w:sz w:val="17"/>
              </w:rPr>
              <w:t>7 days before current due date for routine filings.</w:t>
            </w:r>
          </w:p>
        </w:tc>
      </w:tr>
      <w:tr>
        <w:tc>
          <w:tcPr>
            <w:tcW w:type="dxa" w:w="3024"/>
            <w:vAlign w:val="center"/>
          </w:tcPr>
          <w:p>
            <w:r/>
            <w:r>
              <w:rPr>
                <w:b w:val="0"/>
                <w:sz w:val="17"/>
              </w:rPr>
              <w:t>Holiday adjustment</w:t>
            </w:r>
          </w:p>
        </w:tc>
        <w:tc>
          <w:tcPr>
            <w:tcW w:type="dxa" w:w="7056"/>
            <w:vAlign w:val="center"/>
          </w:tcPr>
          <w:p>
            <w:r/>
            <w:r>
              <w:rPr>
                <w:b w:val="0"/>
                <w:sz w:val="17"/>
              </w:rPr>
              <w:t>NONE unless authority rule explicitly enables adjustment.</w:t>
            </w:r>
          </w:p>
        </w:tc>
      </w:tr>
      <w:tr>
        <w:tc>
          <w:tcPr>
            <w:tcW w:type="dxa" w:w="3024"/>
            <w:vAlign w:val="center"/>
            <w:shd w:fill="F3F6F9"/>
          </w:tcPr>
          <w:p>
            <w:r/>
            <w:r>
              <w:rPr>
                <w:b w:val="0"/>
                <w:sz w:val="17"/>
              </w:rPr>
              <w:t>Extension pending</w:t>
            </w:r>
          </w:p>
        </w:tc>
        <w:tc>
          <w:tcPr>
            <w:tcW w:type="dxa" w:w="7056"/>
            <w:vAlign w:val="center"/>
            <w:shd w:fill="F3F6F9"/>
          </w:tcPr>
          <w:p>
            <w:r/>
            <w:r>
              <w:rPr>
                <w:b w:val="0"/>
                <w:sz w:val="17"/>
              </w:rPr>
              <w:t>Original due date remains controlling.</w:t>
            </w:r>
          </w:p>
        </w:tc>
      </w:tr>
      <w:tr>
        <w:tc>
          <w:tcPr>
            <w:tcW w:type="dxa" w:w="3024"/>
            <w:vAlign w:val="center"/>
          </w:tcPr>
          <w:p>
            <w:r/>
            <w:r>
              <w:rPr>
                <w:b w:val="0"/>
                <w:sz w:val="17"/>
              </w:rPr>
              <w:t>Completion evidence</w:t>
            </w:r>
          </w:p>
        </w:tc>
        <w:tc>
          <w:tcPr>
            <w:tcW w:type="dxa" w:w="7056"/>
            <w:vAlign w:val="center"/>
          </w:tcPr>
          <w:p>
            <w:r/>
            <w:r>
              <w:rPr>
                <w:b w:val="0"/>
                <w:sz w:val="17"/>
              </w:rPr>
              <w:t>Required for statutory filings.</w:t>
            </w:r>
          </w:p>
        </w:tc>
      </w:tr>
      <w:tr>
        <w:tc>
          <w:tcPr>
            <w:tcW w:type="dxa" w:w="3024"/>
            <w:vAlign w:val="center"/>
            <w:shd w:fill="F3F6F9"/>
          </w:tcPr>
          <w:p>
            <w:r/>
            <w:r>
              <w:rPr>
                <w:b w:val="0"/>
                <w:sz w:val="17"/>
              </w:rPr>
              <w:t>Default escalation</w:t>
            </w:r>
          </w:p>
        </w:tc>
        <w:tc>
          <w:tcPr>
            <w:tcW w:type="dxa" w:w="7056"/>
            <w:vAlign w:val="center"/>
            <w:shd w:fill="F3F6F9"/>
          </w:tcPr>
          <w:p>
            <w:r/>
            <w:r>
              <w:rPr>
                <w:b w:val="0"/>
                <w:sz w:val="17"/>
              </w:rPr>
              <w:t>Assignee → Manager → Compliance Head → Director/Client Contact.</w:t>
            </w:r>
          </w:p>
        </w:tc>
      </w:tr>
      <w:tr>
        <w:tc>
          <w:tcPr>
            <w:tcW w:type="dxa" w:w="3024"/>
            <w:vAlign w:val="center"/>
          </w:tcPr>
          <w:p>
            <w:r/>
            <w:r>
              <w:rPr>
                <w:b w:val="0"/>
                <w:sz w:val="17"/>
              </w:rPr>
              <w:t>Rule conflict</w:t>
            </w:r>
          </w:p>
        </w:tc>
        <w:tc>
          <w:tcPr>
            <w:tcW w:type="dxa" w:w="7056"/>
            <w:vAlign w:val="center"/>
          </w:tcPr>
          <w:p>
            <w:r/>
            <w:r>
              <w:rPr>
                <w:b w:val="0"/>
                <w:sz w:val="17"/>
              </w:rPr>
              <w:t>Block generation and create exception for review.</w:t>
            </w:r>
          </w:p>
        </w:tc>
      </w:tr>
      <w:tr>
        <w:tc>
          <w:tcPr>
            <w:tcW w:type="dxa" w:w="3024"/>
            <w:vAlign w:val="center"/>
            <w:shd w:fill="F3F6F9"/>
          </w:tcPr>
          <w:p>
            <w:r/>
            <w:r>
              <w:rPr>
                <w:b w:val="0"/>
                <w:sz w:val="17"/>
              </w:rPr>
              <w:t>Missing source date</w:t>
            </w:r>
          </w:p>
        </w:tc>
        <w:tc>
          <w:tcPr>
            <w:tcW w:type="dxa" w:w="7056"/>
            <w:vAlign w:val="center"/>
            <w:shd w:fill="F3F6F9"/>
          </w:tcPr>
          <w:p>
            <w:r/>
            <w:r>
              <w:rPr>
                <w:b w:val="0"/>
                <w:sz w:val="17"/>
              </w:rPr>
              <w:t>Do not guess; create data-quality exception.</w:t>
            </w:r>
          </w:p>
        </w:tc>
      </w:tr>
      <w:tr>
        <w:tc>
          <w:tcPr>
            <w:tcW w:type="dxa" w:w="3024"/>
            <w:vAlign w:val="center"/>
          </w:tcPr>
          <w:p>
            <w:r/>
            <w:r>
              <w:rPr>
                <w:b w:val="0"/>
                <w:sz w:val="17"/>
              </w:rPr>
              <w:t>Rule effective date</w:t>
            </w:r>
          </w:p>
        </w:tc>
        <w:tc>
          <w:tcPr>
            <w:tcW w:type="dxa" w:w="7056"/>
            <w:vAlign w:val="center"/>
          </w:tcPr>
          <w:p>
            <w:r/>
            <w:r>
              <w:rPr>
                <w:b w:val="0"/>
                <w:sz w:val="17"/>
              </w:rPr>
              <w:t>Required before publication.</w:t>
            </w:r>
          </w:p>
        </w:tc>
      </w:tr>
      <w:tr>
        <w:tc>
          <w:tcPr>
            <w:tcW w:type="dxa" w:w="3024"/>
            <w:vAlign w:val="center"/>
            <w:shd w:fill="F3F6F9"/>
          </w:tcPr>
          <w:p>
            <w:r/>
            <w:r>
              <w:rPr>
                <w:b w:val="0"/>
                <w:sz w:val="17"/>
              </w:rPr>
              <w:t>Legal review</w:t>
            </w:r>
          </w:p>
        </w:tc>
        <w:tc>
          <w:tcPr>
            <w:tcW w:type="dxa" w:w="7056"/>
            <w:vAlign w:val="center"/>
            <w:shd w:fill="F3F6F9"/>
          </w:tcPr>
          <w:p>
            <w:r/>
            <w:r>
              <w:rPr>
                <w:b w:val="0"/>
                <w:sz w:val="17"/>
              </w:rPr>
              <w:t>Required before country rule-pack activation.</w:t>
            </w:r>
          </w:p>
        </w:tc>
      </w:tr>
    </w:tbl>
    <w:p/>
    <w:p>
      <w:pPr>
        <w:pStyle w:val="Heading1"/>
      </w:pPr>
      <w:r>
        <w:t>Appendix B - Example Rule JSON</w:t>
      </w:r>
    </w:p>
    <w:p>
      <w:r>
        <w:rPr>
          <w:rFonts w:ascii="Consolas" w:hAnsi="Consolas"/>
          <w:sz w:val="17"/>
        </w:rPr>
        <w:t>{</w:t>
        <w:br/>
        <w:t xml:space="preserve">  "jurisdiction": "&lt;country-or-subdivision&gt;",</w:t>
        <w:br/>
        <w:t xml:space="preserve">  "entity_type": "&lt;local-entity-type&gt;",</w:t>
        <w:br/>
        <w:t xml:space="preserve">  "compliance_code": "AR",</w:t>
        <w:br/>
        <w:t xml:space="preserve">  "authority_id": "&lt;authority&gt;",</w:t>
        <w:br/>
        <w:t xml:space="preserve">  "effective_from": "YYYY-MM-DD",</w:t>
        <w:br/>
        <w:t xml:space="preserve">  "effective_to": null,</w:t>
        <w:br/>
        <w:t xml:space="preserve">  "applicability": {</w:t>
        <w:br/>
        <w:t xml:space="preserve">    "all": [</w:t>
        <w:br/>
        <w:t xml:space="preserve">      {"field": "company.status", "operator": "IN", "value": ["ACTIVE"]}</w:t>
        <w:br/>
        <w:t xml:space="preserve">    ]</w:t>
        <w:br/>
        <w:t xml:space="preserve">  },</w:t>
        <w:br/>
        <w:t xml:space="preserve">  "trigger": {"type": "INCORPORATION_ANNIVERSARY"},</w:t>
        <w:br/>
        <w:t xml:space="preserve">  "calculation": {</w:t>
        <w:br/>
        <w:t xml:space="preserve">    "type": "ADD_CALENDAR_DAYS",</w:t>
        <w:br/>
        <w:t xml:space="preserve">    "value": 30,</w:t>
        <w:br/>
        <w:t xml:space="preserve">    "holiday_adjustment": "AUTHORITY_SPECIFIC"</w:t>
        <w:br/>
        <w:t xml:space="preserve">  },</w:t>
        <w:br/>
        <w:t xml:space="preserve">  "frequency": "ANNUAL",</w:t>
        <w:br/>
        <w:t xml:space="preserve">  "extension": {</w:t>
        <w:br/>
        <w:t xml:space="preserve">    "allowed": true,</w:t>
        <w:br/>
        <w:t xml:space="preserve">    "approval_required": true</w:t>
        <w:br/>
        <w:t xml:space="preserve">  },</w:t>
        <w:br/>
        <w:t xml:space="preserve">  "reminder_profile": "STANDARD_FILING",</w:t>
        <w:br/>
        <w:t xml:space="preserve">  "rule_priority": 100,</w:t>
        <w:br/>
        <w:t xml:space="preserve">  "status": "PUBLISHED"</w:t>
        <w:br/>
        <w:t>}</w:t>
      </w:r>
    </w:p>
    <w:p>
      <w:pPr>
        <w:pStyle w:val="Heading1"/>
      </w:pPr>
      <w:r>
        <w:t>Appendix C - Legal Rule Maintenance Checklist</w:t>
      </w:r>
    </w:p>
    <w:p>
      <w:pPr>
        <w:pStyle w:val="ListBullet"/>
      </w:pPr>
      <w:r>
        <w:t>Confirm official source and authority.</w:t>
      </w:r>
    </w:p>
    <w:p>
      <w:pPr>
        <w:pStyle w:val="ListBullet"/>
      </w:pPr>
      <w:r>
        <w:t>Record publication and effective dates.</w:t>
      </w:r>
    </w:p>
    <w:p>
      <w:pPr>
        <w:pStyle w:val="ListBullet"/>
      </w:pPr>
      <w:r>
        <w:t>Confirm entity types and exclusions.</w:t>
      </w:r>
    </w:p>
    <w:p>
      <w:pPr>
        <w:pStyle w:val="ListBullet"/>
      </w:pPr>
      <w:r>
        <w:t>Confirm trigger date and calendar convention.</w:t>
      </w:r>
    </w:p>
    <w:p>
      <w:pPr>
        <w:pStyle w:val="ListBullet"/>
      </w:pPr>
      <w:r>
        <w:t>Confirm extensions, waivers, grace and penalty treatment.</w:t>
      </w:r>
    </w:p>
    <w:p>
      <w:pPr>
        <w:pStyle w:val="ListBullet"/>
      </w:pPr>
      <w:r>
        <w:t>Confirm filing frequency and first-period exceptions.</w:t>
      </w:r>
    </w:p>
    <w:p>
      <w:pPr>
        <w:pStyle w:val="ListBullet"/>
      </w:pPr>
      <w:r>
        <w:t>Create positive, negative and boundary test cases.</w:t>
      </w:r>
    </w:p>
    <w:p>
      <w:pPr>
        <w:pStyle w:val="ListBullet"/>
      </w:pPr>
      <w:r>
        <w:t>Obtain legal/compliance approval.</w:t>
      </w:r>
    </w:p>
    <w:p>
      <w:pPr>
        <w:pStyle w:val="ListBullet"/>
      </w:pPr>
      <w:r>
        <w:t>Preview affected companies and events.</w:t>
      </w:r>
    </w:p>
    <w:p>
      <w:pPr>
        <w:pStyle w:val="ListBullet"/>
      </w:pPr>
      <w:r>
        <w:t>Schedule periodic rule review and expiry alerts.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Functional and 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Corporate Secretarial System (CSS) - Global Compliance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