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810" w:hanging="81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Isolating TNBC Cancer Epithelial Cells and subclustering</w:t>
      </w:r>
    </w:p>
    <w:p w:rsidR="00000000" w:rsidDel="00000000" w:rsidP="00000000" w:rsidRDefault="00000000" w:rsidRPr="00000000" w14:paraId="00000002">
      <w:pPr>
        <w:ind w:right="-810" w:hanging="810"/>
        <w:rPr/>
      </w:pPr>
      <w:r w:rsidDel="00000000" w:rsidR="00000000" w:rsidRPr="00000000">
        <w:rPr>
          <w:rtl w:val="0"/>
        </w:rPr>
        <w:t xml:space="preserve">We took tnbc epithileal sub cluster of cancer epithelial 9454 x 3012 then we have done clustering using neighbours and umap </w:t>
        <w:br w:type="textWrapping"/>
        <w:t xml:space="preserve">We used neighbours of 10 and pcs=40 components</w:t>
      </w:r>
    </w:p>
    <w:p w:rsidR="00000000" w:rsidDel="00000000" w:rsidP="00000000" w:rsidRDefault="00000000" w:rsidRPr="00000000" w14:paraId="00000003">
      <w:pPr>
        <w:ind w:right="-810" w:hanging="810"/>
        <w:rPr/>
      </w:pPr>
      <w:r w:rsidDel="00000000" w:rsidR="00000000" w:rsidRPr="00000000">
        <w:rPr>
          <w:rtl w:val="0"/>
        </w:rPr>
        <w:t xml:space="preserve">For visualisation we use leiden umap clustering algorithm  of resolution 0.5 </w:t>
      </w:r>
    </w:p>
    <w:p w:rsidR="00000000" w:rsidDel="00000000" w:rsidP="00000000" w:rsidRDefault="00000000" w:rsidRPr="00000000" w14:paraId="00000004">
      <w:pPr>
        <w:ind w:right="-810" w:hanging="810"/>
        <w:rPr/>
      </w:pPr>
      <w:r w:rsidDel="00000000" w:rsidR="00000000" w:rsidRPr="00000000">
        <w:rPr/>
        <w:drawing>
          <wp:inline distB="114300" distT="114300" distL="114300" distR="114300">
            <wp:extent cx="2281238" cy="16118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161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we have ggot these result </w:t>
      </w:r>
    </w:p>
    <w:p w:rsidR="00000000" w:rsidDel="00000000" w:rsidP="00000000" w:rsidRDefault="00000000" w:rsidRPr="00000000" w14:paraId="00000005">
      <w:pPr>
        <w:ind w:right="-810" w:hanging="810"/>
        <w:rPr/>
      </w:pPr>
      <w:r w:rsidDel="00000000" w:rsidR="00000000" w:rsidRPr="00000000">
        <w:rPr>
          <w:rtl w:val="0"/>
        </w:rPr>
        <w:t xml:space="preserve">leiden_tnbc_sub </w:t>
        <w:tab/>
        <w:t xml:space="preserve">count</w:t>
      </w:r>
    </w:p>
    <w:p w:rsidR="00000000" w:rsidDel="00000000" w:rsidP="00000000" w:rsidRDefault="00000000" w:rsidRPr="00000000" w14:paraId="00000006">
      <w:pPr>
        <w:ind w:right="-810" w:hanging="810"/>
        <w:rPr/>
      </w:pPr>
      <w:r w:rsidDel="00000000" w:rsidR="00000000" w:rsidRPr="00000000">
        <w:rPr>
          <w:rtl w:val="0"/>
        </w:rPr>
        <w:t xml:space="preserve">0     </w:t>
        <w:tab/>
        <w:tab/>
        <w:tab/>
        <w:t xml:space="preserve">1963</w:t>
      </w:r>
    </w:p>
    <w:p w:rsidR="00000000" w:rsidDel="00000000" w:rsidP="00000000" w:rsidRDefault="00000000" w:rsidRPr="00000000" w14:paraId="00000007">
      <w:pPr>
        <w:ind w:right="-810" w:hanging="810"/>
        <w:rPr/>
      </w:pPr>
      <w:r w:rsidDel="00000000" w:rsidR="00000000" w:rsidRPr="00000000">
        <w:rPr>
          <w:rtl w:val="0"/>
        </w:rPr>
        <w:t xml:space="preserve">1     </w:t>
        <w:tab/>
        <w:tab/>
        <w:tab/>
        <w:t xml:space="preserve">1212 </w:t>
      </w:r>
    </w:p>
    <w:p w:rsidR="00000000" w:rsidDel="00000000" w:rsidP="00000000" w:rsidRDefault="00000000" w:rsidRPr="00000000" w14:paraId="00000008">
      <w:pPr>
        <w:ind w:right="-810" w:hanging="810"/>
        <w:rPr/>
      </w:pPr>
      <w:r w:rsidDel="00000000" w:rsidR="00000000" w:rsidRPr="00000000">
        <w:rPr>
          <w:rtl w:val="0"/>
        </w:rPr>
        <w:t xml:space="preserve">2     </w:t>
        <w:tab/>
        <w:tab/>
        <w:tab/>
        <w:t xml:space="preserve">1073 </w:t>
      </w:r>
    </w:p>
    <w:p w:rsidR="00000000" w:rsidDel="00000000" w:rsidP="00000000" w:rsidRDefault="00000000" w:rsidRPr="00000000" w14:paraId="00000009">
      <w:pPr>
        <w:ind w:right="-810" w:hanging="810"/>
        <w:rPr/>
      </w:pPr>
      <w:r w:rsidDel="00000000" w:rsidR="00000000" w:rsidRPr="00000000">
        <w:rPr>
          <w:rtl w:val="0"/>
        </w:rPr>
        <w:t xml:space="preserve">3     </w:t>
        <w:tab/>
        <w:tab/>
        <w:tab/>
        <w:t xml:space="preserve">1066 </w:t>
      </w:r>
    </w:p>
    <w:p w:rsidR="00000000" w:rsidDel="00000000" w:rsidP="00000000" w:rsidRDefault="00000000" w:rsidRPr="00000000" w14:paraId="0000000A">
      <w:pPr>
        <w:ind w:right="-810" w:hanging="810"/>
        <w:rPr/>
      </w:pPr>
      <w:r w:rsidDel="00000000" w:rsidR="00000000" w:rsidRPr="00000000">
        <w:rPr>
          <w:rtl w:val="0"/>
        </w:rPr>
        <w:t xml:space="preserve">4     </w:t>
        <w:tab/>
        <w:tab/>
        <w:tab/>
        <w:t xml:space="preserve">1059 </w:t>
      </w:r>
    </w:p>
    <w:p w:rsidR="00000000" w:rsidDel="00000000" w:rsidP="00000000" w:rsidRDefault="00000000" w:rsidRPr="00000000" w14:paraId="0000000B">
      <w:pPr>
        <w:ind w:right="-810" w:hanging="810"/>
        <w:rPr/>
      </w:pPr>
      <w:r w:rsidDel="00000000" w:rsidR="00000000" w:rsidRPr="00000000">
        <w:rPr>
          <w:rtl w:val="0"/>
        </w:rPr>
        <w:t xml:space="preserve">5     </w:t>
        <w:tab/>
        <w:tab/>
        <w:tab/>
        <w:t xml:space="preserve">1013 </w:t>
      </w:r>
    </w:p>
    <w:p w:rsidR="00000000" w:rsidDel="00000000" w:rsidP="00000000" w:rsidRDefault="00000000" w:rsidRPr="00000000" w14:paraId="0000000C">
      <w:pPr>
        <w:ind w:right="-810" w:hanging="810"/>
        <w:rPr/>
      </w:pPr>
      <w:r w:rsidDel="00000000" w:rsidR="00000000" w:rsidRPr="00000000">
        <w:rPr>
          <w:rtl w:val="0"/>
        </w:rPr>
        <w:t xml:space="preserve">6      </w:t>
        <w:tab/>
        <w:tab/>
        <w:tab/>
        <w:t xml:space="preserve">800 </w:t>
      </w:r>
    </w:p>
    <w:p w:rsidR="00000000" w:rsidDel="00000000" w:rsidP="00000000" w:rsidRDefault="00000000" w:rsidRPr="00000000" w14:paraId="0000000D">
      <w:pPr>
        <w:ind w:right="-810" w:hanging="810"/>
        <w:rPr/>
      </w:pPr>
      <w:r w:rsidDel="00000000" w:rsidR="00000000" w:rsidRPr="00000000">
        <w:rPr>
          <w:rtl w:val="0"/>
        </w:rPr>
        <w:t xml:space="preserve">7      </w:t>
        <w:tab/>
        <w:tab/>
        <w:tab/>
        <w:t xml:space="preserve">606 </w:t>
      </w:r>
    </w:p>
    <w:p w:rsidR="00000000" w:rsidDel="00000000" w:rsidP="00000000" w:rsidRDefault="00000000" w:rsidRPr="00000000" w14:paraId="0000000E">
      <w:pPr>
        <w:ind w:right="-810" w:hanging="810"/>
        <w:rPr/>
      </w:pPr>
      <w:r w:rsidDel="00000000" w:rsidR="00000000" w:rsidRPr="00000000">
        <w:rPr>
          <w:rtl w:val="0"/>
        </w:rPr>
        <w:t xml:space="preserve">8      </w:t>
        <w:tab/>
        <w:tab/>
        <w:tab/>
        <w:t xml:space="preserve">181 </w:t>
      </w:r>
    </w:p>
    <w:p w:rsidR="00000000" w:rsidDel="00000000" w:rsidP="00000000" w:rsidRDefault="00000000" w:rsidRPr="00000000" w14:paraId="0000000F">
      <w:pPr>
        <w:ind w:right="-810" w:hanging="810"/>
        <w:rPr/>
      </w:pPr>
      <w:r w:rsidDel="00000000" w:rsidR="00000000" w:rsidRPr="00000000">
        <w:rPr>
          <w:rtl w:val="0"/>
        </w:rPr>
        <w:t xml:space="preserve">9      </w:t>
        <w:tab/>
        <w:tab/>
        <w:tab/>
        <w:t xml:space="preserve">145 </w:t>
      </w:r>
    </w:p>
    <w:p w:rsidR="00000000" w:rsidDel="00000000" w:rsidP="00000000" w:rsidRDefault="00000000" w:rsidRPr="00000000" w14:paraId="00000010">
      <w:pPr>
        <w:ind w:right="-810" w:hanging="810"/>
        <w:rPr/>
      </w:pPr>
      <w:r w:rsidDel="00000000" w:rsidR="00000000" w:rsidRPr="00000000">
        <w:rPr>
          <w:rtl w:val="0"/>
        </w:rPr>
        <w:t xml:space="preserve">10     </w:t>
        <w:tab/>
        <w:tab/>
        <w:tab/>
        <w:t xml:space="preserve">125 </w:t>
      </w:r>
    </w:p>
    <w:p w:rsidR="00000000" w:rsidDel="00000000" w:rsidP="00000000" w:rsidRDefault="00000000" w:rsidRPr="00000000" w14:paraId="00000011">
      <w:pPr>
        <w:ind w:right="-810" w:hanging="810"/>
        <w:rPr/>
      </w:pPr>
      <w:r w:rsidDel="00000000" w:rsidR="00000000" w:rsidRPr="00000000">
        <w:rPr>
          <w:rtl w:val="0"/>
        </w:rPr>
        <w:t xml:space="preserve">11     </w:t>
        <w:tab/>
        <w:tab/>
        <w:tab/>
        <w:t xml:space="preserve">120 </w:t>
      </w:r>
    </w:p>
    <w:p w:rsidR="00000000" w:rsidDel="00000000" w:rsidP="00000000" w:rsidRDefault="00000000" w:rsidRPr="00000000" w14:paraId="00000012">
      <w:pPr>
        <w:ind w:right="-810" w:hanging="810"/>
        <w:rPr/>
      </w:pPr>
      <w:r w:rsidDel="00000000" w:rsidR="00000000" w:rsidRPr="00000000">
        <w:rPr>
          <w:rtl w:val="0"/>
        </w:rPr>
        <w:t xml:space="preserve">12      </w:t>
        <w:tab/>
        <w:tab/>
        <w:tab/>
        <w:t xml:space="preserve">48 </w:t>
      </w:r>
    </w:p>
    <w:p w:rsidR="00000000" w:rsidDel="00000000" w:rsidP="00000000" w:rsidRDefault="00000000" w:rsidRPr="00000000" w14:paraId="00000013">
      <w:pPr>
        <w:ind w:right="-810" w:hanging="810"/>
        <w:rPr/>
      </w:pPr>
      <w:r w:rsidDel="00000000" w:rsidR="00000000" w:rsidRPr="00000000">
        <w:rPr>
          <w:rtl w:val="0"/>
        </w:rPr>
        <w:t xml:space="preserve">13      </w:t>
        <w:tab/>
        <w:tab/>
        <w:tab/>
        <w:t xml:space="preserve">43</w:t>
      </w:r>
    </w:p>
    <w:p w:rsidR="00000000" w:rsidDel="00000000" w:rsidP="00000000" w:rsidRDefault="00000000" w:rsidRPr="00000000" w14:paraId="00000014">
      <w:pPr>
        <w:ind w:right="-810"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810"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-810" w:hanging="81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Differential Gene Expression (DEGs)</w:t>
      </w:r>
    </w:p>
    <w:p w:rsidR="00000000" w:rsidDel="00000000" w:rsidP="00000000" w:rsidRDefault="00000000" w:rsidRPr="00000000" w14:paraId="00000017">
      <w:pPr>
        <w:ind w:right="-810" w:hanging="810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-810" w:hanging="810"/>
        <w:rPr/>
      </w:pPr>
      <w:r w:rsidDel="00000000" w:rsidR="00000000" w:rsidRPr="00000000">
        <w:rPr>
          <w:rtl w:val="0"/>
        </w:rPr>
        <w:t xml:space="preserve">We used wilcoxon method for deg analysis  </w:t>
      </w:r>
    </w:p>
    <w:p w:rsidR="00000000" w:rsidDel="00000000" w:rsidP="00000000" w:rsidRDefault="00000000" w:rsidRPr="00000000" w14:paraId="00000019">
      <w:pPr>
        <w:ind w:right="-810" w:hanging="810"/>
        <w:rPr/>
      </w:pPr>
      <w:r w:rsidDel="00000000" w:rsidR="00000000" w:rsidRPr="00000000">
        <w:rPr/>
        <w:drawing>
          <wp:inline distB="114300" distT="114300" distL="114300" distR="114300">
            <wp:extent cx="1753591" cy="1337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3591" cy="133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810"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810"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810" w:hanging="810"/>
        <w:rPr/>
      </w:pPr>
      <w:r w:rsidDel="00000000" w:rsidR="00000000" w:rsidRPr="00000000">
        <w:rPr>
          <w:rtl w:val="0"/>
        </w:rPr>
        <w:t xml:space="preserve">Top markers in each cluster is analyzed by scores in degs </w:t>
      </w:r>
    </w:p>
    <w:p w:rsidR="00000000" w:rsidDel="00000000" w:rsidP="00000000" w:rsidRDefault="00000000" w:rsidRPr="00000000" w14:paraId="0000001D">
      <w:pPr>
        <w:ind w:right="-810" w:hanging="810"/>
        <w:rPr/>
      </w:pPr>
      <w:r w:rsidDel="00000000" w:rsidR="00000000" w:rsidRPr="00000000">
        <w:rPr>
          <w:rtl w:val="0"/>
        </w:rPr>
        <w:t xml:space="preserve">Scores means </w:t>
      </w:r>
    </w:p>
    <w:p w:rsidR="00000000" w:rsidDel="00000000" w:rsidP="00000000" w:rsidRDefault="00000000" w:rsidRPr="00000000" w14:paraId="0000001E">
      <w:pPr>
        <w:ind w:right="-810" w:hanging="810"/>
        <w:rPr/>
      </w:pPr>
      <w:r w:rsidDel="00000000" w:rsidR="00000000" w:rsidRPr="00000000">
        <w:rPr>
          <w:rtl w:val="0"/>
        </w:rPr>
        <w:t xml:space="preserve">High Score: The gene is expressed in almost every cell in Cluster A and almost no cells in other clusters. </w:t>
      </w:r>
    </w:p>
    <w:p w:rsidR="00000000" w:rsidDel="00000000" w:rsidP="00000000" w:rsidRDefault="00000000" w:rsidRPr="00000000" w14:paraId="0000001F">
      <w:pPr>
        <w:ind w:right="-810" w:hanging="810"/>
        <w:rPr/>
      </w:pPr>
      <w:r w:rsidDel="00000000" w:rsidR="00000000" w:rsidRPr="00000000">
        <w:rPr>
          <w:rtl w:val="0"/>
        </w:rPr>
        <w:t xml:space="preserve">Low Score: The gene's expression is "blurry" and overlaps between clusters.</w:t>
      </w:r>
    </w:p>
    <w:p w:rsidR="00000000" w:rsidDel="00000000" w:rsidP="00000000" w:rsidRDefault="00000000" w:rsidRPr="00000000" w14:paraId="00000020">
      <w:pPr>
        <w:ind w:right="-810" w:hanging="810"/>
        <w:rPr/>
      </w:pPr>
      <w:r w:rsidDel="00000000" w:rsidR="00000000" w:rsidRPr="00000000">
        <w:rPr/>
        <w:drawing>
          <wp:inline distB="114300" distT="114300" distL="114300" distR="114300">
            <wp:extent cx="2671763" cy="1901062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901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1849" cy="204656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1849" cy="204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810"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810" w:hanging="810"/>
        <w:rPr/>
      </w:pPr>
      <w:r w:rsidDel="00000000" w:rsidR="00000000" w:rsidRPr="00000000">
        <w:rPr>
          <w:rtl w:val="0"/>
        </w:rPr>
        <w:t xml:space="preserve">Based on top markers in every subcluster we named the clusters as</w:t>
      </w:r>
    </w:p>
    <w:p w:rsidR="00000000" w:rsidDel="00000000" w:rsidP="00000000" w:rsidRDefault="00000000" w:rsidRPr="00000000" w14:paraId="00000023">
      <w:pPr>
        <w:ind w:right="-810" w:hanging="810"/>
        <w:rPr/>
      </w:pPr>
      <w:r w:rsidDel="00000000" w:rsidR="00000000" w:rsidRPr="00000000">
        <w:rPr>
          <w:rtl w:val="0"/>
        </w:rPr>
        <w:t xml:space="preserve">0: "Luminal-like", 1: "Basal-like/EMT", 2: "Squamous", 3: "Stress Response", 4: "Mesenchymal-like", 5: "Basal Progenitor", 6: "Secretory/Luminal", 7: "Neural/Progenitor", 8: "Stem-like", 9: "Secretory/Apocrine", 10: "Secretory/Lactation", 11: "IFN/Stress", 12: "Myeloid Contam.", 13: "Plasma Cell Contam."</w:t>
      </w:r>
    </w:p>
    <w:p w:rsidR="00000000" w:rsidDel="00000000" w:rsidP="00000000" w:rsidRDefault="00000000" w:rsidRPr="00000000" w14:paraId="00000024">
      <w:pPr>
        <w:ind w:right="-810" w:hanging="81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https://drive.google.com/file/d/14Z-yM8KfDOgoyA6LTRIyYR4DHJ-FkoF_/view?usp=drive_link</w:t>
        </w:r>
      </w:hyperlink>
      <w:r w:rsidDel="00000000" w:rsidR="00000000" w:rsidRPr="00000000">
        <w:rPr>
          <w:rtl w:val="0"/>
        </w:rPr>
        <w:t xml:space="preserve"> - annotated cluster names with all degs </w:t>
      </w:r>
    </w:p>
    <w:p w:rsidR="00000000" w:rsidDel="00000000" w:rsidP="00000000" w:rsidRDefault="00000000" w:rsidRPr="00000000" w14:paraId="00000025">
      <w:pPr>
        <w:ind w:right="-810" w:hanging="81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2460"/>
        <w:gridCol w:w="3330"/>
        <w:tblGridChange w:id="0">
          <w:tblGrid>
            <w:gridCol w:w="3990"/>
            <w:gridCol w:w="2460"/>
            <w:gridCol w:w="33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Cluster (Group)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Total Genes in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3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Significant DEGs (Padj​&lt;0.01,LFC&gt;1)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1 (EMT)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4 (Mesenchymal-like)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8 (Stem-like)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Cluster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1,415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1,415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right="-810" w:hanging="810"/>
        <w:rPr/>
      </w:pPr>
      <w:r w:rsidDel="00000000" w:rsidR="00000000" w:rsidRPr="00000000">
        <w:rPr>
          <w:rtl w:val="0"/>
        </w:rPr>
        <w:t xml:space="preserve">Here we applied thresholds of adjusted p value &lt;0.01 and logfoldvalue&gt;1.0 and saved in that file</w:t>
      </w:r>
    </w:p>
    <w:p w:rsidR="00000000" w:rsidDel="00000000" w:rsidP="00000000" w:rsidRDefault="00000000" w:rsidRPr="00000000" w14:paraId="00000057">
      <w:pPr>
        <w:ind w:right="-810" w:hanging="810"/>
        <w:rPr/>
      </w:pPr>
      <w:r w:rsidDel="00000000" w:rsidR="00000000" w:rsidRPr="00000000">
        <w:rPr/>
        <w:drawing>
          <wp:inline distB="114300" distT="114300" distL="114300" distR="114300">
            <wp:extent cx="2597272" cy="1519238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7272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51222" cy="189416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222" cy="189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-810" w:hanging="8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-810" w:hanging="81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 learning model</w:t>
      </w:r>
    </w:p>
    <w:p w:rsidR="00000000" w:rsidDel="00000000" w:rsidP="00000000" w:rsidRDefault="00000000" w:rsidRPr="00000000" w14:paraId="0000005A">
      <w:pPr>
        <w:ind w:right="-810" w:hanging="810"/>
        <w:rPr/>
      </w:pPr>
      <w:r w:rsidDel="00000000" w:rsidR="00000000" w:rsidRPr="00000000">
        <w:rPr>
          <w:rtl w:val="0"/>
        </w:rPr>
        <w:t xml:space="preserve">We have done leiden clustering and named using top markers after doing degs… to validate this we can use our model </w:t>
      </w:r>
    </w:p>
    <w:p w:rsidR="00000000" w:rsidDel="00000000" w:rsidP="00000000" w:rsidRDefault="00000000" w:rsidRPr="00000000" w14:paraId="0000005B">
      <w:pPr>
        <w:ind w:right="-810" w:hanging="810"/>
        <w:rPr/>
      </w:pPr>
      <w:r w:rsidDel="00000000" w:rsidR="00000000" w:rsidRPr="00000000">
        <w:rPr>
          <w:rtl w:val="0"/>
        </w:rPr>
        <w:t xml:space="preserve">the final dataset consisted of 9,454 individual cells and 3,012 highly variable genes.</w:t>
      </w:r>
    </w:p>
    <w:p w:rsidR="00000000" w:rsidDel="00000000" w:rsidP="00000000" w:rsidRDefault="00000000" w:rsidRPr="00000000" w14:paraId="0000005C">
      <w:pPr>
        <w:ind w:right="-810" w:hanging="810"/>
        <w:rPr/>
      </w:pPr>
      <w:r w:rsidDel="00000000" w:rsidR="00000000" w:rsidRPr="00000000">
        <w:rPr>
          <w:rtl w:val="0"/>
        </w:rPr>
        <w:t xml:space="preserve">We used label encoder and as well as fit transform - for standardizing </w:t>
      </w:r>
    </w:p>
    <w:p w:rsidR="00000000" w:rsidDel="00000000" w:rsidP="00000000" w:rsidRDefault="00000000" w:rsidRPr="00000000" w14:paraId="0000005D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Experimental Setup: </w:t>
      </w:r>
    </w:p>
    <w:p w:rsidR="00000000" w:rsidDel="00000000" w:rsidP="00000000" w:rsidRDefault="00000000" w:rsidRPr="00000000" w14:paraId="0000005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Total Samples: 9,454 cells. Input Features: 3,012 genes. </w:t>
      </w:r>
    </w:p>
    <w:p w:rsidR="00000000" w:rsidDel="00000000" w:rsidP="00000000" w:rsidRDefault="00000000" w:rsidRPr="00000000" w14:paraId="0000005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Train/Test Split: 80% Training (7,563 cells) and 20% Testing (1,891 cells)</w:t>
      </w:r>
    </w:p>
    <w:p w:rsidR="00000000" w:rsidDel="00000000" w:rsidP="00000000" w:rsidRDefault="00000000" w:rsidRPr="00000000" w14:paraId="00000060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Input Layer (3,012 neurons): Matches your feature set (the 3,012 highly variable genes). Each neuron represents the expression level of a single gene for one cell.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Hidden Layer 1 (512 neurons): A wide linear layer that captures the initial complex relationships between thousands of genes.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Activation (ReLU): Introduces non-linearity, allowing the AI to understand that gene interactions aren't just simple additions; they are complex biological switches.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Dropout (0.3): A critical "regularization" step where 30% of neurons are randomly deactivated during each training step. This forces the model to not rely on any single gene but to learn a robust "fingerprint" of the cluster.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Hidden Layer 2 (128 neurons): Further compresses the information into a more abstract representation of the cell state.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Output Layer (14 neurons): Corresponds to your 14 subclusters. It outputs raw "logits" which are then processed by the Loss Function to determine the most likely cell identity.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our DEG analysis found the markers, the </w:t>
      </w:r>
      <w:r w:rsidDel="00000000" w:rsidR="00000000" w:rsidRPr="00000000">
        <w:rPr>
          <w:b w:val="1"/>
          <w:bCs w:val="1"/>
          <w:rtl w:val="0"/>
        </w:rPr>
        <w:t xml:space="preserve">Deep Learning Model</w:t>
      </w:r>
      <w:r w:rsidDel="00000000" w:rsidR="00000000" w:rsidRPr="00000000">
        <w:rPr>
          <w:rtl w:val="0"/>
        </w:rPr>
        <w:t xml:space="preserve"> proves their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Accuracy (94.07%)</w:t>
      </w:r>
      <w:r w:rsidDel="00000000" w:rsidR="00000000" w:rsidRPr="00000000">
        <w:rPr>
          <w:rtl w:val="0"/>
        </w:rPr>
        <w:t xml:space="preserve">: This proves the clusters are "Real." If the sub-populations were noise or poorly defined, the model would fail to distinguish them (accuracy would be low).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: By running 5-Fold Cross-Validation, you proved that this accuracy isn't a fluke. It is consistent across different subsets of your data, showing the biological signature is stable.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Importance</w:t>
      </w:r>
      <w:r w:rsidDel="00000000" w:rsidR="00000000" w:rsidRPr="00000000">
        <w:rPr>
          <w:rtl w:val="0"/>
        </w:rPr>
        <w:t xml:space="preserve">: By extracting the weights, you identified which genes the AI "values" most. This provides a second, unbiased confirmation of your markers.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Interpretation</w:t>
      </w:r>
      <w:r w:rsidDel="00000000" w:rsidR="00000000" w:rsidRPr="00000000">
        <w:rPr>
          <w:rtl w:val="0"/>
        </w:rPr>
        <w:t xml:space="preserve">: Extracting weight importance confirmed that the AI prioritized genes like </w:t>
      </w:r>
      <w:r w:rsidDel="00000000" w:rsidR="00000000" w:rsidRPr="00000000">
        <w:rPr>
          <w:b w:val="1"/>
          <w:bCs w:val="1"/>
          <w:rtl w:val="0"/>
        </w:rPr>
        <w:t xml:space="preserve">DLK1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FDCSP</w:t>
      </w:r>
      <w:r w:rsidDel="00000000" w:rsidR="00000000" w:rsidRPr="00000000">
        <w:rPr>
          <w:rtl w:val="0"/>
        </w:rPr>
        <w:t xml:space="preserve">, directly aligning with the biologically identified markers for the Stem-like and EMT clusters.</w:t>
      </w:r>
    </w:p>
    <w:p w:rsidR="00000000" w:rsidDel="00000000" w:rsidP="00000000" w:rsidRDefault="00000000" w:rsidRPr="00000000" w14:paraId="0000006C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70616" cy="218446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616" cy="2184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Pathway analysis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Using the GSEApy library, you performed an Over-Representation Analysis (ORA). Here is the technical breakdown of your steps: 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Gene Selection: You applied a stricter biological filter than the raw DEGs, focusing only on genes with a Log Fold Change &gt; 1.5 and an Adjusted P-value &lt; 0.01.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Databases Used: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KEGG (2021): Maps genes to molecular interaction and reaction networks.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Reactome (2022): Maps genes to detailed biological pathways and signal transduction events.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Ranking: Results were ranked by their Adjusted P-value to ensure that the identified pathways were statistically robust.</w:t>
      </w:r>
    </w:p>
    <w:p w:rsidR="00000000" w:rsidDel="00000000" w:rsidP="00000000" w:rsidRDefault="00000000" w:rsidRPr="00000000" w14:paraId="00000074">
      <w:pPr>
        <w:spacing w:after="24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  <w:t xml:space="preserve"> Basal like / emt with 32 genes-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https://drive.google.com/file/d/1IaKqsgsAO2VxaoBouWSbXeFxGxO-oZux/view?usp=drive_link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2981840" cy="141446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840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 Stemlike with 32 genes-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https://drive.google.com/file/d/1N54fjr4AlEAu5GwpCAleSZpytSwMcsN3/view?usp=drive_link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86063" cy="15760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57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Mesenchymal-like with 200 genes-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https://drive.google.com/file/d/1FTbaT5jQczl5NTQrY0LjtIpw6hAnhpza/view?usp=drive_link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  <w:drawing>
          <wp:inline distB="114300" distT="114300" distL="114300" distR="114300">
            <wp:extent cx="3821103" cy="1616621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1103" cy="1616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haouahz9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Basal-like / EMT (Cluster 1)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Pathway:</w:t>
      </w:r>
      <w:r w:rsidDel="00000000" w:rsidR="00000000" w:rsidRPr="00000000">
        <w:rPr>
          <w:rtl w:val="0"/>
        </w:rPr>
        <w:t xml:space="preserve"> Classical Antibody-Mediated Complement Activation (Padj=0.000189)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Genes:</w:t>
      </w:r>
      <w:r w:rsidDel="00000000" w:rsidR="00000000" w:rsidRPr="00000000">
        <w:rPr>
          <w:rtl w:val="0"/>
        </w:rPr>
        <w:t xml:space="preserve"> C1QA, C1QB, C1QC, CXCL10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The EMT state in TNBC cells appears strongly linked to immune modulation and chemokine signaling. This suggests a mechanism by which tumor cells may evade immune detection while simultaneously promoting local invasion.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molughm0m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Mesenchymal-like (Cluster 4)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Pathway: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Extracellular Matrix (ECM) Organization (Padj=2.4×10−39)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Genes:</w:t>
      </w:r>
      <w:r w:rsidDel="00000000" w:rsidR="00000000" w:rsidRPr="00000000">
        <w:rPr>
          <w:rtl w:val="0"/>
        </w:rPr>
        <w:t xml:space="preserve"> COL18A1, MCAM, MMP2, FN1, LOX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This cluster shows the most statistically significant enrichment, highlighting its role in remodeling the tumor microenvironment. Elevated expression of collagens and matrix metalloproteinases indicates a highly invasive phenotype, actively reshaping the structural framework of the tissue.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4l0726lcc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Stem-like (Cluster 8)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Pathway:</w:t>
      </w:r>
      <w:r w:rsidDel="00000000" w:rsidR="00000000" w:rsidRPr="00000000">
        <w:rPr>
          <w:rtl w:val="0"/>
        </w:rPr>
        <w:t xml:space="preserve"> Estrogen-dependent Gene Expression / Nuclear Receptor Signaling (Padj=0.003)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Genes:</w:t>
      </w:r>
      <w:r w:rsidDel="00000000" w:rsidR="00000000" w:rsidRPr="00000000">
        <w:rPr>
          <w:rtl w:val="0"/>
        </w:rPr>
        <w:t xml:space="preserve"> FOXA1, TFF3, FOS, DLK1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Despite being triple-negative, this cluster demonstrates reliance on nuclear receptor signaling pathways. The presence of stem-like features suggests alternative endocrine-like mechanisms that support survival and self-renewal, pointing toward potential vulnerabilities for non-chemotherapy-based interventions.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Repurposing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(sub_df['logfoldchanges'] &gt; 1.5) &amp; (sub_df['pvals_adj'] &lt; 0.01)</w:t>
      </w:r>
    </w:p>
    <w:tbl>
      <w:tblPr>
        <w:tblStyle w:val="Table2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730"/>
        <w:tblGridChange w:id="0">
          <w:tblGrid>
            <w:gridCol w:w="1935"/>
            <w:gridCol w:w="27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Targeted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Signature Genes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EMT (Cluster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77 Genes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Mesenchymal (Cluster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200 Genes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Stem-like (Cluster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32 Genes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EMT-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https://drive.google.com/file/d/1rsxThBI3o-Iklz3DDJmW7zlDsI4UnDoj/view?usp=drive_link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Mesenchymal-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https://drive.google.com/file/d/1ZDa6r-yWlgmlKnplzQ5Jtt2m7DhFWj3X/view?usp=drive_link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Stemlike-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https://drive.google.com/file/d/13L0DD4PkXT7yYfLusl3WDl5aU8MMizIh/view?usp=drive_link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50338" cy="26050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338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54510" cy="260853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4510" cy="2608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62795" cy="2621511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795" cy="2621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API:- </w:t>
      </w:r>
      <w:r w:rsidDel="00000000" w:rsidR="00000000" w:rsidRPr="00000000">
        <w:rPr>
          <w:rtl w:val="0"/>
        </w:rPr>
        <w:t xml:space="preserve">we used DGIdb GraphQL API through this we can access  FDA, ChEMBL, TTD (Therapeutic Target Database), and clinical trials. Databses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blctmvrd3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Results (The "Shortlist")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Interactions Found: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1,545</w:t>
      </w:r>
      <w:r w:rsidDel="00000000" w:rsidR="00000000" w:rsidRPr="00000000">
        <w:rPr>
          <w:rtl w:val="0"/>
        </w:rPr>
        <w:t xml:space="preserve"> potential drug-gene matches.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Diversity:</w:t>
      </w:r>
      <w:r w:rsidDel="00000000" w:rsidR="00000000" w:rsidRPr="00000000">
        <w:rPr>
          <w:rtl w:val="0"/>
        </w:rPr>
        <w:t xml:space="preserve"> We identified </w:t>
      </w:r>
      <w:r w:rsidDel="00000000" w:rsidR="00000000" w:rsidRPr="00000000">
        <w:rPr>
          <w:b w:val="1"/>
          <w:bCs w:val="1"/>
          <w:rtl w:val="0"/>
        </w:rPr>
        <w:t xml:space="preserve">1,229 unique drugs</w:t>
      </w:r>
      <w:r w:rsidDel="00000000" w:rsidR="00000000" w:rsidRPr="00000000">
        <w:rPr>
          <w:rtl w:val="0"/>
        </w:rPr>
        <w:t xml:space="preserve"> targeting </w:t>
      </w:r>
      <w:r w:rsidDel="00000000" w:rsidR="00000000" w:rsidRPr="00000000">
        <w:rPr>
          <w:b w:val="1"/>
          <w:bCs w:val="1"/>
          <w:rtl w:val="0"/>
        </w:rPr>
        <w:t xml:space="preserve">130 specific genes</w:t>
      </w:r>
      <w:r w:rsidDel="00000000" w:rsidR="00000000" w:rsidRPr="00000000">
        <w:rPr>
          <w:rtl w:val="0"/>
        </w:rPr>
        <w:t xml:space="preserve"> across the three clusters.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https://drive.google.com/file/d/1vGdkIq2UBnaqVJLN9YJUlPUHPqriny_z/view?usp=drive_link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Clinical Refinement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Therapeutic Intent Filtering: You filtered the results to only include inhibitors and antagonists. In cancer therapy, we want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shut down</w:t>
      </w:r>
      <w:r w:rsidDel="00000000" w:rsidR="00000000" w:rsidRPr="00000000">
        <w:rPr>
          <w:sz w:val="24"/>
          <w:szCs w:val="24"/>
          <w:rtl w:val="0"/>
        </w:rPr>
        <w:t xml:space="preserve"> the aggressive genes. This removed "agonists" (which might accidentally fuel the tumor) and ambiguous results.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Evidence-Based Selection: You prioritized drugs from ChEMBL and the Therapeutic Target Database (TTD). These databases are the industry standards for drugs that have been validated in laboratories or reached human clinical trials.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Prioritization: You sorted the candidates by their Interaction Score, ensuring that the drugs with the strongest biological and clinical evidence rose to the top of your list.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Candidates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133</w:t>
      </w:r>
      <w:r w:rsidDel="00000000" w:rsidR="00000000" w:rsidRPr="00000000">
        <w:rPr>
          <w:sz w:val="24"/>
          <w:szCs w:val="24"/>
          <w:rtl w:val="0"/>
        </w:rPr>
        <w:t xml:space="preserve"> unique drug-gene interactions.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Breakdown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Mesenchymal-like (112 leads)</w:t>
      </w:r>
      <w:r w:rsidDel="00000000" w:rsidR="00000000" w:rsidRPr="00000000">
        <w:rPr>
          <w:sz w:val="24"/>
          <w:szCs w:val="24"/>
          <w:rtl w:val="0"/>
        </w:rPr>
        <w:t xml:space="preserve">: This cluster had the most targets, led by drugs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ABX-MA1</w:t>
      </w:r>
      <w:r w:rsidDel="00000000" w:rsidR="00000000" w:rsidRPr="00000000">
        <w:rPr>
          <w:sz w:val="24"/>
          <w:szCs w:val="24"/>
          <w:rtl w:val="0"/>
        </w:rPr>
        <w:t xml:space="preserve"> (targeting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MCAM</w:t>
      </w:r>
      <w:r w:rsidDel="00000000" w:rsidR="00000000" w:rsidRPr="00000000">
        <w:rPr>
          <w:sz w:val="24"/>
          <w:szCs w:val="24"/>
          <w:rtl w:val="0"/>
        </w:rPr>
        <w:t xml:space="preserve">)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DULIGOTUZUMAB</w:t>
      </w:r>
      <w:r w:rsidDel="00000000" w:rsidR="00000000" w:rsidRPr="00000000">
        <w:rPr>
          <w:sz w:val="24"/>
          <w:szCs w:val="24"/>
          <w:rtl w:val="0"/>
        </w:rPr>
        <w:t xml:space="preserve"> (targeting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EGFL7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EMT (13 leads)</w:t>
      </w:r>
      <w:r w:rsidDel="00000000" w:rsidR="00000000" w:rsidRPr="00000000">
        <w:rPr>
          <w:sz w:val="24"/>
          <w:szCs w:val="24"/>
          <w:rtl w:val="0"/>
        </w:rPr>
        <w:t xml:space="preserve">: Highly specific targets identified,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BHQ-880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DKN-01</w:t>
      </w:r>
      <w:r w:rsidDel="00000000" w:rsidR="00000000" w:rsidRPr="00000000">
        <w:rPr>
          <w:sz w:val="24"/>
          <w:szCs w:val="24"/>
          <w:rtl w:val="0"/>
        </w:rPr>
        <w:t xml:space="preserve"> (targeting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DKK1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Stem-like (8 leads)</w:t>
      </w:r>
      <w:r w:rsidDel="00000000" w:rsidR="00000000" w:rsidRPr="00000000">
        <w:rPr>
          <w:sz w:val="24"/>
          <w:szCs w:val="24"/>
          <w:rtl w:val="0"/>
        </w:rPr>
        <w:t xml:space="preserve">: Rare but critical targets,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FLETIKUMAB</w:t>
      </w:r>
      <w:r w:rsidDel="00000000" w:rsidR="00000000" w:rsidRPr="00000000">
        <w:rPr>
          <w:sz w:val="24"/>
          <w:szCs w:val="24"/>
          <w:rtl w:val="0"/>
        </w:rPr>
        <w:t xml:space="preserve"> (targeting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IL20</w:t>
      </w:r>
      <w:r w:rsidDel="00000000" w:rsidR="00000000" w:rsidRPr="00000000">
        <w:rPr>
          <w:sz w:val="24"/>
          <w:szCs w:val="24"/>
          <w:rtl w:val="0"/>
        </w:rPr>
        <w:t xml:space="preserve">)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ROXADUSTAT</w:t>
      </w:r>
      <w:r w:rsidDel="00000000" w:rsidR="00000000" w:rsidRPr="00000000">
        <w:rPr>
          <w:sz w:val="24"/>
          <w:szCs w:val="24"/>
          <w:rtl w:val="0"/>
        </w:rPr>
        <w:t xml:space="preserve"> (targeting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EGLN3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https://drive.google.com/file/d/1K-qQqqaPwkgdhxfWWT6_pfS5YWc2CAdC/view?usp=drive_link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FINDINGS</w:t>
      </w:r>
    </w:p>
    <w:p w:rsidR="00000000" w:rsidDel="00000000" w:rsidP="00000000" w:rsidRDefault="00000000" w:rsidRPr="00000000" w14:paraId="000000B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Ultra-High Resolution Mapping: While many studies broadly categorize TNBC, we identified 14 mathematically distinct subclusters within the epithelial population. This proves that TNBC is far more heterogeneous than previously mapped.</w:t>
      </w:r>
    </w:p>
    <w:p w:rsidR="00000000" w:rsidDel="00000000" w:rsidP="00000000" w:rsidRDefault="00000000" w:rsidRPr="00000000" w14:paraId="000000B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Mathematical Proof of Identity: We achieved a 94.07% accuracy using a Deep Learning classifier. This is a "new" standard of validation, proving that these 14 sub-populations are not just random noise but have stable, unique transcriptomic "barcodes."</w:t>
      </w:r>
    </w:p>
    <w:p w:rsidR="00000000" w:rsidDel="00000000" w:rsidP="00000000" w:rsidRDefault="00000000" w:rsidRPr="00000000" w14:paraId="000000B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"Immune-EMT" Link: We discovered that the EMT state (Cluster 1) isn't just about movement; it is driven by Classical Complement Activation (P = 1.8 times 10^{-4}). This suggests the EMT cells are actively using immune-system proteins to survive and migrate.</w:t>
      </w:r>
    </w:p>
    <w:p w:rsidR="00000000" w:rsidDel="00000000" w:rsidP="00000000" w:rsidRDefault="00000000" w:rsidRPr="00000000" w14:paraId="000000B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Mesenchymal "Matrix Engine": We found that the Mesenchymal-like state (Cluster 4) is the primary architect of the tumor. Its Extracellular Matrix Organization signature was statistically massive (P = 2.4 times 10^{-39}), identifying genes like MCAM and COL5A3 as the "structural backbone" of TNBC invasion.</w:t>
      </w:r>
    </w:p>
    <w:p w:rsidR="00000000" w:rsidDel="00000000" w:rsidP="00000000" w:rsidRDefault="00000000" w:rsidRPr="00000000" w14:paraId="000000B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Stem-like "Hidden" Receptors: Even though TNBC is traditionally Estrogen-Receptor negative, we found that the Stem-like cluster (Cluster 8) is driven by Nuclear Receptor Signaling and Estrogen-dependent gene expression (via FOXA1 and TFF3). This reveals a "hidden" endocrine-like vulnerability in cells that typically resist standard treatment.</w:t>
      </w:r>
    </w:p>
    <w:p w:rsidR="00000000" w:rsidDel="00000000" w:rsidP="00000000" w:rsidRDefault="00000000" w:rsidRPr="00000000" w14:paraId="000000B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Actionable Drug Roadmap: We converted these signatures into a clinical strategy, identifying 133 high-priority drug leads.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Leads for EMT: Identified BHQ-880 (targeting DKK1).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Leads for Mesenchymal: Identified ABX-MA1 (targeting MCAM).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Leads for Stem-like: Identified FLETIKUMAB (targeting IL20).</w:t>
      </w:r>
    </w:p>
    <w:tbl>
      <w:tblPr>
        <w:tblStyle w:val="Table3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2520"/>
        <w:tblGridChange w:id="0">
          <w:tblGrid>
            <w:gridCol w:w="1500"/>
            <w:gridCol w:w="1500"/>
            <w:gridCol w:w="1500"/>
            <w:gridCol w:w="25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Target Gene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Lead Drug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3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Interaction Score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DKK1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BHQ-880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11.6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Mesenchymal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ABX-MA1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Stem-like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IL20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FLETIKUMAB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52.2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-810" w:hanging="81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rsxThBI3o-Iklz3DDJmW7zlDsI4UnDoj/view?usp=drive_link" TargetMode="External"/><Relationship Id="rId22" Type="http://schemas.openxmlformats.org/officeDocument/2006/relationships/hyperlink" Target="https://drive.google.com/file/d/13L0DD4PkXT7yYfLusl3WDl5aU8MMizIh/view?usp=drive_link" TargetMode="External"/><Relationship Id="rId21" Type="http://schemas.openxmlformats.org/officeDocument/2006/relationships/hyperlink" Target="https://drive.google.com/file/d/1ZDa6r-yWlgmlKnplzQ5Jtt2m7DhFWj3X/view?usp=drive_link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drive.google.com/file/d/1vGdkIq2UBnaqVJLN9YJUlPUHPqriny_z/view?usp=drive_link" TargetMode="External"/><Relationship Id="rId25" Type="http://schemas.openxmlformats.org/officeDocument/2006/relationships/image" Target="media/image13.png"/><Relationship Id="rId27" Type="http://schemas.openxmlformats.org/officeDocument/2006/relationships/hyperlink" Target="https://drive.google.com/file/d/1K-qQqqaPwkgdhxfWWT6_pfS5YWc2CAdC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hyperlink" Target="https://drive.google.com/file/d/14Z-yM8KfDOgoyA6LTRIyYR4DHJ-FkoF_/view?usp=drive_link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hyperlink" Target="https://drive.google.com/file/d/1IaKqsgsAO2VxaoBouWSbXeFxGxO-oZux/view?usp=drive_link" TargetMode="External"/><Relationship Id="rId17" Type="http://schemas.openxmlformats.org/officeDocument/2006/relationships/image" Target="media/image4.png"/><Relationship Id="rId16" Type="http://schemas.openxmlformats.org/officeDocument/2006/relationships/hyperlink" Target="https://drive.google.com/file/d/1N54fjr4AlEAu5GwpCAleSZpytSwMcsN3/view?usp=drive_link" TargetMode="External"/><Relationship Id="rId19" Type="http://schemas.openxmlformats.org/officeDocument/2006/relationships/image" Target="media/image12.png"/><Relationship Id="rId18" Type="http://schemas.openxmlformats.org/officeDocument/2006/relationships/hyperlink" Target="https://drive.google.com/file/d/1FTbaT5jQczl5NTQrY0LjtIpw6hAnhpza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