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ar9rrldwwj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tyxs6siom7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 Template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6.3157894736843"/>
        <w:gridCol w:w="1915.7894736842104"/>
        <w:gridCol w:w="6677.894736842105"/>
        <w:tblGridChange w:id="0">
          <w:tblGrid>
            <w:gridCol w:w="766.3157894736843"/>
            <w:gridCol w:w="1915.7894736842104"/>
            <w:gridCol w:w="6677.89473684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Educational institutions often rely on manual or partially digital admission processes, resulting in delays, repetitive administrative work, limited application tracking, and difficulty in managing a large number of student inquiries efficiently.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AI-Enabled Student Admissions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using the Salesforce Platform to streamline the admission process. The system enables online student registration, application submission, document management, real-time application tracking, AI-powered query resolution using Salesforce Agentforce AI, and workflow automation for admission officers.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solution integrates Salesforce CRM, Agentforce AI, and workflow automation into a single platform. It offers AI-powered student assistance, automated admission workflows, centralized data management, and real-time application tracking, enhancing both efficiency and user experience.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improves transparency and accessibility by allowing students to apply online, track application status, and receive instant AI-based support. It also reduces administrative workload, improves operational efficiency, and enhances the overall admission experience for educational institutions.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can be offered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Software-as-a-Service (SaaS)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solution for schools, colleges, and universities through subscription-based licensing. Additional revenue can be generated through premium features, AI-powered analytics, custom integrations, training, and maintenance services.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on the Salesforce Cloud Platform, the system is highly scalable and can support multiple institutions, departments, and thousands of student applications. Its cloud-based architecture ensures high availability, secure data management, and seamless performance as the number of users grows.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