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15. 🗣️ Technical Communication &amp; Behavioral Interviews</w:t>
      </w:r>
    </w:p>
    <w:p>
      <w:pPr>
        <w:pStyle w:val="BodyText"/>
        <w:bidi w:val="0"/>
        <w:rPr/>
      </w:pPr>
      <w:r>
        <w:rPr/>
        <w:t>Technical interviews aren't only about code.</w:t>
      </w:r>
    </w:p>
    <w:p>
      <w:pPr>
        <w:pStyle w:val="BodyText"/>
        <w:bidi w:val="0"/>
        <w:rPr/>
      </w:pPr>
      <w:r>
        <w:rPr/>
        <w:t>We'll practice: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Tell me about yourself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Explain your project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Explain your approach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Thinking aloud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Handling hints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Handling unknown questions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STAR method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Strengths/weaknesses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Teamwork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Conflict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Leadership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Failure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Why this company?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Why should we hire you?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61</Words>
  <Characters>317</Characters>
  <CharactersWithSpaces>360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2026-09-23T00:58:31Z</dcterms:created>
  <dc:creator/>
  <dc:description/>
  <dc:language>en-US</dc:language>
  <cp:lastModifiedBy/>
  <dcterms:modified xsi:type="dcterms:W3CDTF">2026-09-23T00:58:36Z</dcterms:modified>
  <cp:revision>1</cp:revision>
  <dc:subject/>
  <dc:title/>
</cp:coreProperties>
</file>