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4E78"/>
          <w:sz w:val="44"/>
          <w:szCs w:val="44"/>
        </w:rPr>
        <w:t xml:space="preserve">Structured Database vs. Embeddings/RAG</w:t>
      </w:r>
    </w:p>
    <w:p>
      <w:pPr>
        <w:spacing w:after="400"/>
      </w:pPr>
      <w:r>
        <w:rPr>
          <w:i/>
          <w:iCs/>
          <w:color w:val="595959"/>
          <w:sz w:val="26"/>
          <w:szCs w:val="26"/>
        </w:rPr>
        <w:t xml:space="preserve">A Data Architecture Guide for the North India Pesticide Reference System</w:t>
      </w:r>
    </w:p>
    <w:p>
      <w:pPr>
        <w:pStyle w:val="Heading1"/>
        <w:spacing w:after="160" w:before="320"/>
      </w:pPr>
      <w:r>
        <w:t xml:space="preserve">1. Purpose of This Document</w:t>
      </w:r>
    </w:p>
    <w:p>
      <w:pPr>
        <w:spacing w:after="160"/>
      </w:pPr>
      <w:r>
        <w:t xml:space="preserve">This document explains, in detail, which pieces of agricultural pesticide/product information should live in a traditional structured database and which should be stored using embeddings and retrieval-augmented generation (RAG). It uses the pesticide reference spreadsheet built earlier in this project (Pesticide Reference and Sources sheets) as the running example, so the recommendations map directly onto real fields already in use.</w:t>
      </w:r>
    </w:p>
    <w:p>
      <w:pPr>
        <w:spacing w:after="160"/>
      </w:pPr>
      <w:r>
        <w:t xml:space="preserve">The short version: information that is short, discrete, and needs exact filtering belongs in a structured database. Information that is long, free-form, and needs to be understood by meaning rather than matched exactly belongs in embeddings. Most real systems need both, connected together.</w:t>
      </w:r>
    </w:p>
    <w:p>
      <w:pPr>
        <w:pStyle w:val="Heading1"/>
        <w:spacing w:after="160" w:before="320"/>
      </w:pPr>
      <w:r>
        <w:t xml:space="preserve">2. Structured Database</w:t>
      </w:r>
    </w:p>
    <w:p>
      <w:pPr>
        <w:pStyle w:val="Heading2"/>
        <w:spacing w:after="120" w:before="260"/>
      </w:pPr>
      <w:r>
        <w:t xml:space="preserve">2.1 What Goes Here</w:t>
      </w:r>
    </w:p>
    <w:p>
      <w:pPr>
        <w:spacing w:after="160"/>
      </w:pPr>
      <w:r>
        <w:t xml:space="preserve">Structured databases (relational — e.g., PostgreSQL, MySQL — or structured NoSQL) store information that fits neatly into fixed columns with a small, well-defined set of possible values or a consistent numeric/date format.</w:t>
      </w:r>
    </w:p>
    <w:p>
      <w:pPr>
        <w:spacing w:after="120"/>
      </w:pPr>
      <w:r>
        <w:rPr>
          <w:b/>
          <w:bCs/>
        </w:rPr>
        <w:t xml:space="preserve">Core fields for this project: </w:t>
      </w:r>
      <w:r>
        <w:t xml:space="preserve">Pesticide ID, Product Name, Company/Manufacturer, Crop, Disease/Pest, Pesticide Type, Formulation, Dosage/Rate, Packaging, Price, Availability, CIBRC Approval Status, and the Source ID foreign key linking to the Sources table.</w:t>
      </w:r>
    </w:p>
    <w:p>
      <w:pPr>
        <w:pStyle w:val="Heading2"/>
        <w:spacing w:after="120" w:before="260"/>
      </w:pPr>
      <w:r>
        <w:t xml:space="preserve">2.2 Field-by-Field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Field</w:t>
            </w:r>
          </w:p>
        </w:tc>
        <w:tc>
          <w:tcPr>
            <w:tcW w:type="dxa" w:w="220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Example Value</w:t>
            </w:r>
          </w:p>
        </w:tc>
        <w:tc>
          <w:tcPr>
            <w:tcW w:type="dxa" w:w="496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Why It Belongs in a Structured Database</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Pesticide ID</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P001</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Unique key; needed for joins with Sources table and for referential integrity.</w:t>
            </w:r>
          </w:p>
        </w:tc>
      </w:tr>
      <w:tr>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Product Name</w:t>
            </w:r>
          </w:p>
        </w:tc>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Tilt / Bumper</w:t>
            </w:r>
          </w:p>
        </w:tc>
        <w:tc>
          <w:tcPr>
            <w:tcW w:type="dxa" w:w="496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Fixed, short value used for exact lookups and inventory matching.</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Company / Manufacturer</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Syngenta (example)</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Enumerable entity; supports filtering, grouping, and vendor-level reporting.</w:t>
            </w:r>
          </w:p>
        </w:tc>
      </w:tr>
      <w:tr>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Crop</w:t>
            </w:r>
          </w:p>
        </w:tc>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Wheat</w:t>
            </w:r>
          </w:p>
        </w:tc>
        <w:tc>
          <w:tcPr>
            <w:tcW w:type="dxa" w:w="496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Categorical field; must support exact-match filters like 'crop = Wheat'.</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Disease / Pest</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Yellow rust</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Categorical, standardized (often mapped to a controlled vocabulary/taxonomy ID).</w:t>
            </w:r>
          </w:p>
        </w:tc>
      </w:tr>
      <w:tr>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Pesticide Type</w:t>
            </w:r>
          </w:p>
        </w:tc>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Fungicide (Triazole)</w:t>
            </w:r>
          </w:p>
        </w:tc>
        <w:tc>
          <w:tcPr>
            <w:tcW w:type="dxa" w:w="496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Fixed set of categories; used for faceted search and compliance rules.</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Formulation</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25 EC</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Short structured code; combined with dosage math (e.g., ml/acre calculations).</w:t>
            </w:r>
          </w:p>
        </w:tc>
      </w:tr>
      <w:tr>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Dosage / Rate</w:t>
            </w:r>
          </w:p>
        </w:tc>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200 ml/acre</w:t>
            </w:r>
          </w:p>
        </w:tc>
        <w:tc>
          <w:tcPr>
            <w:tcW w:type="dxa" w:w="496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Numeric + unit; needs range queries and calculator logic, not text search.</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Packaging</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500 ml bottle</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Enumerable SKU attribute tied to inventory and pricing.</w:t>
            </w:r>
          </w:p>
        </w:tc>
      </w:tr>
      <w:tr>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Price</w:t>
            </w:r>
          </w:p>
        </w:tc>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₹450</w:t>
            </w:r>
          </w:p>
        </w:tc>
        <w:tc>
          <w:tcPr>
            <w:tcW w:type="dxa" w:w="496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Numeric; needs sorting, filtering, and aggregation (avg price, price trend).</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Availability</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In stock — Punjab region</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Boolean/enum plus location; needs live updates and exact filtering.</w:t>
            </w:r>
          </w:p>
        </w:tc>
      </w:tr>
      <w:tr>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CIBRC Approval Status</w:t>
            </w:r>
          </w:p>
        </w:tc>
        <w:tc>
          <w:tcPr>
            <w:tcW w:type="dxa" w:w="220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Approved</w:t>
            </w:r>
          </w:p>
        </w:tc>
        <w:tc>
          <w:tcPr>
            <w:tcW w:type="dxa" w:w="4960"/>
            <w:tcBorders>
              <w:top w:val="single" w:color="D9D9D9" w:sz="2"/>
              <w:left w:val="single" w:color="D9D9D9" w:sz="2"/>
              <w:bottom w:val="single" w:color="D9D9D9" w:sz="2"/>
              <w:right w:val="single" w:color="D9D9D9" w:sz="2"/>
            </w:tcBorders>
            <w:shd w:fill="DCE6F1" w:color="auto" w:val="clear"/>
            <w:tcMar>
              <w:top w:type="dxa" w:w="100"/>
              <w:left w:type="dxa" w:w="120"/>
              <w:bottom w:type="dxa" w:w="100"/>
              <w:right w:type="dxa" w:w="120"/>
            </w:tcMar>
          </w:tcPr>
          <w:p>
            <w:pPr>
              <w:spacing w:after="40"/>
            </w:pPr>
            <w:r>
              <w:rPr>
                <w:b w:val="false"/>
                <w:bCs w:val="false"/>
                <w:i w:val="false"/>
                <w:iCs w:val="false"/>
                <w:sz w:val="20"/>
                <w:szCs w:val="20"/>
              </w:rPr>
              <w:t xml:space="preserve">Regulatory flag; must be queried with certainty, never 'approximately similar'.</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Source ID (foreign key)</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S001</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Relational link enforcing that every pesticide has a traceable source record.</w:t>
            </w:r>
          </w:p>
        </w:tc>
      </w:tr>
    </w:tbl>
    <w:p>
      <w:pPr>
        <w:pStyle w:val="Heading2"/>
        <w:spacing w:after="120" w:before="260"/>
      </w:pPr>
      <w:r>
        <w:t xml:space="preserve">2.3 Why Structured Storage Is the Right Choice Here</w:t>
      </w:r>
    </w:p>
    <w:p>
      <w:pPr>
        <w:pStyle w:val="ListParagraph"/>
        <w:numPr>
          <w:ilvl w:val="0"/>
          <w:numId w:val="2"/>
        </w:numPr>
        <w:spacing w:after="80"/>
      </w:pPr>
      <w:r>
        <w:t xml:space="preserve">Discrete, enumerable facts: A crop is "Wheat" or it isn't. A pesticide is CIBRC-approved or it isn't. There is no partial match — these are binary/categorical facts, exactly what relational columns are built for.</w:t>
      </w:r>
    </w:p>
    <w:p>
      <w:pPr>
        <w:pStyle w:val="ListParagraph"/>
        <w:numPr>
          <w:ilvl w:val="0"/>
          <w:numId w:val="2"/>
        </w:numPr>
        <w:spacing w:after="80"/>
      </w:pPr>
      <w:r>
        <w:t xml:space="preserve">Precise filtering and joins: A query like "all fungicides approved for wheat AND rust AND currently available in Punjab" is naturally expressed as a SQL WHERE clause across indexed columns. A similarity search cannot guarantee it returns every matching row — it returns the most similar ones, which is the wrong guarantee for compliance-sensitive lookups.</w:t>
      </w:r>
    </w:p>
    <w:p>
      <w:pPr>
        <w:pStyle w:val="ListParagraph"/>
        <w:numPr>
          <w:ilvl w:val="0"/>
          <w:numId w:val="2"/>
        </w:numPr>
        <w:spacing w:after="80"/>
      </w:pPr>
      <w:r>
        <w:t xml:space="preserve">Regulatory certainty: Whether a product is currently banned or approved must be answered with certainty, not "approximately similar to banned products." This is a hard requirement for anything touching CIBRC status.</w:t>
      </w:r>
    </w:p>
    <w:p>
      <w:pPr>
        <w:pStyle w:val="ListParagraph"/>
        <w:numPr>
          <w:ilvl w:val="0"/>
          <w:numId w:val="2"/>
        </w:numPr>
        <w:spacing w:after="80"/>
      </w:pPr>
      <w:r>
        <w:t xml:space="preserve">Transactional integrity: When a price changes or a product's approval status changes, that is a single, atomic field update — instantly reflected everywhere it's queried, with a full audit trail (who changed it, when).</w:t>
      </w:r>
    </w:p>
    <w:p>
      <w:pPr>
        <w:pStyle w:val="ListParagraph"/>
        <w:numPr>
          <w:ilvl w:val="0"/>
          <w:numId w:val="2"/>
        </w:numPr>
        <w:spacing w:after="80"/>
      </w:pPr>
      <w:r>
        <w:t xml:space="preserve">Aggregation and reporting: Counting fungicides per crop, computing average price by manufacturer, or tracking price trends over time all require GROUP BY / SUM / AVG — native relational operations that vector databases do not perform.</w:t>
      </w:r>
    </w:p>
    <w:p>
      <w:pPr>
        <w:pStyle w:val="ListParagraph"/>
        <w:numPr>
          <w:ilvl w:val="0"/>
          <w:numId w:val="2"/>
        </w:numPr>
        <w:spacing w:after="80"/>
      </w:pPr>
      <w:r>
        <w:t xml:space="preserve">Referential integrity: The foreign key from Pesticide ID to Source ID guarantees every pesticide record traces back to a real, existing source row — a relational constraint that prevents orphaned or fabricated references.</w:t>
      </w:r>
    </w:p>
    <w:p>
      <w:pPr>
        <w:spacing w:after="160"/>
      </w:pPr>
      <w:r>
        <w:t xml:space="preserve">Rule of thumb: if a person would naturally put it in a spreadsheet column with a short, consistent value, it belongs in the structured database.</w:t>
      </w:r>
    </w:p>
    <w:p>
      <w:pPr>
        <w:pStyle w:val="Heading1"/>
        <w:spacing w:after="160" w:before="320"/>
      </w:pPr>
      <w:r>
        <w:t xml:space="preserve">3. Embeddings / Vector Search (RAG)</w:t>
      </w:r>
    </w:p>
    <w:p>
      <w:pPr>
        <w:pStyle w:val="Heading2"/>
        <w:spacing w:after="120" w:before="260"/>
      </w:pPr>
      <w:r>
        <w:t xml:space="preserve">3.1 What Goes Here</w:t>
      </w:r>
    </w:p>
    <w:p>
      <w:pPr>
        <w:spacing w:after="160"/>
      </w:pPr>
      <w:r>
        <w:t xml:space="preserve">Embeddings-based storage converts unstructured text into numeric vectors that capture meaning, allowing retrieval by semantic similarity rather than exact keyword or field match. This is the natural home for anything long-form, variable in wording, or explanatory in nature.</w:t>
      </w:r>
    </w:p>
    <w:p>
      <w:pPr>
        <w:spacing w:after="120"/>
      </w:pPr>
      <w:r>
        <w:rPr>
          <w:b/>
          <w:bCs/>
        </w:rPr>
        <w:t xml:space="preserve">Core content for this project: </w:t>
      </w:r>
      <w:r>
        <w:t xml:space="preserve">full product label text, ICAR/PAU advisory bulletins, journal article abstracts (the same sources compiled in the Sources sheet), long disease/symptom descriptions, farmer-facing advisory Q&amp;A, free-text "Notes" and caveat fields, and Safety Data Sheets.</w:t>
      </w:r>
    </w:p>
    <w:p>
      <w:pPr>
        <w:pStyle w:val="Heading2"/>
        <w:spacing w:after="120" w:before="260"/>
      </w:pPr>
      <w:r>
        <w:t xml:space="preserve">3.2 Content-by-Content Reasoning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Content Type</w:t>
            </w:r>
          </w:p>
        </w:tc>
        <w:tc>
          <w:tcPr>
            <w:tcW w:type="dxa" w:w="220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Example</w:t>
            </w:r>
          </w:p>
        </w:tc>
        <w:tc>
          <w:tcPr>
            <w:tcW w:type="dxa" w:w="496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Why It Belongs in Embeddings / Vector Search</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Product label full text</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Full text of a fungicide label including usage warnings, PHI, and mixing instructions</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Long, variable-length prose; no fixed schema; users search by meaning, not exact keyword.</w:t>
            </w:r>
          </w:p>
        </w:tc>
      </w:tr>
      <w:tr>
        <w:tc>
          <w:tcPr>
            <w:tcW w:type="dxa" w:w="220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Government/ICAR advisory bulletins</w:t>
            </w:r>
          </w:p>
        </w:tc>
        <w:tc>
          <w:tcPr>
            <w:tcW w:type="dxa" w:w="220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PAU wheat rust advisory PDF</w:t>
            </w:r>
          </w:p>
        </w:tc>
        <w:tc>
          <w:tcPr>
            <w:tcW w:type="dxa" w:w="496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Free-form guidance text; changes in wording each season; best retrieved by topic similarity.</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Peer-reviewed journal abstracts</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Journal of Fungi tricyclazole field trial</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Domain-specific scientific language; semantic search finds relevant studies even with different terminology.</w:t>
            </w:r>
          </w:p>
        </w:tc>
      </w:tr>
      <w:tr>
        <w:tc>
          <w:tcPr>
            <w:tcW w:type="dxa" w:w="220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Long product/disease descriptions</w:t>
            </w:r>
          </w:p>
        </w:tc>
        <w:tc>
          <w:tcPr>
            <w:tcW w:type="dxa" w:w="220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Symptom description: 'yellowing stripes running parallel to leaf veins...'</w:t>
            </w:r>
          </w:p>
        </w:tc>
        <w:tc>
          <w:tcPr>
            <w:tcW w:type="dxa" w:w="496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Descriptive narrative content; best matched by concept/symptom similarity, not exact field value.</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Farmer-facing FAQs / advisory chat logs</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"My tomato leaves have brown spots, what should I do?"</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Natural-language questions; embeddings let a differently-worded query still retrieve the right answer.</w:t>
            </w:r>
          </w:p>
        </w:tc>
      </w:tr>
      <w:tr>
        <w:tc>
          <w:tcPr>
            <w:tcW w:type="dxa" w:w="220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Free-text 'Notes' / caveats fields</w:t>
            </w:r>
          </w:p>
        </w:tc>
        <w:tc>
          <w:tcPr>
            <w:tcW w:type="dxa" w:w="220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"Study is India-wide, not North-India-specific; dosage not confirmed for this crop"</w:t>
            </w:r>
          </w:p>
        </w:tc>
        <w:tc>
          <w:tcPr>
            <w:tcW w:type="dxa" w:w="496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Nuanced qualifying text that doesn't reduce cleanly to a single structured field.</w:t>
            </w:r>
          </w:p>
        </w:tc>
      </w:tr>
      <w:tr>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Safety Data Sheets (SDS/MSDS)</w:t>
            </w:r>
          </w:p>
        </w:tc>
        <w:tc>
          <w:tcPr>
            <w:tcW w:type="dxa" w:w="22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Full hazard and first-aid text for a chemical</w:t>
            </w:r>
          </w:p>
        </w:tc>
        <w:tc>
          <w:tcPr>
            <w:tcW w:type="dxa" w:w="496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Long regulatory documents; retrieval is about finding the *relevant passage*, not a value.</w:t>
            </w:r>
          </w:p>
        </w:tc>
      </w:tr>
      <w:tr>
        <w:tc>
          <w:tcPr>
            <w:tcW w:type="dxa" w:w="220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Multi-page extension/training documents</w:t>
            </w:r>
          </w:p>
        </w:tc>
        <w:tc>
          <w:tcPr>
            <w:tcW w:type="dxa" w:w="220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KVK training manual on IPM practices</w:t>
            </w:r>
          </w:p>
        </w:tc>
        <w:tc>
          <w:tcPr>
            <w:tcW w:type="dxa" w:w="4960"/>
            <w:tcBorders>
              <w:top w:val="single" w:color="D9D9D9" w:sz="2"/>
              <w:left w:val="single" w:color="D9D9D9" w:sz="2"/>
              <w:bottom w:val="single" w:color="D9D9D9" w:sz="2"/>
              <w:right w:val="single" w:color="D9D9D9" w:sz="2"/>
            </w:tcBorders>
            <w:shd w:fill="E2EFDA" w:color="auto" w:val="clear"/>
            <w:tcMar>
              <w:top w:type="dxa" w:w="100"/>
              <w:left w:type="dxa" w:w="120"/>
              <w:bottom w:type="dxa" w:w="100"/>
              <w:right w:type="dxa" w:w="120"/>
            </w:tcMar>
          </w:tcPr>
          <w:p>
            <w:pPr>
              <w:spacing w:after="40"/>
            </w:pPr>
            <w:r>
              <w:rPr>
                <w:b w:val="false"/>
                <w:bCs w:val="false"/>
                <w:i w:val="false"/>
                <w:iCs w:val="false"/>
                <w:sz w:val="20"/>
                <w:szCs w:val="20"/>
              </w:rPr>
              <w:t xml:space="preserve">Whole documents chunked and embedded; RAG surfaces the most relevant paragraph on demand.</w:t>
            </w:r>
          </w:p>
        </w:tc>
      </w:tr>
    </w:tbl>
    <w:p>
      <w:pPr>
        <w:pStyle w:val="Heading2"/>
        <w:spacing w:after="120" w:before="260"/>
      </w:pPr>
      <w:r>
        <w:t xml:space="preserve">3.3 Why Embeddings/RAG Is the Right Choice Here</w:t>
      </w:r>
    </w:p>
    <w:p>
      <w:pPr>
        <w:pStyle w:val="ListParagraph"/>
        <w:numPr>
          <w:ilvl w:val="0"/>
          <w:numId w:val="2"/>
        </w:numPr>
        <w:spacing w:after="80"/>
      </w:pPr>
      <w:r>
        <w:t xml:space="preserve">No fixed schema: A product label might describe usage in three sentences or three paragraphs, phrased differently across manufacturers and regions. Forcing this into rigid columns loses nuance or forces constant schema changes.</w:t>
      </w:r>
    </w:p>
    <w:p>
      <w:pPr>
        <w:pStyle w:val="ListParagraph"/>
        <w:numPr>
          <w:ilvl w:val="0"/>
          <w:numId w:val="2"/>
        </w:numPr>
        <w:spacing w:after="80"/>
      </w:pPr>
      <w:r>
        <w:t xml:space="preserve">Semantic retrieval, not exact match: A farmer typing "leaves turning yellow with orange dust on wheat" should retrieve the yellow rust document even though those exact words never appear in it. Embeddings capture meaning; keyword search alone would miss this.</w:t>
      </w:r>
    </w:p>
    <w:p>
      <w:pPr>
        <w:pStyle w:val="ListParagraph"/>
        <w:numPr>
          <w:ilvl w:val="0"/>
          <w:numId w:val="2"/>
        </w:numPr>
        <w:spacing w:after="80"/>
      </w:pPr>
      <w:r>
        <w:t xml:space="preserve">The value lives in the passage, not a field: A paragraph explaining why a disease spreads under certain humidity and temperature conditions cannot be cleanly split into three database columns without losing context and nuance.</w:t>
      </w:r>
    </w:p>
    <w:p>
      <w:pPr>
        <w:pStyle w:val="ListParagraph"/>
        <w:numPr>
          <w:ilvl w:val="0"/>
          <w:numId w:val="2"/>
        </w:numPr>
        <w:spacing w:after="80"/>
      </w:pPr>
      <w:r>
        <w:t xml:space="preserve">Supports "why" and "how," not just "what": Structured data answers "which pesticide?" RAG answers "why does this disease happen and what should I actually do about it," by retrieving the most relevant real-document passages and letting a language model synthesize a grounded answer.</w:t>
      </w:r>
    </w:p>
    <w:p>
      <w:pPr>
        <w:pStyle w:val="ListParagraph"/>
        <w:numPr>
          <w:ilvl w:val="0"/>
          <w:numId w:val="2"/>
        </w:numPr>
        <w:spacing w:after="80"/>
      </w:pPr>
      <w:r>
        <w:t xml:space="preserve">New documents need no migration: A new ICAR bulletin PDF can be ingested and made searchable immediately, without deciding in advance which fields it has or altering any table structure.</w:t>
      </w:r>
    </w:p>
    <w:p>
      <w:pPr>
        <w:spacing w:after="160"/>
      </w:pPr>
      <w:r>
        <w:t xml:space="preserve">Rule of thumb: if a person would have to read a paragraph to get the answer, it belongs in embeddings/RAG.</w:t>
      </w:r>
    </w:p>
    <w:p>
      <w:pPr>
        <w:pStyle w:val="Heading1"/>
        <w:spacing w:after="160" w:before="320"/>
      </w:pPr>
      <w:r>
        <w:t xml:space="preserve">4. Side-by-Side Comparison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380"/>
        <w:gridCol w:w="3380"/>
      </w:tblGrid>
      <w:tr>
        <w:trPr>
          <w:tblHeader/>
        </w:trPr>
        <w:tc>
          <w:tcPr>
            <w:tcW w:type="dxa" w:w="260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Dimension</w:t>
            </w:r>
          </w:p>
        </w:tc>
        <w:tc>
          <w:tcPr>
            <w:tcW w:type="dxa" w:w="338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Structured Database</w:t>
            </w:r>
          </w:p>
        </w:tc>
        <w:tc>
          <w:tcPr>
            <w:tcW w:type="dxa" w:w="3380"/>
            <w:tcBorders>
              <w:top w:val="single" w:color="D9D9D9" w:sz="2"/>
              <w:left w:val="single" w:color="D9D9D9" w:sz="2"/>
              <w:bottom w:val="single" w:color="D9D9D9" w:sz="2"/>
              <w:right w:val="single" w:color="D9D9D9" w:sz="2"/>
            </w:tcBorders>
            <w:shd w:fill="1F4E78" w:color="auto" w:val="clear"/>
            <w:tcMar>
              <w:top w:type="dxa" w:w="100"/>
              <w:left w:type="dxa" w:w="120"/>
              <w:bottom w:type="dxa" w:w="100"/>
              <w:right w:type="dxa" w:w="120"/>
            </w:tcMar>
          </w:tcPr>
          <w:p>
            <w:r>
              <w:rPr>
                <w:b/>
                <w:bCs/>
                <w:color w:val="FFFFFF"/>
                <w:sz w:val="20"/>
                <w:szCs w:val="20"/>
              </w:rPr>
              <w:t xml:space="preserve">Embeddings / RAG</w:t>
            </w:r>
          </w:p>
        </w:tc>
      </w:tr>
      <w:tr>
        <w:tc>
          <w:tcPr>
            <w:tcW w:type="dxa" w:w="26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Data shape</w:t>
            </w:r>
          </w:p>
        </w:tc>
        <w:tc>
          <w:tcPr>
            <w:tcW w:type="dxa" w:w="338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Fixed schema, short discrete values</w:t>
            </w:r>
          </w:p>
        </w:tc>
        <w:tc>
          <w:tcPr>
            <w:tcW w:type="dxa" w:w="338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Variable-length, free-form text</w:t>
            </w:r>
          </w:p>
        </w:tc>
      </w:tr>
      <w:tr>
        <w:tc>
          <w:tcPr>
            <w:tcW w:type="dxa" w:w="260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Query type</w:t>
            </w:r>
          </w:p>
        </w:tc>
        <w:tc>
          <w:tcPr>
            <w:tcW w:type="dxa" w:w="338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Exact match, range, filter, join, aggregate</w:t>
            </w:r>
          </w:p>
        </w:tc>
        <w:tc>
          <w:tcPr>
            <w:tcW w:type="dxa" w:w="338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Semantic similarity / "find relevant meaning"</w:t>
            </w:r>
          </w:p>
        </w:tc>
      </w:tr>
      <w:tr>
        <w:tc>
          <w:tcPr>
            <w:tcW w:type="dxa" w:w="26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Guarantee</w:t>
            </w:r>
          </w:p>
        </w:tc>
        <w:tc>
          <w:tcPr>
            <w:tcW w:type="dxa" w:w="338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Returns ALL rows matching a condition</w:t>
            </w:r>
          </w:p>
        </w:tc>
        <w:tc>
          <w:tcPr>
            <w:tcW w:type="dxa" w:w="338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Returns MOST SIMILAR content — not exhaustive</w:t>
            </w:r>
          </w:p>
        </w:tc>
      </w:tr>
      <w:tr>
        <w:tc>
          <w:tcPr>
            <w:tcW w:type="dxa" w:w="260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Update model</w:t>
            </w:r>
          </w:p>
        </w:tc>
        <w:tc>
          <w:tcPr>
            <w:tcW w:type="dxa" w:w="338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Direct field update (UPDATE/SET)</w:t>
            </w:r>
          </w:p>
        </w:tc>
        <w:tc>
          <w:tcPr>
            <w:tcW w:type="dxa" w:w="338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Re-embed/re-chunk when source document changes</w:t>
            </w:r>
          </w:p>
        </w:tc>
      </w:tr>
      <w:tr>
        <w:tc>
          <w:tcPr>
            <w:tcW w:type="dxa" w:w="26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Best for</w:t>
            </w:r>
          </w:p>
        </w:tc>
        <w:tc>
          <w:tcPr>
            <w:tcW w:type="dxa" w:w="338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Facts, prices, inventory, compliance flags</w:t>
            </w:r>
          </w:p>
        </w:tc>
        <w:tc>
          <w:tcPr>
            <w:tcW w:type="dxa" w:w="338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Explanations, advisories, descriptions, Q&amp;A</w:t>
            </w:r>
          </w:p>
        </w:tc>
      </w:tr>
      <w:tr>
        <w:tc>
          <w:tcPr>
            <w:tcW w:type="dxa" w:w="260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Auditability</w:t>
            </w:r>
          </w:p>
        </w:tc>
        <w:tc>
          <w:tcPr>
            <w:tcW w:type="dxa" w:w="338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High — every field traceable and versioned</w:t>
            </w:r>
          </w:p>
        </w:tc>
        <w:tc>
          <w:tcPr>
            <w:tcW w:type="dxa" w:w="3380"/>
            <w:tcBorders>
              <w:top w:val="single" w:color="D9D9D9" w:sz="2"/>
              <w:left w:val="single" w:color="D9D9D9" w:sz="2"/>
              <w:bottom w:val="single" w:color="D9D9D9" w:sz="2"/>
              <w:right w:val="single" w:color="D9D9D9" w:sz="2"/>
            </w:tcBorders>
            <w:shd w:fill="F2F2F2" w:color="auto" w:val="clear"/>
            <w:tcMar>
              <w:top w:type="dxa" w:w="100"/>
              <w:left w:type="dxa" w:w="120"/>
              <w:bottom w:type="dxa" w:w="100"/>
              <w:right w:type="dxa" w:w="120"/>
            </w:tcMar>
          </w:tcPr>
          <w:p>
            <w:pPr>
              <w:spacing w:after="40"/>
            </w:pPr>
            <w:r>
              <w:rPr>
                <w:b w:val="false"/>
                <w:bCs w:val="false"/>
                <w:i w:val="false"/>
                <w:iCs w:val="false"/>
                <w:sz w:val="20"/>
                <w:szCs w:val="20"/>
              </w:rPr>
              <w:t xml:space="preserve">Lower — relevance score, not a guaranteed fact</w:t>
            </w:r>
          </w:p>
        </w:tc>
      </w:tr>
      <w:tr>
        <w:tc>
          <w:tcPr>
            <w:tcW w:type="dxa" w:w="260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Schema changes</w:t>
            </w:r>
          </w:p>
        </w:tc>
        <w:tc>
          <w:tcPr>
            <w:tcW w:type="dxa" w:w="338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Requires migration for new fields</w:t>
            </w:r>
          </w:p>
        </w:tc>
        <w:tc>
          <w:tcPr>
            <w:tcW w:type="dxa" w:w="3380"/>
            <w:tcBorders>
              <w:top w:val="single" w:color="D9D9D9" w:sz="2"/>
              <w:left w:val="single" w:color="D9D9D9" w:sz="2"/>
              <w:bottom w:val="single" w:color="D9D9D9" w:sz="2"/>
              <w:right w:val="single" w:color="D9D9D9" w:sz="2"/>
            </w:tcBorders>
            <w:tcMar>
              <w:top w:type="dxa" w:w="100"/>
              <w:left w:type="dxa" w:w="120"/>
              <w:bottom w:type="dxa" w:w="100"/>
              <w:right w:type="dxa" w:w="120"/>
            </w:tcMar>
          </w:tcPr>
          <w:p>
            <w:pPr>
              <w:spacing w:after="40"/>
            </w:pPr>
            <w:r>
              <w:rPr>
                <w:b w:val="false"/>
                <w:bCs w:val="false"/>
                <w:i w:val="false"/>
                <w:iCs w:val="false"/>
                <w:sz w:val="20"/>
                <w:szCs w:val="20"/>
              </w:rPr>
              <w:t xml:space="preserve">New documents ingested without schema change</w:t>
            </w:r>
          </w:p>
        </w:tc>
      </w:tr>
    </w:tbl>
    <w:p>
      <w:pPr>
        <w:pStyle w:val="Heading1"/>
        <w:spacing w:after="160" w:before="320"/>
      </w:pPr>
      <w:r>
        <w:t xml:space="preserve">5. How the Two Work Together in Practice</w:t>
      </w:r>
    </w:p>
    <w:p>
      <w:pPr>
        <w:spacing w:after="160"/>
      </w:pPr>
      <w:r>
        <w:t xml:space="preserve">In a real pesticide-advisory system, these are not competing choices — they are complementary layers of the same architecture.</w:t>
      </w:r>
    </w:p>
    <w:p>
      <w:pPr>
        <w:pStyle w:val="Heading3"/>
        <w:spacing w:after="100" w:before="200"/>
      </w:pPr>
      <w:r>
        <w:t xml:space="preserve">Step 1 — Structured database as the system of record</w:t>
      </w:r>
    </w:p>
    <w:p>
      <w:pPr>
        <w:spacing w:after="160"/>
      </w:pPr>
      <w:r>
        <w:t xml:space="preserve">Holds Pesticide ID, Crop, Disease, Product Name, Company, dosage, price, availability, and CIBRC approval status. This is the fast, filterable, auditable backbone of the system.</w:t>
      </w:r>
    </w:p>
    <w:p>
      <w:pPr>
        <w:pStyle w:val="Heading3"/>
        <w:spacing w:after="100" w:before="200"/>
      </w:pPr>
      <w:r>
        <w:t xml:space="preserve">Step 2 — Vector store for documents and explanations</w:t>
      </w:r>
    </w:p>
    <w:p>
      <w:pPr>
        <w:spacing w:after="160"/>
      </w:pPr>
      <w:r>
        <w:t xml:space="preserve">Holds embeddings of full label text, advisory PDFs, and journal abstracts. Each chunk is tagged with metadata — most importantly the Pesticide ID — so vector search can be filtered by structured fields first, then ranked by semantic similarity only within that filtered set (a standard "hybrid search" pattern).</w:t>
      </w:r>
    </w:p>
    <w:p>
      <w:pPr>
        <w:pStyle w:val="Heading3"/>
        <w:spacing w:after="100" w:before="200"/>
      </w:pPr>
      <w:r>
        <w:t xml:space="preserve">Step 3 — Combined retrieval for real queries</w:t>
      </w:r>
    </w:p>
    <w:p>
      <w:pPr>
        <w:spacing w:after="160"/>
      </w:pPr>
      <w:r>
        <w:t xml:space="preserve">Example query: "Is this fungicide safe for young wheat before flowering, and what does the label actually say about that?" The structured database supplies the exact facts (product identity, crop, approval status). The vector store retrieves the specific label passages discussing flowering-stage safety. A language model combines both into a single grounded answer — structured facts for precision, unstructured retrieval for explanation and nuance.</w:t>
      </w:r>
    </w:p>
    <w:p>
      <w:pPr>
        <w:pStyle w:val="Heading1"/>
        <w:spacing w:after="160" w:before="320"/>
      </w:pPr>
      <w:r>
        <w:t xml:space="preserve">6. Summary</w:t>
      </w:r>
    </w:p>
    <w:p>
      <w:pPr>
        <w:spacing w:after="120"/>
      </w:pPr>
      <w:r>
        <w:rPr>
          <w:b/>
          <w:bCs/>
        </w:rPr>
        <w:t xml:space="preserve">Structured database: </w:t>
      </w:r>
      <w:r>
        <w:t xml:space="preserve">facts you would put in a form — Product Name, Company, Crop, Disease, Pesticide Type, Packaging, Price, Availability, and other short, discrete attributes that need exact filtering, joins, aggregation, and audit trails.</w:t>
      </w:r>
    </w:p>
    <w:p>
      <w:pPr>
        <w:spacing w:after="120"/>
      </w:pPr>
      <w:r>
        <w:rPr>
          <w:b/>
          <w:bCs/>
        </w:rPr>
        <w:t xml:space="preserve">Embeddings/RAG: </w:t>
      </w:r>
      <w:r>
        <w:t xml:space="preserve">knowledge you would put in a document — long descriptions, agricultural advisory bulletins, label and safety-sheet text, journal abstracts, and free-text notes that need to be found by meaning rather than exact value, and explained rather than merely looked up.</w:t>
      </w:r>
    </w:p>
    <w:p>
      <w:pPr>
        <w:spacing w:after="160"/>
      </w:pPr>
      <w:r>
        <w:t xml:space="preserve">Mixing the two up in either direction causes problems: forcing free text into rigid schema fields loses nuance and requires constant re-modeling; storing precise facts only as embedded text sacrifices the exactness, speed, and auditability that compliance-sensitive lookups require. The two layers, used together, give both reliable facts and rich, explainable context.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2026-08-29T09:52:28.076Z</dcterms:created>
  <dcterms:modified xsi:type="dcterms:W3CDTF">2026-08-29T09:52:28.086Z</dcterms:modified>
</cp:coreProperties>
</file>

<file path=docProps/custom.xml><?xml version="1.0" encoding="utf-8"?>
<Properties xmlns="http://schemas.openxmlformats.org/officeDocument/2006/custom-properties" xmlns:vt="http://schemas.openxmlformats.org/officeDocument/2006/docPropsVTypes"/>
</file>