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72"/>
          <w:szCs w:val="72"/>
        </w:rPr>
        <w:t xml:space="preserve">ARGUS</w:t>
      </w:r>
    </w:p>
    <w:p>
      <w:pPr>
        <w:spacing w:after="100" w:before="200"/>
        <w:jc w:val="center"/>
      </w:pPr>
      <w:r>
        <w:rPr>
          <w:b/>
          <w:bCs/>
          <w:sz w:val="34"/>
          <w:szCs w:val="34"/>
        </w:rPr>
        <w:t xml:space="preserve">Master Execution &amp; Build Guide — v3</w:t>
      </w:r>
    </w:p>
    <w:p>
      <w:pPr>
        <w:spacing w:after="400"/>
        <w:jc w:val="center"/>
      </w:pPr>
      <w:r>
        <w:rPr>
          <w:i/>
          <w:iCs/>
          <w:sz w:val="26"/>
          <w:szCs w:val="26"/>
        </w:rPr>
        <w:t xml:space="preserve">Privacy-First, Tiered-Remediation Cloud Attack-Graph Platform</w:t>
      </w:r>
    </w:p>
    <w:p>
      <w:pPr>
        <w:spacing w:after="60"/>
        <w:jc w:val="center"/>
      </w:pPr>
      <w:r>
        <w:rPr>
          <w:sz w:val="22"/>
          <w:szCs w:val="22"/>
        </w:rPr>
        <w:t xml:space="preserve">A Step-by-Step Team Playbook — Setup to Demo Day</w:t>
      </w:r>
    </w:p>
    <w:p>
      <w:pPr>
        <w:spacing w:after="40" w:before="500"/>
        <w:jc w:val="center"/>
      </w:pPr>
      <w:r>
        <w:rPr>
          <w:sz w:val="20"/>
          <w:szCs w:val="20"/>
        </w:rPr>
        <w:t xml:space="preserve">RVCE III Semester Experiential Learning — CS Cluster (Cloud Security Theme)</w:t>
      </w:r>
    </w:p>
    <w:p>
      <w:pPr>
        <w:spacing w:after="40"/>
        <w:jc w:val="center"/>
      </w:pPr>
      <w:r>
        <w:rPr>
          <w:sz w:val="20"/>
          <w:szCs w:val="20"/>
        </w:rPr>
        <w:t xml:space="preserve">2025 Admission Batch · Team ARGUS</w:t>
      </w:r>
    </w:p>
    <w:p>
      <w:pPr>
        <w:spacing w:before="500"/>
        <w:jc w:val="center"/>
      </w:pPr>
      <w:r>
        <w:rPr>
          <w:i/>
          <w:iCs/>
          <w:sz w:val="18"/>
          <w:szCs w:val="18"/>
        </w:rPr>
        <w:t xml:space="preserve">This document supersedes the earlier “Master Execution Workplan” now that the remediation design has moved from a single-LLM-API design to the privacy-first, tiered (T0–T3) design with two load-bearing ML models (M1, M2) and a network-interdiction prioritizer. It is meant to be followed in order, phase by phase, from the first day of the project to the final demo.</w:t>
      </w:r>
    </w:p>
    <w:p>
      <w:r>
        <w:br w:type="page"/>
      </w:r>
    </w:p>
    <w:p>
      <w:pPr>
        <w:spacing w:after="200" w:before="200"/>
        <w:jc w:val="left"/>
      </w:pPr>
      <w:r>
        <w:rPr>
          <w:b/>
          <w:bCs/>
          <w:sz w:val="34"/>
          <w:szCs w:val="34"/>
        </w:rPr>
        <w:t xml:space="preserve">Table of Contents</w:t>
      </w:r>
    </w:p>
    <w:p>
      <w:pPr>
        <w:spacing w:after="100"/>
      </w:pPr>
      <w:r>
        <w:rPr>
          <w:sz w:val="20"/>
          <w:szCs w:val="20"/>
        </w:rPr>
        <w:t xml:space="preserve">(Field codes: in Word, right-click this area and choose “Update Field” — or press Ctrl+A then F9 — to populate the page numbers below.)</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420"/>
      </w:pPr>
      <w:r>
        <w:t xml:space="preserve">How to Use This Document</w:t>
      </w:r>
    </w:p>
    <w:p>
      <w:pPr>
        <w:spacing w:after="150"/>
      </w:pPr>
      <w:r>
        <w:t xml:space="preserve">This guide is organized into thirteen phases (Phase 0 through Phase 12), in build order, from team setup to the final demo and submission. Each phase is self-contained and follows the same five-part structure: Objective, Tech Stack &amp; What to Learn First, Step-by-Step Procedure, Integration Checkpoint, and a Checklist. Read a phase's Tech Stack table fully, and actually do the “Learn This First” column's suggestion, before writing any code for that phase — the point of this document is that the team learns each tool properly, not just copy-pastes commands blindly.</w:t>
      </w:r>
    </w:p>
    <w:p>
      <w:pPr>
        <w:pStyle w:val="ListParagraph"/>
        <w:numPr>
          <w:ilvl w:val="0"/>
          <w:numId w:val="2"/>
        </w:numPr>
        <w:spacing w:after="70"/>
      </w:pPr>
      <w:r>
        <w:t xml:space="preserve">Follow the numbered steps in order within a phase — they are sequenced deliberately, not a random checklist.</w:t>
      </w:r>
    </w:p>
    <w:p>
      <w:pPr>
        <w:pStyle w:val="ListParagraph"/>
        <w:numPr>
          <w:ilvl w:val="0"/>
          <w:numId w:val="2"/>
        </w:numPr>
        <w:spacing w:after="70"/>
      </w:pPr>
      <w:r>
        <w:t xml:space="preserve">Do not skip a phase's Integration Checkpoint. It states exactly what interface (a function signature, a JSON shape, an API endpoint) the next phase depends on. This is what prevents the four tracks from drifting apart and the whole system failing to assemble at the end.</w:t>
      </w:r>
    </w:p>
    <w:p>
      <w:pPr>
        <w:pStyle w:val="ListParagraph"/>
        <w:numPr>
          <w:ilvl w:val="0"/>
          <w:numId w:val="2"/>
        </w:numPr>
        <w:spacing w:after="70"/>
      </w:pPr>
      <w:r>
        <w:t xml:space="preserve">Tick every box in a phase's Checklist before considering that phase done. An unticked box is not a formality — it is a specific, named risk to the next phase.</w:t>
      </w:r>
    </w:p>
    <w:p>
      <w:pPr>
        <w:pStyle w:val="ListParagraph"/>
        <w:numPr>
          <w:ilvl w:val="0"/>
          <w:numId w:val="2"/>
        </w:numPr>
        <w:spacing w:after="70"/>
      </w:pPr>
      <w:r>
        <w:t xml:space="preserve">Phases with overlapping week ranges are meant to run in parallel, across different team members or tracks. The Master Dependency Map (below) tells you exactly which outputs from other phases must already exist before you can start.</w:t>
      </w:r>
    </w:p>
    <w:p>
      <w:pPr>
        <w:pStyle w:val="ListParagraph"/>
        <w:numPr>
          <w:ilvl w:val="0"/>
          <w:numId w:val="2"/>
        </w:numPr>
        <w:spacing w:after="70"/>
      </w:pPr>
      <w:r>
        <w:t xml:space="preserve">Read the Shared Contracts section once, as a whole team, before Phase 1 begins. It defines the exact interfaces (repo structure, graph schema, Patch-IR schema, API response shapes) that every phase from here on is written against. Agreeing on these up front is what keeps four people building in parallel from producing four incompatible pieces.</w:t>
      </w:r>
    </w:p>
    <w:p>
      <w:pPr>
        <w:spacing w:after="150"/>
      </w:pPr>
      <w:r>
        <w:t xml:space="preserve">This document assumes you have already read (or will read alongside it) the full ARGUS v3 solution design document, which explains the reasoning behind every architectural decision in depth. This guide is the ‘how and when,’ not a replacement for the ‘why’ — where useful, each phase points back to the relevant section of that design document.</w:t>
      </w:r>
    </w:p>
    <w:p>
      <w:pPr>
        <w:pStyle w:val="Heading1"/>
        <w:spacing w:after="200" w:before="420"/>
      </w:pPr>
      <w:r>
        <w:t xml:space="preserve">Solution Snapshot — What We Are Actually Building</w:t>
      </w:r>
    </w:p>
    <w:p>
      <w:pPr>
        <w:spacing w:after="150"/>
      </w:pPr>
      <w:r>
        <w:t xml:space="preserve">ARGUS builds a live AWS attack graph (Cartography → Neo4j), scores it with Personalized PageRank, and decides what to fix first with a budget-constrained network-interdiction model. For whatever gets selected, a tiered remediation pipeline produces a fix: a deterministic template first (T0), a small model fine-tuned specifically for this task second (T1, running entirely on our own machine), and — only if a human explicitly opts in — a general remote LLM third (T2), with a human approval queue as the final tier (T3). Every candidate fix is expressed in a small, closed intermediate format (Patch-IR), never free-form code, and every fix must clear a verification gate — two policy-as-code libraries (generic hygiene and India's DPDP Act Rule 6/7/8/15), a re-run of the risk model, and checks that block deletion or scope-widening — before it goes anywhere near the real environment. A second, independently trained model produces a calibrated confidence score for each verified patch, and a conformal-risk-controlled threshold decides auto-apply versus human review.</w:t>
      </w:r>
    </w:p>
    <w:p>
      <w:pPr>
        <w:spacing w:after="150"/>
      </w:pPr>
      <w:r>
        <w:t xml:space="preserve">Underneath all of this sits a privacy airlock: a fixed, auditable data-flow boundary that decides, before any patch generator (including the local one) ever runs, exactly which attributes of a finding it is allowed to see. Real identifiers are replaced with structure-preserving tokens, secrets and data-plane content are never read by ARGUS at all, and a final scan blocks any outbound request — even a local one — that still contains a real identifier or a detected personal-data pattern. Nothing is sent to any third-party model provider unless a deployer explicitly turns that tier on.</w:t>
      </w:r>
    </w:p>
    <w:p>
      <w:pPr>
        <w:pStyle w:val="Heading2"/>
        <w:spacing w:after="140" w:before="260"/>
      </w:pPr>
      <w:r>
        <w:t xml:space="preserve">What Changed From the Original (v2) Plan, and Why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50"/>
      </w:tblGrid>
      <w:tr>
        <w:trPr>
          <w:tblHeader/>
        </w:trPr>
        <w:tc>
          <w:tcPr>
            <w:tcW w:type="dxa" w:w="1500"/>
            <w:shd w:fill="2B3A55" w:val="clear"/>
            <w:tcMar>
              <w:top w:type="dxa" w:w="60"/>
              <w:left w:type="dxa" w:w="90"/>
              <w:bottom w:type="dxa" w:w="60"/>
              <w:right w:type="dxa" w:w="90"/>
            </w:tcMar>
            <w:vAlign w:val="center"/>
          </w:tcPr>
          <w:p>
            <w:r>
              <w:rPr>
                <w:b/>
                <w:bCs/>
                <w:color w:val="FFFFFF"/>
                <w:sz w:val="19"/>
                <w:szCs w:val="19"/>
              </w:rPr>
              <w:t xml:space="preserve">Component</w:t>
            </w:r>
          </w:p>
        </w:tc>
        <w:tc>
          <w:tcPr>
            <w:tcW w:type="dxa" w:w="2700"/>
            <w:shd w:fill="2B3A55" w:val="clear"/>
            <w:tcMar>
              <w:top w:type="dxa" w:w="60"/>
              <w:left w:type="dxa" w:w="90"/>
              <w:bottom w:type="dxa" w:w="60"/>
              <w:right w:type="dxa" w:w="90"/>
            </w:tcMar>
            <w:vAlign w:val="center"/>
          </w:tcPr>
          <w:p>
            <w:r>
              <w:rPr>
                <w:b/>
                <w:bCs/>
                <w:color w:val="FFFFFF"/>
                <w:sz w:val="19"/>
                <w:szCs w:val="19"/>
              </w:rPr>
              <w:t xml:space="preserve">Original Plan</w:t>
            </w:r>
          </w:p>
        </w:tc>
        <w:tc>
          <w:tcPr>
            <w:tcW w:type="dxa" w:w="2700"/>
            <w:shd w:fill="2B3A55" w:val="clear"/>
            <w:tcMar>
              <w:top w:type="dxa" w:w="60"/>
              <w:left w:type="dxa" w:w="90"/>
              <w:bottom w:type="dxa" w:w="60"/>
              <w:right w:type="dxa" w:w="90"/>
            </w:tcMar>
            <w:vAlign w:val="center"/>
          </w:tcPr>
          <w:p>
            <w:r>
              <w:rPr>
                <w:b/>
                <w:bCs/>
                <w:color w:val="FFFFFF"/>
                <w:sz w:val="19"/>
                <w:szCs w:val="19"/>
              </w:rPr>
              <w:t xml:space="preserve">This Plan (v3)</w:t>
            </w:r>
          </w:p>
        </w:tc>
        <w:tc>
          <w:tcPr>
            <w:tcW w:type="dxa" w:w="2450"/>
            <w:shd w:fill="2B3A55" w:val="clear"/>
            <w:tcMar>
              <w:top w:type="dxa" w:w="60"/>
              <w:left w:type="dxa" w:w="90"/>
              <w:bottom w:type="dxa" w:w="60"/>
              <w:right w:type="dxa" w:w="90"/>
            </w:tcMar>
            <w:vAlign w:val="center"/>
          </w:tcPr>
          <w:p>
            <w:r>
              <w:rPr>
                <w:b/>
                <w:bCs/>
                <w:color w:val="FFFFFF"/>
                <w:sz w:val="19"/>
                <w:szCs w:val="19"/>
              </w:rPr>
              <w:t xml:space="preserve">Why</w:t>
            </w:r>
          </w:p>
        </w:tc>
      </w:tr>
      <w:tr>
        <w:tc>
          <w:tcPr>
            <w:tcW w:type="dxa" w:w="1500"/>
            <w:tcMar>
              <w:top w:type="dxa" w:w="50"/>
              <w:left w:type="dxa" w:w="90"/>
              <w:bottom w:type="dxa" w:w="50"/>
              <w:right w:type="dxa" w:w="90"/>
            </w:tcMar>
          </w:tcPr>
          <w:p>
            <w:r>
              <w:rPr>
                <w:sz w:val="19"/>
                <w:szCs w:val="19"/>
              </w:rPr>
              <w:t xml:space="preserve">Remediation drafting</w:t>
            </w:r>
          </w:p>
        </w:tc>
        <w:tc>
          <w:tcPr>
            <w:tcW w:type="dxa" w:w="2700"/>
            <w:tcMar>
              <w:top w:type="dxa" w:w="50"/>
              <w:left w:type="dxa" w:w="90"/>
              <w:bottom w:type="dxa" w:w="50"/>
              <w:right w:type="dxa" w:w="90"/>
            </w:tcMar>
          </w:tcPr>
          <w:p>
            <w:r>
              <w:rPr>
                <w:sz w:val="19"/>
                <w:szCs w:val="19"/>
              </w:rPr>
              <w:t xml:space="preserve">One RAG-grounded LLM API call per finding</w:t>
            </w:r>
          </w:p>
        </w:tc>
        <w:tc>
          <w:tcPr>
            <w:tcW w:type="dxa" w:w="2700"/>
            <w:tcMar>
              <w:top w:type="dxa" w:w="50"/>
              <w:left w:type="dxa" w:w="90"/>
              <w:bottom w:type="dxa" w:w="50"/>
              <w:right w:type="dxa" w:w="90"/>
            </w:tcMar>
          </w:tcPr>
          <w:p>
            <w:r>
              <w:rPr>
                <w:sz w:val="19"/>
                <w:szCs w:val="19"/>
              </w:rPr>
              <w:t xml:space="preserve">Tiered: templates → local model → optional remote LLM → human</w:t>
            </w:r>
          </w:p>
        </w:tc>
        <w:tc>
          <w:tcPr>
            <w:tcW w:type="dxa" w:w="2450"/>
            <w:tcMar>
              <w:top w:type="dxa" w:w="50"/>
              <w:left w:type="dxa" w:w="90"/>
              <w:bottom w:type="dxa" w:w="50"/>
              <w:right w:type="dxa" w:w="90"/>
            </w:tcMar>
          </w:tcPr>
          <w:p>
            <w:r>
              <w:rPr>
                <w:sz w:val="19"/>
                <w:szCs w:val="19"/>
              </w:rPr>
              <w:t xml:space="preserve">Removes the single point of failure: no paid keys, rate limits, or terms-of-service risk</w:t>
            </w:r>
          </w:p>
        </w:tc>
      </w:tr>
      <w:tr>
        <w:tc>
          <w:tcPr>
            <w:tcW w:type="dxa" w:w="1500"/>
            <w:tcMar>
              <w:top w:type="dxa" w:w="50"/>
              <w:left w:type="dxa" w:w="90"/>
              <w:bottom w:type="dxa" w:w="50"/>
              <w:right w:type="dxa" w:w="90"/>
            </w:tcMar>
          </w:tcPr>
          <w:p>
            <w:r>
              <w:rPr>
                <w:sz w:val="19"/>
                <w:szCs w:val="19"/>
              </w:rPr>
              <w:t xml:space="preserve">Output format</w:t>
            </w:r>
          </w:p>
        </w:tc>
        <w:tc>
          <w:tcPr>
            <w:tcW w:type="dxa" w:w="2700"/>
            <w:tcMar>
              <w:top w:type="dxa" w:w="50"/>
              <w:left w:type="dxa" w:w="90"/>
              <w:bottom w:type="dxa" w:w="50"/>
              <w:right w:type="dxa" w:w="90"/>
            </w:tcMar>
          </w:tcPr>
          <w:p>
            <w:r>
              <w:rPr>
                <w:sz w:val="19"/>
                <w:szCs w:val="19"/>
              </w:rPr>
              <w:t xml:space="preserve">Free-form JSON patch</w:t>
            </w:r>
          </w:p>
        </w:tc>
        <w:tc>
          <w:tcPr>
            <w:tcW w:type="dxa" w:w="2700"/>
            <w:tcMar>
              <w:top w:type="dxa" w:w="50"/>
              <w:left w:type="dxa" w:w="90"/>
              <w:bottom w:type="dxa" w:w="50"/>
              <w:right w:type="dxa" w:w="90"/>
            </w:tcMar>
          </w:tcPr>
          <w:p>
            <w:r>
              <w:rPr>
                <w:sz w:val="19"/>
                <w:szCs w:val="19"/>
              </w:rPr>
              <w:t xml:space="preserve">Patch-IR: closed, typed operation vocabulary</w:t>
            </w:r>
          </w:p>
        </w:tc>
        <w:tc>
          <w:tcPr>
            <w:tcW w:type="dxa" w:w="2450"/>
            <w:tcMar>
              <w:top w:type="dxa" w:w="50"/>
              <w:left w:type="dxa" w:w="90"/>
              <w:bottom w:type="dxa" w:w="50"/>
              <w:right w:type="dxa" w:w="90"/>
            </w:tcMar>
          </w:tcPr>
          <w:p>
            <w:r>
              <w:rPr>
                <w:sz w:val="19"/>
                <w:szCs w:val="19"/>
              </w:rPr>
              <w:t xml:space="preserve">Eliminates most syntax and hallucination failure modes before verification even runs</w:t>
            </w:r>
          </w:p>
        </w:tc>
      </w:tr>
      <w:tr>
        <w:tc>
          <w:tcPr>
            <w:tcW w:type="dxa" w:w="1500"/>
            <w:tcMar>
              <w:top w:type="dxa" w:w="50"/>
              <w:left w:type="dxa" w:w="90"/>
              <w:bottom w:type="dxa" w:w="50"/>
              <w:right w:type="dxa" w:w="90"/>
            </w:tcMar>
          </w:tcPr>
          <w:p>
            <w:r>
              <w:rPr>
                <w:sz w:val="19"/>
                <w:szCs w:val="19"/>
              </w:rPr>
              <w:t xml:space="preserve">Data sent off-device</w:t>
            </w:r>
          </w:p>
        </w:tc>
        <w:tc>
          <w:tcPr>
            <w:tcW w:type="dxa" w:w="2700"/>
            <w:tcMar>
              <w:top w:type="dxa" w:w="50"/>
              <w:left w:type="dxa" w:w="90"/>
              <w:bottom w:type="dxa" w:w="50"/>
              <w:right w:type="dxa" w:w="90"/>
            </w:tcMar>
          </w:tcPr>
          <w:p>
            <w:r>
              <w:rPr>
                <w:sz w:val="19"/>
                <w:szCs w:val="19"/>
              </w:rPr>
              <w:t xml:space="preserve">Whatever the RAG context included</w:t>
            </w:r>
          </w:p>
        </w:tc>
        <w:tc>
          <w:tcPr>
            <w:tcW w:type="dxa" w:w="2700"/>
            <w:tcMar>
              <w:top w:type="dxa" w:w="50"/>
              <w:left w:type="dxa" w:w="90"/>
              <w:bottom w:type="dxa" w:w="50"/>
              <w:right w:type="dxa" w:w="90"/>
            </w:tcMar>
          </w:tcPr>
          <w:p>
            <w:r>
              <w:rPr>
                <w:sz w:val="19"/>
                <w:szCs w:val="19"/>
              </w:rPr>
              <w:t xml:space="preserve">Nothing by default; only a sanitized record if T2 is explicitly enabled</w:t>
            </w:r>
          </w:p>
        </w:tc>
        <w:tc>
          <w:tcPr>
            <w:tcW w:type="dxa" w:w="2450"/>
            <w:tcMar>
              <w:top w:type="dxa" w:w="50"/>
              <w:left w:type="dxa" w:w="90"/>
              <w:bottom w:type="dxa" w:w="50"/>
              <w:right w:type="dxa" w:w="90"/>
            </w:tcMar>
          </w:tcPr>
          <w:p>
            <w:r>
              <w:rPr>
                <w:sz w:val="19"/>
                <w:szCs w:val="19"/>
              </w:rPr>
              <w:t xml:space="preserve">Matches DPDP's own safeguard language (encryption, obfuscation, masking, tokens)</w:t>
            </w:r>
          </w:p>
        </w:tc>
      </w:tr>
      <w:tr>
        <w:tc>
          <w:tcPr>
            <w:tcW w:type="dxa" w:w="1500"/>
            <w:tcMar>
              <w:top w:type="dxa" w:w="50"/>
              <w:left w:type="dxa" w:w="90"/>
              <w:bottom w:type="dxa" w:w="50"/>
              <w:right w:type="dxa" w:w="90"/>
            </w:tcMar>
          </w:tcPr>
          <w:p>
            <w:r>
              <w:rPr>
                <w:sz w:val="19"/>
                <w:szCs w:val="19"/>
              </w:rPr>
              <w:t xml:space="preserve">Auto-apply confidence</w:t>
            </w:r>
          </w:p>
        </w:tc>
        <w:tc>
          <w:tcPr>
            <w:tcW w:type="dxa" w:w="2700"/>
            <w:tcMar>
              <w:top w:type="dxa" w:w="50"/>
              <w:left w:type="dxa" w:w="90"/>
              <w:bottom w:type="dxa" w:w="50"/>
              <w:right w:type="dxa" w:w="90"/>
            </w:tcMar>
          </w:tcPr>
          <w:p>
            <w:r>
              <w:rPr>
                <w:sz w:val="19"/>
                <w:szCs w:val="19"/>
              </w:rPr>
              <w:t xml:space="preserve">Undefined — a formula with no real input</w:t>
            </w:r>
          </w:p>
        </w:tc>
        <w:tc>
          <w:tcPr>
            <w:tcW w:type="dxa" w:w="2700"/>
            <w:tcMar>
              <w:top w:type="dxa" w:w="50"/>
              <w:left w:type="dxa" w:w="90"/>
              <w:bottom w:type="dxa" w:w="50"/>
              <w:right w:type="dxa" w:w="90"/>
            </w:tcMar>
          </w:tcPr>
          <w:p>
            <w:r>
              <w:rPr>
                <w:sz w:val="19"/>
                <w:szCs w:val="19"/>
              </w:rPr>
              <w:t xml:space="preserve">Learned, calibrated model (M2) with a conformal-risk guarantee</w:t>
            </w:r>
          </w:p>
        </w:tc>
        <w:tc>
          <w:tcPr>
            <w:tcW w:type="dxa" w:w="2450"/>
            <w:tcMar>
              <w:top w:type="dxa" w:w="50"/>
              <w:left w:type="dxa" w:w="90"/>
              <w:bottom w:type="dxa" w:w="50"/>
              <w:right w:type="dxa" w:w="90"/>
            </w:tcMar>
          </w:tcPr>
          <w:p>
            <w:r>
              <w:rPr>
                <w:sz w:val="19"/>
                <w:szCs w:val="19"/>
              </w:rPr>
              <w:t xml:space="preserve">Gives the auto-apply gate something real and statistically defensible to threshold on</w:t>
            </w:r>
          </w:p>
        </w:tc>
      </w:tr>
      <w:tr>
        <w:tc>
          <w:tcPr>
            <w:tcW w:type="dxa" w:w="1500"/>
            <w:tcMar>
              <w:top w:type="dxa" w:w="50"/>
              <w:left w:type="dxa" w:w="90"/>
              <w:bottom w:type="dxa" w:w="50"/>
              <w:right w:type="dxa" w:w="90"/>
            </w:tcMar>
          </w:tcPr>
          <w:p>
            <w:r>
              <w:rPr>
                <w:sz w:val="19"/>
                <w:szCs w:val="19"/>
              </w:rPr>
              <w:t xml:space="preserve">Prioritization</w:t>
            </w:r>
          </w:p>
        </w:tc>
        <w:tc>
          <w:tcPr>
            <w:tcW w:type="dxa" w:w="2700"/>
            <w:tcMar>
              <w:top w:type="dxa" w:w="50"/>
              <w:left w:type="dxa" w:w="90"/>
              <w:bottom w:type="dxa" w:w="50"/>
              <w:right w:type="dxa" w:w="90"/>
            </w:tcMar>
          </w:tcPr>
          <w:p>
            <w:r>
              <w:rPr>
                <w:sz w:val="19"/>
                <w:szCs w:val="19"/>
              </w:rPr>
              <w:t xml:space="preserve">Stackelberg security game (randomized coverage)</w:t>
            </w:r>
          </w:p>
        </w:tc>
        <w:tc>
          <w:tcPr>
            <w:tcW w:type="dxa" w:w="2700"/>
            <w:tcMar>
              <w:top w:type="dxa" w:w="50"/>
              <w:left w:type="dxa" w:w="90"/>
              <w:bottom w:type="dxa" w:w="50"/>
              <w:right w:type="dxa" w:w="90"/>
            </w:tcMar>
          </w:tcPr>
          <w:p>
            <w:r>
              <w:rPr>
                <w:sz w:val="19"/>
                <w:szCs w:val="19"/>
              </w:rPr>
              <w:t xml:space="preserve">Network-interdiction MILP (binary fix/no-fix); Stackelberg kept as baseline</w:t>
            </w:r>
          </w:p>
        </w:tc>
        <w:tc>
          <w:tcPr>
            <w:tcW w:type="dxa" w:w="2450"/>
            <w:tcMar>
              <w:top w:type="dxa" w:w="50"/>
              <w:left w:type="dxa" w:w="90"/>
              <w:bottom w:type="dxa" w:w="50"/>
              <w:right w:type="dxa" w:w="90"/>
            </w:tcMar>
          </w:tcPr>
          <w:p>
            <w:r>
              <w:rPr>
                <w:sz w:val="19"/>
                <w:szCs w:val="19"/>
              </w:rPr>
              <w:t xml:space="preserve">Patches are binary decisions, not randomized strategies — interdiction is the right model</w:t>
            </w:r>
          </w:p>
        </w:tc>
      </w:tr>
      <w:tr>
        <w:tc>
          <w:tcPr>
            <w:tcW w:type="dxa" w:w="1500"/>
            <w:tcMar>
              <w:top w:type="dxa" w:w="50"/>
              <w:left w:type="dxa" w:w="90"/>
              <w:bottom w:type="dxa" w:w="50"/>
              <w:right w:type="dxa" w:w="90"/>
            </w:tcMar>
          </w:tcPr>
          <w:p>
            <w:r>
              <w:rPr>
                <w:sz w:val="19"/>
                <w:szCs w:val="19"/>
              </w:rPr>
              <w:t xml:space="preserve">ML story</w:t>
            </w:r>
          </w:p>
        </w:tc>
        <w:tc>
          <w:tcPr>
            <w:tcW w:type="dxa" w:w="2700"/>
            <w:tcMar>
              <w:top w:type="dxa" w:w="50"/>
              <w:left w:type="dxa" w:w="90"/>
              <w:bottom w:type="dxa" w:w="50"/>
              <w:right w:type="dxa" w:w="90"/>
            </w:tcMar>
          </w:tcPr>
          <w:p>
            <w:r>
              <w:rPr>
                <w:sz w:val="19"/>
                <w:szCs w:val="19"/>
              </w:rPr>
              <w:t xml:space="preserve">None load-bearing</w:t>
            </w:r>
          </w:p>
        </w:tc>
        <w:tc>
          <w:tcPr>
            <w:tcW w:type="dxa" w:w="2700"/>
            <w:tcMar>
              <w:top w:type="dxa" w:w="50"/>
              <w:left w:type="dxa" w:w="90"/>
              <w:bottom w:type="dxa" w:w="50"/>
              <w:right w:type="dxa" w:w="90"/>
            </w:tcMar>
          </w:tcPr>
          <w:p>
            <w:r>
              <w:rPr>
                <w:sz w:val="19"/>
                <w:szCs w:val="19"/>
              </w:rPr>
              <w:t xml:space="preserve">Two load-bearing models: M1 (remediation) and M2 (confidence)</w:t>
            </w:r>
          </w:p>
        </w:tc>
        <w:tc>
          <w:tcPr>
            <w:tcW w:type="dxa" w:w="2450"/>
            <w:tcMar>
              <w:top w:type="dxa" w:w="50"/>
              <w:left w:type="dxa" w:w="90"/>
              <w:bottom w:type="dxa" w:w="50"/>
              <w:right w:type="dxa" w:w="90"/>
            </w:tcMar>
          </w:tcPr>
          <w:p>
            <w:r>
              <w:rPr>
                <w:sz w:val="19"/>
                <w:szCs w:val="19"/>
              </w:rPr>
              <w:t xml:space="preserve">This is where “make the ML impactful” is actually answered</w:t>
            </w:r>
          </w:p>
        </w:tc>
      </w:tr>
    </w:tbl>
    <w:p>
      <w:pPr>
        <w:pStyle w:val="Heading1"/>
        <w:spacing w:after="200" w:before="420"/>
      </w:pPr>
      <w:r>
        <w:t xml:space="preserve">Team Roles &amp; Track Ownership</w:t>
      </w:r>
    </w:p>
    <w:p>
      <w:pPr>
        <w:spacing w:after="150"/>
      </w:pPr>
      <w:r>
        <w:t xml:space="preserve">Confirm your specific roster against RVCE Circular 023 §6's approved team-combination table before finalizing the split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3500"/>
        <w:gridCol w:w="1850"/>
        <w:gridCol w:w="1550"/>
      </w:tblGrid>
      <w:tr>
        <w:trPr>
          <w:tblHeader/>
        </w:trPr>
        <w:tc>
          <w:tcPr>
            <w:tcW w:type="dxa" w:w="2450"/>
            <w:shd w:fill="2B3A55" w:val="clear"/>
            <w:tcMar>
              <w:top w:type="dxa" w:w="60"/>
              <w:left w:type="dxa" w:w="90"/>
              <w:bottom w:type="dxa" w:w="60"/>
              <w:right w:type="dxa" w:w="90"/>
            </w:tcMar>
            <w:vAlign w:val="center"/>
          </w:tcPr>
          <w:p>
            <w:r>
              <w:rPr>
                <w:b/>
                <w:bCs/>
                <w:color w:val="FFFFFF"/>
                <w:sz w:val="19"/>
                <w:szCs w:val="19"/>
              </w:rPr>
              <w:t xml:space="preserve">Role</w:t>
            </w:r>
          </w:p>
        </w:tc>
        <w:tc>
          <w:tcPr>
            <w:tcW w:type="dxa" w:w="3500"/>
            <w:shd w:fill="2B3A55" w:val="clear"/>
            <w:tcMar>
              <w:top w:type="dxa" w:w="60"/>
              <w:left w:type="dxa" w:w="90"/>
              <w:bottom w:type="dxa" w:w="60"/>
              <w:right w:type="dxa" w:w="90"/>
            </w:tcMar>
            <w:vAlign w:val="center"/>
          </w:tcPr>
          <w:p>
            <w:r>
              <w:rPr>
                <w:b/>
                <w:bCs/>
                <w:color w:val="FFFFFF"/>
                <w:sz w:val="19"/>
                <w:szCs w:val="19"/>
              </w:rPr>
              <w:t xml:space="preserve">Owns</w:t>
            </w:r>
          </w:p>
        </w:tc>
        <w:tc>
          <w:tcPr>
            <w:tcW w:type="dxa" w:w="1850"/>
            <w:shd w:fill="2B3A55" w:val="clear"/>
            <w:tcMar>
              <w:top w:type="dxa" w:w="60"/>
              <w:left w:type="dxa" w:w="90"/>
              <w:bottom w:type="dxa" w:w="60"/>
              <w:right w:type="dxa" w:w="90"/>
            </w:tcMar>
            <w:vAlign w:val="center"/>
          </w:tcPr>
          <w:p>
            <w:r>
              <w:rPr>
                <w:b/>
                <w:bCs/>
                <w:color w:val="FFFFFF"/>
                <w:sz w:val="19"/>
                <w:szCs w:val="19"/>
              </w:rPr>
              <w:t xml:space="preserve">Primary Tech</w:t>
            </w:r>
          </w:p>
        </w:tc>
        <w:tc>
          <w:tcPr>
            <w:tcW w:type="dxa" w:w="1550"/>
            <w:shd w:fill="2B3A55" w:val="clear"/>
            <w:tcMar>
              <w:top w:type="dxa" w:w="60"/>
              <w:left w:type="dxa" w:w="90"/>
              <w:bottom w:type="dxa" w:w="60"/>
              <w:right w:type="dxa" w:w="90"/>
            </w:tcMar>
            <w:vAlign w:val="center"/>
          </w:tcPr>
          <w:p>
            <w:r>
              <w:rPr>
                <w:b/>
                <w:bCs/>
                <w:color w:val="FFFFFF"/>
                <w:sz w:val="19"/>
                <w:szCs w:val="19"/>
              </w:rPr>
              <w:t xml:space="preserve">Suggested Background</w:t>
            </w:r>
          </w:p>
        </w:tc>
      </w:tr>
      <w:tr>
        <w:tc>
          <w:tcPr>
            <w:tcW w:type="dxa" w:w="2450"/>
            <w:tcMar>
              <w:top w:type="dxa" w:w="50"/>
              <w:left w:type="dxa" w:w="90"/>
              <w:bottom w:type="dxa" w:w="50"/>
              <w:right w:type="dxa" w:w="90"/>
            </w:tcMar>
          </w:tcPr>
          <w:p>
            <w:r>
              <w:rPr>
                <w:sz w:val="19"/>
                <w:szCs w:val="19"/>
              </w:rPr>
              <w:t xml:space="preserve">A — Graph &amp; Prioritization Engineer</w:t>
            </w:r>
          </w:p>
        </w:tc>
        <w:tc>
          <w:tcPr>
            <w:tcW w:type="dxa" w:w="3500"/>
            <w:tcMar>
              <w:top w:type="dxa" w:w="50"/>
              <w:left w:type="dxa" w:w="90"/>
              <w:bottom w:type="dxa" w:w="50"/>
              <w:right w:type="dxa" w:w="90"/>
            </w:tcMar>
          </w:tcPr>
          <w:p>
            <w:r>
              <w:rPr>
                <w:sz w:val="19"/>
                <w:szCs w:val="19"/>
              </w:rPr>
              <w:t xml:space="preserve">Cartography ingestion, Neo4j schema, Personalized PageRank, the network-interdiction MILP, the Stackelberg baseline, the optional GNN ablation</w:t>
            </w:r>
          </w:p>
        </w:tc>
        <w:tc>
          <w:tcPr>
            <w:tcW w:type="dxa" w:w="1850"/>
            <w:tcMar>
              <w:top w:type="dxa" w:w="50"/>
              <w:left w:type="dxa" w:w="90"/>
              <w:bottom w:type="dxa" w:w="50"/>
              <w:right w:type="dxa" w:w="90"/>
            </w:tcMar>
          </w:tcPr>
          <w:p>
            <w:r>
              <w:rPr>
                <w:sz w:val="19"/>
                <w:szCs w:val="19"/>
              </w:rPr>
              <w:t xml:space="preserve">Python, networkx, PuLP, Neo4j/Cypher</w:t>
            </w:r>
          </w:p>
        </w:tc>
        <w:tc>
          <w:tcPr>
            <w:tcW w:type="dxa" w:w="1550"/>
            <w:tcMar>
              <w:top w:type="dxa" w:w="50"/>
              <w:left w:type="dxa" w:w="90"/>
              <w:bottom w:type="dxa" w:w="50"/>
              <w:right w:type="dxa" w:w="90"/>
            </w:tcMar>
          </w:tcPr>
          <w:p>
            <w:r>
              <w:rPr>
                <w:sz w:val="19"/>
                <w:szCs w:val="19"/>
              </w:rPr>
              <w:t xml:space="preserve">Graph algorithms, comfort with Python</w:t>
            </w:r>
          </w:p>
        </w:tc>
      </w:tr>
      <w:tr>
        <w:tc>
          <w:tcPr>
            <w:tcW w:type="dxa" w:w="2450"/>
            <w:tcMar>
              <w:top w:type="dxa" w:w="50"/>
              <w:left w:type="dxa" w:w="90"/>
              <w:bottom w:type="dxa" w:w="50"/>
              <w:right w:type="dxa" w:w="90"/>
            </w:tcMar>
          </w:tcPr>
          <w:p>
            <w:r>
              <w:rPr>
                <w:sz w:val="19"/>
                <w:szCs w:val="19"/>
              </w:rPr>
              <w:t xml:space="preserve">B — Privacy &amp; Verification Engineer</w:t>
            </w:r>
          </w:p>
        </w:tc>
        <w:tc>
          <w:tcPr>
            <w:tcW w:type="dxa" w:w="3500"/>
            <w:tcMar>
              <w:top w:type="dxa" w:w="50"/>
              <w:left w:type="dxa" w:w="90"/>
              <w:bottom w:type="dxa" w:w="50"/>
              <w:right w:type="dxa" w:w="90"/>
            </w:tcMar>
          </w:tcPr>
          <w:p>
            <w:r>
              <w:rPr>
                <w:sz w:val="19"/>
                <w:szCs w:val="19"/>
              </w:rPr>
              <w:t xml:space="preserve">The privacy airlock (projection, tokenization, scrubbing, leak-check), both Rego policy libraries, the verification gate</w:t>
            </w:r>
          </w:p>
        </w:tc>
        <w:tc>
          <w:tcPr>
            <w:tcW w:type="dxa" w:w="1850"/>
            <w:tcMar>
              <w:top w:type="dxa" w:w="50"/>
              <w:left w:type="dxa" w:w="90"/>
              <w:bottom w:type="dxa" w:w="50"/>
              <w:right w:type="dxa" w:w="90"/>
            </w:tcMar>
          </w:tcPr>
          <w:p>
            <w:r>
              <w:rPr>
                <w:sz w:val="19"/>
                <w:szCs w:val="19"/>
              </w:rPr>
              <w:t xml:space="preserve">OPA/Rego, Presidio, Python</w:t>
            </w:r>
          </w:p>
        </w:tc>
        <w:tc>
          <w:tcPr>
            <w:tcW w:type="dxa" w:w="1550"/>
            <w:tcMar>
              <w:top w:type="dxa" w:w="50"/>
              <w:left w:type="dxa" w:w="90"/>
              <w:bottom w:type="dxa" w:w="50"/>
              <w:right w:type="dxa" w:w="90"/>
            </w:tcMar>
          </w:tcPr>
          <w:p>
            <w:r>
              <w:rPr>
                <w:sz w:val="19"/>
                <w:szCs w:val="19"/>
              </w:rPr>
              <w:t xml:space="preserve">Some formal-logic / math comfort</w:t>
            </w:r>
          </w:p>
        </w:tc>
      </w:tr>
      <w:tr>
        <w:tc>
          <w:tcPr>
            <w:tcW w:type="dxa" w:w="2450"/>
            <w:tcMar>
              <w:top w:type="dxa" w:w="50"/>
              <w:left w:type="dxa" w:w="90"/>
              <w:bottom w:type="dxa" w:w="50"/>
              <w:right w:type="dxa" w:w="90"/>
            </w:tcMar>
          </w:tcPr>
          <w:p>
            <w:r>
              <w:rPr>
                <w:sz w:val="19"/>
                <w:szCs w:val="19"/>
              </w:rPr>
              <w:t xml:space="preserve">C — ML Engineer</w:t>
            </w:r>
          </w:p>
        </w:tc>
        <w:tc>
          <w:tcPr>
            <w:tcW w:type="dxa" w:w="3500"/>
            <w:tcMar>
              <w:top w:type="dxa" w:w="50"/>
              <w:left w:type="dxa" w:w="90"/>
              <w:bottom w:type="dxa" w:w="50"/>
              <w:right w:type="dxa" w:w="90"/>
            </w:tcMar>
          </w:tcPr>
          <w:p>
            <w:r>
              <w:rPr>
                <w:sz w:val="19"/>
                <w:szCs w:val="19"/>
              </w:rPr>
              <w:t xml:space="preserve">The mutation engine and dataset, M1 fine-tuning (SFT → rejection sampling → optional GRPO), M2 training and calibration, the tiered generation pipeline (T0–T3), the Patch-IR schema and compiler</w:t>
            </w:r>
          </w:p>
        </w:tc>
        <w:tc>
          <w:tcPr>
            <w:tcW w:type="dxa" w:w="1850"/>
            <w:tcMar>
              <w:top w:type="dxa" w:w="50"/>
              <w:left w:type="dxa" w:w="90"/>
              <w:bottom w:type="dxa" w:w="50"/>
              <w:right w:type="dxa" w:w="90"/>
            </w:tcMar>
          </w:tcPr>
          <w:p>
            <w:r>
              <w:rPr>
                <w:sz w:val="19"/>
                <w:szCs w:val="19"/>
              </w:rPr>
              <w:t xml:space="preserve">Unsloth, Ollama/llama.cpp, LightGBM/scikit-learn</w:t>
            </w:r>
          </w:p>
        </w:tc>
        <w:tc>
          <w:tcPr>
            <w:tcW w:type="dxa" w:w="1550"/>
            <w:tcMar>
              <w:top w:type="dxa" w:w="50"/>
              <w:left w:type="dxa" w:w="90"/>
              <w:bottom w:type="dxa" w:w="50"/>
              <w:right w:type="dxa" w:w="90"/>
            </w:tcMar>
          </w:tcPr>
          <w:p>
            <w:r>
              <w:rPr>
                <w:sz w:val="19"/>
                <w:szCs w:val="19"/>
              </w:rPr>
              <w:t xml:space="preserve">Comfort with a GPU training loop; give this role to whoever is most comfortable with ML tooling</w:t>
            </w:r>
          </w:p>
        </w:tc>
      </w:tr>
      <w:tr>
        <w:tc>
          <w:tcPr>
            <w:tcW w:type="dxa" w:w="2450"/>
            <w:tcMar>
              <w:top w:type="dxa" w:w="50"/>
              <w:left w:type="dxa" w:w="90"/>
              <w:bottom w:type="dxa" w:w="50"/>
              <w:right w:type="dxa" w:w="90"/>
            </w:tcMar>
          </w:tcPr>
          <w:p>
            <w:r>
              <w:rPr>
                <w:sz w:val="19"/>
                <w:szCs w:val="19"/>
              </w:rPr>
              <w:t xml:space="preserve">D — DPDP, Research, Backend &amp; Dashboard Lead</w:t>
            </w:r>
          </w:p>
        </w:tc>
        <w:tc>
          <w:tcPr>
            <w:tcW w:type="dxa" w:w="3500"/>
            <w:tcMar>
              <w:top w:type="dxa" w:w="50"/>
              <w:left w:type="dxa" w:w="90"/>
              <w:bottom w:type="dxa" w:w="50"/>
              <w:right w:type="dxa" w:w="90"/>
            </w:tcMar>
          </w:tcPr>
          <w:p>
            <w:r>
              <w:rPr>
                <w:sz w:val="19"/>
                <w:szCs w:val="19"/>
              </w:rPr>
              <w:t xml:space="preserve">The DPDP Rule 6/7/8/15 mapping table, literature survey and paper writing from Week 1, the FastAPI backend gluing every track together, and the React dashboard including the Privacy Receipt Viewer</w:t>
            </w:r>
          </w:p>
        </w:tc>
        <w:tc>
          <w:tcPr>
            <w:tcW w:type="dxa" w:w="1850"/>
            <w:tcMar>
              <w:top w:type="dxa" w:w="50"/>
              <w:left w:type="dxa" w:w="90"/>
              <w:bottom w:type="dxa" w:w="50"/>
              <w:right w:type="dxa" w:w="90"/>
            </w:tcMar>
          </w:tcPr>
          <w:p>
            <w:r>
              <w:rPr>
                <w:sz w:val="19"/>
                <w:szCs w:val="19"/>
              </w:rPr>
              <w:t xml:space="preserve">FastAPI, React, Overleaf/LaTeX</w:t>
            </w:r>
          </w:p>
        </w:tc>
        <w:tc>
          <w:tcPr>
            <w:tcW w:type="dxa" w:w="1550"/>
            <w:tcMar>
              <w:top w:type="dxa" w:w="50"/>
              <w:left w:type="dxa" w:w="90"/>
              <w:bottom w:type="dxa" w:w="50"/>
              <w:right w:type="dxa" w:w="90"/>
            </w:tcMar>
          </w:tcPr>
          <w:p>
            <w:r>
              <w:rPr>
                <w:sz w:val="19"/>
                <w:szCs w:val="19"/>
              </w:rPr>
              <w:t xml:space="preserve">Strongest writer on the team, plus full-stack comfort</w:t>
            </w:r>
          </w:p>
        </w:tc>
      </w:tr>
    </w:tbl>
    <w:p>
      <w:pPr>
        <w:spacing w:after="150"/>
      </w:pPr>
      <w:r>
        <w:t xml:space="preserve">If the team has five members, split Role D into D1 (DPDP mapping table, research, paper writing, and the FastAPI backend integration) and D2 (dashboard and UX — the Cytoscape.js migration, empty/loading states, the Privacy Receipt Viewer, and poster/PPT visual design). If the team has only three members, merge Roles A and B — both are graph- and verification-adjacent — before merging anything into Role C, since the ML track is the part of this plan doing the most genuinely new work and benefits most from a dedicated owner.</w:t>
      </w:r>
    </w:p>
    <w:p>
      <w:pPr>
        <w:pStyle w:val="Heading1"/>
        <w:spacing w:after="200" w:before="420"/>
      </w:pPr>
      <w:r>
        <w:t xml:space="preserve">Shared Contracts — Read This Before Writing Any Code</w:t>
      </w:r>
    </w:p>
    <w:p>
      <w:pPr>
        <w:spacing w:after="150"/>
      </w:pPr>
      <w:r>
        <w:t xml:space="preserve">A project with four people building four different tracks in parallel fails at integration, not at any individual component, if the interfaces between tracks are not agreed on before anyone starts writing code. Phase 0 turns everything below into literal, committed files in the repo on Day 1 — even as stubs — so that every phase from Phase 1 onward edits an existing, agreed file rather than inventing its own shape.</w:t>
      </w:r>
    </w:p>
    <w:p>
      <w:pPr>
        <w:pStyle w:val="Heading2"/>
        <w:spacing w:after="140" w:before="260"/>
      </w:pPr>
      <w:r>
        <w:t xml:space="preserve">1. Repository Structure</w:t>
      </w:r>
    </w:p>
    <w:p>
      <w:pPr>
        <w:spacing w:after="150"/>
      </w:pPr>
      <w:r>
        <w:t xml:space="preserve">Commit this exact skeleton in Phase 0, before any real code exists:</w:t>
      </w:r>
    </w:p>
    <w:p>
      <w:pPr>
        <w:spacing w:after="0"/>
      </w:pPr>
      <w:r>
        <w:rPr>
          <w:rFonts w:ascii="Consolas" w:cs="Consolas" w:eastAsia="Consolas" w:hAnsi="Consolas"/>
          <w:sz w:val="18"/>
          <w:szCs w:val="18"/>
        </w:rPr>
        <w:t xml:space="preserve">argus/</w:t>
      </w:r>
    </w:p>
    <w:p>
      <w:pPr>
        <w:spacing w:after="0"/>
      </w:pPr>
      <w:r>
        <w:rPr>
          <w:rFonts w:ascii="Consolas" w:cs="Consolas" w:eastAsia="Consolas" w:hAnsi="Consolas"/>
          <w:sz w:val="18"/>
          <w:szCs w:val="18"/>
        </w:rPr>
        <w:t xml:space="preserve">|-- graph/            # Cartography config notes, schema.md, risk/pagerank.py</w:t>
      </w:r>
    </w:p>
    <w:p>
      <w:pPr>
        <w:spacing w:after="0"/>
      </w:pPr>
      <w:r>
        <w:rPr>
          <w:rFonts w:ascii="Consolas" w:cs="Consolas" w:eastAsia="Consolas" w:hAnsi="Consolas"/>
          <w:sz w:val="18"/>
          <w:szCs w:val="18"/>
        </w:rPr>
        <w:t xml:space="preserve">|-- prioritize/        # interdiction.py, stackelberg_baseline.py, naive.py</w:t>
      </w:r>
    </w:p>
    <w:p>
      <w:pPr>
        <w:spacing w:after="0"/>
      </w:pPr>
      <w:r>
        <w:rPr>
          <w:rFonts w:ascii="Consolas" w:cs="Consolas" w:eastAsia="Consolas" w:hAnsi="Consolas"/>
          <w:sz w:val="18"/>
          <w:szCs w:val="18"/>
        </w:rPr>
        <w:t xml:space="preserve">|-- privacy/</w:t>
      </w:r>
    </w:p>
    <w:p>
      <w:pPr>
        <w:spacing w:after="0"/>
      </w:pPr>
      <w:r>
        <w:rPr>
          <w:rFonts w:ascii="Consolas" w:cs="Consolas" w:eastAsia="Consolas" w:hAnsi="Consolas"/>
          <w:sz w:val="18"/>
          <w:szCs w:val="18"/>
        </w:rPr>
        <w:t xml:space="preserve">|   |-- airlock/       # projection.py, run_airlock()</w:t>
      </w:r>
    </w:p>
    <w:p>
      <w:pPr>
        <w:spacing w:after="0"/>
      </w:pPr>
      <w:r>
        <w:rPr>
          <w:rFonts w:ascii="Consolas" w:cs="Consolas" w:eastAsia="Consolas" w:hAnsi="Consolas"/>
          <w:sz w:val="18"/>
          <w:szCs w:val="18"/>
        </w:rPr>
        <w:t xml:space="preserve">|   |-- vault/         # local encrypted token store, rehydration</w:t>
      </w:r>
    </w:p>
    <w:p>
      <w:pPr>
        <w:spacing w:after="0"/>
      </w:pPr>
      <w:r>
        <w:rPr>
          <w:rFonts w:ascii="Consolas" w:cs="Consolas" w:eastAsia="Consolas" w:hAnsi="Consolas"/>
          <w:sz w:val="18"/>
          <w:szCs w:val="18"/>
        </w:rPr>
        <w:t xml:space="preserve">|   \-- scrubbers/     # Presidio config + India recognizers, secret scanner</w:t>
      </w:r>
    </w:p>
    <w:p>
      <w:pPr>
        <w:spacing w:after="0"/>
      </w:pPr>
      <w:r>
        <w:rPr>
          <w:rFonts w:ascii="Consolas" w:cs="Consolas" w:eastAsia="Consolas" w:hAnsi="Consolas"/>
          <w:sz w:val="18"/>
          <w:szCs w:val="18"/>
        </w:rPr>
        <w:t xml:space="preserve">|-- remediate/</w:t>
      </w:r>
    </w:p>
    <w:p>
      <w:pPr>
        <w:spacing w:after="0"/>
      </w:pPr>
      <w:r>
        <w:rPr>
          <w:rFonts w:ascii="Consolas" w:cs="Consolas" w:eastAsia="Consolas" w:hAnsi="Consolas"/>
          <w:sz w:val="18"/>
          <w:szCs w:val="18"/>
        </w:rPr>
        <w:t xml:space="preserve">|   |-- templates/     # T0 deterministic fixes, keyed by rule ID</w:t>
      </w:r>
    </w:p>
    <w:p>
      <w:pPr>
        <w:spacing w:after="0"/>
      </w:pPr>
      <w:r>
        <w:rPr>
          <w:rFonts w:ascii="Consolas" w:cs="Consolas" w:eastAsia="Consolas" w:hAnsi="Consolas"/>
          <w:sz w:val="18"/>
          <w:szCs w:val="18"/>
        </w:rPr>
        <w:t xml:space="preserve">|   |-- patch_ir/      # schema, compiler to Terraform/boto3, rollback</w:t>
      </w:r>
    </w:p>
    <w:p>
      <w:pPr>
        <w:spacing w:after="0"/>
      </w:pPr>
      <w:r>
        <w:rPr>
          <w:rFonts w:ascii="Consolas" w:cs="Consolas" w:eastAsia="Consolas" w:hAnsi="Consolas"/>
          <w:sz w:val="18"/>
          <w:szCs w:val="18"/>
        </w:rPr>
        <w:t xml:space="preserve">|   |-- local_model/   # T1 serving via Ollama/llama.cpp</w:t>
      </w:r>
    </w:p>
    <w:p>
      <w:pPr>
        <w:spacing w:after="0"/>
      </w:pPr>
      <w:r>
        <w:rPr>
          <w:rFonts w:ascii="Consolas" w:cs="Consolas" w:eastAsia="Consolas" w:hAnsi="Consolas"/>
          <w:sz w:val="18"/>
          <w:szCs w:val="18"/>
        </w:rPr>
        <w:t xml:space="preserve">|   \-- remote_opt/    # T2, off by default; sanitized-record-only client</w:t>
      </w:r>
    </w:p>
    <w:p>
      <w:pPr>
        <w:spacing w:after="0"/>
      </w:pPr>
      <w:r>
        <w:rPr>
          <w:rFonts w:ascii="Consolas" w:cs="Consolas" w:eastAsia="Consolas" w:hAnsi="Consolas"/>
          <w:sz w:val="18"/>
          <w:szCs w:val="18"/>
        </w:rPr>
        <w:t xml:space="preserve">|-- ml/</w:t>
      </w:r>
    </w:p>
    <w:p>
      <w:pPr>
        <w:spacing w:after="0"/>
      </w:pPr>
      <w:r>
        <w:rPr>
          <w:rFonts w:ascii="Consolas" w:cs="Consolas" w:eastAsia="Consolas" w:hAnsi="Consolas"/>
          <w:sz w:val="18"/>
          <w:szCs w:val="18"/>
        </w:rPr>
        <w:t xml:space="preserve">|   |-- mutation_engine/  # per-rule mutators, dataset generation</w:t>
      </w:r>
    </w:p>
    <w:p>
      <w:pPr>
        <w:spacing w:after="0"/>
      </w:pPr>
      <w:r>
        <w:rPr>
          <w:rFonts w:ascii="Consolas" w:cs="Consolas" w:eastAsia="Consolas" w:hAnsi="Consolas"/>
          <w:sz w:val="18"/>
          <w:szCs w:val="18"/>
        </w:rPr>
        <w:t xml:space="preserve">|   |-- train_m1/         # SFT, rejection sampling, optional GRPO</w:t>
      </w:r>
    </w:p>
    <w:p>
      <w:pPr>
        <w:spacing w:after="0"/>
      </w:pPr>
      <w:r>
        <w:rPr>
          <w:rFonts w:ascii="Consolas" w:cs="Consolas" w:eastAsia="Consolas" w:hAnsi="Consolas"/>
          <w:sz w:val="18"/>
          <w:szCs w:val="18"/>
        </w:rPr>
        <w:t xml:space="preserve">|   \-- train_m2/         # confidence model + isotonic + conformal threshold</w:t>
      </w:r>
    </w:p>
    <w:p>
      <w:pPr>
        <w:spacing w:after="0"/>
      </w:pPr>
      <w:r>
        <w:rPr>
          <w:rFonts w:ascii="Consolas" w:cs="Consolas" w:eastAsia="Consolas" w:hAnsi="Consolas"/>
          <w:sz w:val="18"/>
          <w:szCs w:val="18"/>
        </w:rPr>
        <w:t xml:space="preserve">|-- policy/</w:t>
      </w:r>
    </w:p>
    <w:p>
      <w:pPr>
        <w:spacing w:after="0"/>
      </w:pPr>
      <w:r>
        <w:rPr>
          <w:rFonts w:ascii="Consolas" w:cs="Consolas" w:eastAsia="Consolas" w:hAnsi="Consolas"/>
          <w:sz w:val="18"/>
          <w:szCs w:val="18"/>
        </w:rPr>
        <w:t xml:space="preserve">|   |-- generic/       # CIS-style Rego rules</w:t>
      </w:r>
    </w:p>
    <w:p>
      <w:pPr>
        <w:spacing w:after="0"/>
      </w:pPr>
      <w:r>
        <w:rPr>
          <w:rFonts w:ascii="Consolas" w:cs="Consolas" w:eastAsia="Consolas" w:hAnsi="Consolas"/>
          <w:sz w:val="18"/>
          <w:szCs w:val="18"/>
        </w:rPr>
        <w:t xml:space="preserve">|   \-- dpdp/          # Rule 6/7/8/15 Rego rules</w:t>
      </w:r>
    </w:p>
    <w:p>
      <w:pPr>
        <w:spacing w:after="0"/>
      </w:pPr>
      <w:r>
        <w:rPr>
          <w:rFonts w:ascii="Consolas" w:cs="Consolas" w:eastAsia="Consolas" w:hAnsi="Consolas"/>
          <w:sz w:val="18"/>
          <w:szCs w:val="18"/>
        </w:rPr>
        <w:t xml:space="preserve">|-- verify/            # gate: policy + risk regression + intent + no-new-principal</w:t>
      </w:r>
    </w:p>
    <w:p>
      <w:pPr>
        <w:spacing w:after="0"/>
      </w:pPr>
      <w:r>
        <w:rPr>
          <w:rFonts w:ascii="Consolas" w:cs="Consolas" w:eastAsia="Consolas" w:hAnsi="Consolas"/>
          <w:sz w:val="18"/>
          <w:szCs w:val="18"/>
        </w:rPr>
        <w:t xml:space="preserve">|-- backend/           # FastAPI app, endpoints, audit log / approval queue DB</w:t>
      </w:r>
    </w:p>
    <w:p>
      <w:pPr>
        <w:spacing w:after="0"/>
      </w:pPr>
      <w:r>
        <w:rPr>
          <w:rFonts w:ascii="Consolas" w:cs="Consolas" w:eastAsia="Consolas" w:hAnsi="Consolas"/>
          <w:sz w:val="18"/>
          <w:szCs w:val="18"/>
        </w:rPr>
        <w:t xml:space="preserve">|-- dashboard/         # React frontend, incl. Privacy Receipt Viewer</w:t>
      </w:r>
    </w:p>
    <w:p>
      <w:pPr>
        <w:spacing w:after="0"/>
      </w:pPr>
      <w:r>
        <w:rPr>
          <w:rFonts w:ascii="Consolas" w:cs="Consolas" w:eastAsia="Consolas" w:hAnsi="Consolas"/>
          <w:sz w:val="18"/>
          <w:szCs w:val="18"/>
        </w:rPr>
        <w:t xml:space="preserve">|-- testbeds/          # CloudGoat configs, held-out eval set</w:t>
      </w:r>
    </w:p>
    <w:p>
      <w:pPr>
        <w:spacing w:after="0"/>
      </w:pPr>
      <w:r>
        <w:rPr>
          <w:rFonts w:ascii="Consolas" w:cs="Consolas" w:eastAsia="Consolas" w:hAnsi="Consolas"/>
          <w:sz w:val="18"/>
          <w:szCs w:val="18"/>
        </w:rPr>
        <w:t xml:space="preserve">|-- docs/              # this document, the DPDP mapping table, decisions log</w:t>
      </w:r>
    </w:p>
    <w:p>
      <w:pPr>
        <w:spacing w:after="0"/>
      </w:pPr>
      <w:r>
        <w:rPr>
          <w:rFonts w:ascii="Consolas" w:cs="Consolas" w:eastAsia="Consolas" w:hAnsi="Consolas"/>
          <w:sz w:val="18"/>
          <w:szCs w:val="18"/>
        </w:rPr>
        <w:t xml:space="preserve">\-- paper/             # the IEEE manuscript source</w:t>
      </w:r>
    </w:p>
    <w:p>
      <w:pPr>
        <w:pStyle w:val="Heading2"/>
        <w:spacing w:after="140" w:before="260"/>
      </w:pPr>
      <w:r>
        <w:t xml:space="preserve">2. Git Workflow</w:t>
      </w:r>
    </w:p>
    <w:p>
      <w:pPr>
        <w:pStyle w:val="ListParagraph"/>
        <w:numPr>
          <w:ilvl w:val="0"/>
          <w:numId w:val="2"/>
        </w:numPr>
        <w:spacing w:after="70"/>
      </w:pPr>
      <w:r>
        <w:t xml:space="preserve">One branch per track (graph/, privacy/, ml/, dashboard/), merged into main via pull request with at least one reviewer from a different track.</w:t>
      </w:r>
    </w:p>
    <w:p>
      <w:pPr>
        <w:pStyle w:val="ListParagraph"/>
        <w:numPr>
          <w:ilvl w:val="0"/>
          <w:numId w:val="2"/>
        </w:numPr>
        <w:spacing w:after="70"/>
      </w:pPr>
      <w:r>
        <w:t xml:space="preserve">A short weekly ‘integration day’ where every open branch is merged and the full docker-compose stack is run together — catching drift weekly is far cheaper than catching it in Phase 9.</w:t>
      </w:r>
    </w:p>
    <w:p>
      <w:pPr>
        <w:pStyle w:val="ListParagraph"/>
        <w:numPr>
          <w:ilvl w:val="0"/>
          <w:numId w:val="2"/>
        </w:numPr>
        <w:spacing w:after="70"/>
      </w:pPr>
      <w:r>
        <w:t xml:space="preserve">Every function signature listed in a phase's Integration Checkpoint is treated as a contract: changing it requires a message to the team, not a silent edit.</w:t>
      </w:r>
    </w:p>
    <w:p>
      <w:pPr>
        <w:pStyle w:val="Heading2"/>
        <w:spacing w:after="140" w:before="260"/>
      </w:pPr>
      <w:r>
        <w:t xml:space="preserve">3. Neo4j Graph Schema (graph/schema.md)</w:t>
      </w:r>
    </w:p>
    <w:p>
      <w:pPr>
        <w:spacing w:after="150"/>
      </w:pPr>
      <w:r>
        <w:t xml:space="preserve">The single source of truth for node labels and edge types, populated with what Cartography actually produces in Phase 1 (not an idealized list). Every later Rego rule, mutation-engine mutator, and risk-scoring function reads field names from this file.</w:t>
      </w:r>
    </w:p>
    <w:p>
      <w:pPr>
        <w:pStyle w:val="Heading2"/>
        <w:spacing w:after="140" w:before="260"/>
      </w:pPr>
      <w:r>
        <w:t xml:space="preserve">4. Patch-IR JSON Schema</w:t>
      </w:r>
    </w:p>
    <w:p>
      <w:pPr>
        <w:spacing w:after="150"/>
      </w:pPr>
      <w:r>
        <w:t xml:space="preserve">The closed, typed operation vocabulary every remediation tier (T0–T2) must emit — never free-form Terraform or shell commands: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"type": "object",</w:t>
      </w:r>
    </w:p>
    <w:p>
      <w:pPr>
        <w:spacing w:after="0"/>
      </w:pPr>
      <w:r>
        <w:rPr>
          <w:rFonts w:ascii="Consolas" w:cs="Consolas" w:eastAsia="Consolas" w:hAnsi="Consolas"/>
          <w:sz w:val="18"/>
          <w:szCs w:val="18"/>
        </w:rPr>
        <w:t xml:space="preserve">  "required": ["finding_id", "resource_ref", "ops", "rationale_ref"],</w:t>
      </w:r>
    </w:p>
    <w:p>
      <w:pPr>
        <w:spacing w:after="0"/>
      </w:pPr>
      <w:r>
        <w:rPr>
          <w:rFonts w:ascii="Consolas" w:cs="Consolas" w:eastAsia="Consolas" w:hAnsi="Consolas"/>
          <w:sz w:val="18"/>
          <w:szCs w:val="18"/>
        </w:rPr>
        <w:t xml:space="preserve">  "properties": {</w:t>
      </w:r>
    </w:p>
    <w:p>
      <w:pPr>
        <w:spacing w:after="0"/>
      </w:pPr>
      <w:r>
        <w:rPr>
          <w:rFonts w:ascii="Consolas" w:cs="Consolas" w:eastAsia="Consolas" w:hAnsi="Consolas"/>
          <w:sz w:val="18"/>
          <w:szCs w:val="18"/>
        </w:rPr>
        <w:t xml:space="preserve">    "finding_id":  { "type": "string" },</w:t>
      </w:r>
    </w:p>
    <w:p>
      <w:pPr>
        <w:spacing w:after="0"/>
      </w:pPr>
      <w:r>
        <w:rPr>
          <w:rFonts w:ascii="Consolas" w:cs="Consolas" w:eastAsia="Consolas" w:hAnsi="Consolas"/>
          <w:sz w:val="18"/>
          <w:szCs w:val="18"/>
        </w:rPr>
        <w:t xml:space="preserve">    "resource_ref": { "type": "string", "pattern": "^[A-Z_]+_[0-9]+$" },</w:t>
      </w:r>
    </w:p>
    <w:p>
      <w:pPr>
        <w:spacing w:after="0"/>
      </w:pPr>
      <w:r>
        <w:rPr>
          <w:rFonts w:ascii="Consolas" w:cs="Consolas" w:eastAsia="Consolas" w:hAnsi="Consolas"/>
          <w:sz w:val="18"/>
          <w:szCs w:val="18"/>
        </w:rPr>
        <w:t xml:space="preserve">    "ops": {</w:t>
      </w:r>
    </w:p>
    <w:p>
      <w:pPr>
        <w:spacing w:after="0"/>
      </w:pPr>
      <w:r>
        <w:rPr>
          <w:rFonts w:ascii="Consolas" w:cs="Consolas" w:eastAsia="Consolas" w:hAnsi="Consolas"/>
          <w:sz w:val="18"/>
          <w:szCs w:val="18"/>
        </w:rPr>
        <w:t xml:space="preserve">      "type": "array", "minItems": 1,</w:t>
      </w:r>
    </w:p>
    <w:p>
      <w:pPr>
        <w:spacing w:after="0"/>
      </w:pPr>
      <w:r>
        <w:rPr>
          <w:rFonts w:ascii="Consolas" w:cs="Consolas" w:eastAsia="Consolas" w:hAnsi="Consolas"/>
          <w:sz w:val="18"/>
          <w:szCs w:val="18"/>
        </w:rPr>
        <w:t xml:space="preserve">      "items": {</w:t>
      </w:r>
    </w:p>
    <w:p>
      <w:pPr>
        <w:spacing w:after="0"/>
      </w:pPr>
      <w:r>
        <w:rPr>
          <w:rFonts w:ascii="Consolas" w:cs="Consolas" w:eastAsia="Consolas" w:hAnsi="Consolas"/>
          <w:sz w:val="18"/>
          <w:szCs w:val="18"/>
        </w:rPr>
        <w:t xml:space="preserve">        "type": "object", "required": ["op"],</w:t>
      </w:r>
    </w:p>
    <w:p>
      <w:pPr>
        <w:spacing w:after="0"/>
      </w:pPr>
      <w:r>
        <w:rPr>
          <w:rFonts w:ascii="Consolas" w:cs="Consolas" w:eastAsia="Consolas" w:hAnsi="Consolas"/>
          <w:sz w:val="18"/>
          <w:szCs w:val="18"/>
        </w:rPr>
        <w:t xml:space="preserve">        "properties": {</w:t>
      </w:r>
    </w:p>
    <w:p>
      <w:pPr>
        <w:spacing w:after="0"/>
      </w:pPr>
      <w:r>
        <w:rPr>
          <w:rFonts w:ascii="Consolas" w:cs="Consolas" w:eastAsia="Consolas" w:hAnsi="Consolas"/>
          <w:sz w:val="18"/>
          <w:szCs w:val="18"/>
        </w:rPr>
        <w:t xml:space="preserve">          "op": { "enum": ["set_attr", "add_policy_statement",</w:t>
      </w:r>
    </w:p>
    <w:p>
      <w:pPr>
        <w:spacing w:after="0"/>
      </w:pPr>
      <w:r>
        <w:rPr>
          <w:rFonts w:ascii="Consolas" w:cs="Consolas" w:eastAsia="Consolas" w:hAnsi="Consolas"/>
          <w:sz w:val="18"/>
          <w:szCs w:val="18"/>
        </w:rPr>
        <w:t xml:space="preserve">                   "remove_policy_statement", "restrict_cidr",</w:t>
      </w:r>
    </w:p>
    <w:p>
      <w:pPr>
        <w:spacing w:after="0"/>
      </w:pPr>
      <w:r>
        <w:rPr>
          <w:rFonts w:ascii="Consolas" w:cs="Consolas" w:eastAsia="Consolas" w:hAnsi="Consolas"/>
          <w:sz w:val="18"/>
          <w:szCs w:val="18"/>
        </w:rPr>
        <w:t xml:space="preserve">                   "enable_feature", "set_lifecycle_rule", "escalate"] },</w:t>
      </w:r>
    </w:p>
    <w:p>
      <w:pPr>
        <w:spacing w:after="0"/>
      </w:pPr>
      <w:r>
        <w:rPr>
          <w:rFonts w:ascii="Consolas" w:cs="Consolas" w:eastAsia="Consolas" w:hAnsi="Consolas"/>
          <w:sz w:val="18"/>
          <w:szCs w:val="18"/>
        </w:rPr>
        <w:t xml:space="preserve">          "attr": { "type": "string" },</w:t>
      </w:r>
    </w:p>
    <w:p>
      <w:pPr>
        <w:spacing w:after="0"/>
      </w:pPr>
      <w:r>
        <w:rPr>
          <w:rFonts w:ascii="Consolas" w:cs="Consolas" w:eastAsia="Consolas" w:hAnsi="Consolas"/>
          <w:sz w:val="18"/>
          <w:szCs w:val="18"/>
        </w:rPr>
        <w:t xml:space="preserve">          "value": {},</w:t>
      </w:r>
    </w:p>
    <w:p>
      <w:pPr>
        <w:spacing w:after="0"/>
      </w:pPr>
      <w:r>
        <w:rPr>
          <w:rFonts w:ascii="Consolas" w:cs="Consolas" w:eastAsia="Consolas" w:hAnsi="Consolas"/>
          <w:sz w:val="18"/>
          <w:szCs w:val="18"/>
        </w:rPr>
        <w:t xml:space="preserve">          "reason": { "type": "string"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"rationale_ref": { "type": "string"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pStyle w:val="Heading2"/>
        <w:spacing w:after="140" w:before="260"/>
      </w:pPr>
      <w:r>
        <w:t xml:space="preserve">5. Privacy Receipt Schema</w:t>
      </w:r>
    </w:p>
    <w:p>
      <w:pPr>
        <w:spacing w:after="150"/>
      </w:pPr>
      <w:r>
        <w:t xml:space="preserve">Written for every finding, every tier, every outcome — this is what the Privacy Receipt Viewer (Phase 8) renders directly:</w:t>
      </w:r>
    </w:p>
    <w:p>
      <w:pPr>
        <w:spacing w:after="0"/>
      </w:pPr>
      <w:r>
        <w:rPr>
          <w:rFonts w:ascii="Consolas" w:cs="Consolas" w:eastAsia="Consolas" w:hAnsi="Consolas"/>
          <w:sz w:val="18"/>
          <w:szCs w:val="18"/>
        </w:rPr>
        <w:t xml:space="preserve">finding_id, rule_id                    (which check triggered this)</w:t>
      </w:r>
    </w:p>
    <w:p>
      <w:pPr>
        <w:spacing w:after="0"/>
      </w:pPr>
      <w:r>
        <w:rPr>
          <w:rFonts w:ascii="Consolas" w:cs="Consolas" w:eastAsia="Consolas" w:hAnsi="Consolas"/>
          <w:sz w:val="18"/>
          <w:szCs w:val="18"/>
        </w:rPr>
        <w:t xml:space="preserve">projected_fields: { attr: value, ... } (only what rule_id declares it reads)</w:t>
      </w:r>
    </w:p>
    <w:p>
      <w:pPr>
        <w:spacing w:after="0"/>
      </w:pPr>
      <w:r>
        <w:rPr>
          <w:rFonts w:ascii="Consolas" w:cs="Consolas" w:eastAsia="Consolas" w:hAnsi="Consolas"/>
          <w:sz w:val="18"/>
          <w:szCs w:val="18"/>
        </w:rPr>
        <w:t xml:space="preserve">tokens: { BUCKET_3: &lt;vault-ref&gt;, ... } (never the real value, inline)</w:t>
      </w:r>
    </w:p>
    <w:p>
      <w:pPr>
        <w:spacing w:after="0"/>
      </w:pPr>
      <w:r>
        <w:rPr>
          <w:rFonts w:ascii="Consolas" w:cs="Consolas" w:eastAsia="Consolas" w:hAnsi="Consolas"/>
          <w:sz w:val="18"/>
          <w:szCs w:val="18"/>
        </w:rPr>
        <w:t xml:space="preserve">scrub_result: { presidio_hits: 0, secret_scan_hits: 0 }</w:t>
      </w:r>
    </w:p>
    <w:p>
      <w:pPr>
        <w:spacing w:after="0"/>
      </w:pPr>
      <w:r>
        <w:rPr>
          <w:rFonts w:ascii="Consolas" w:cs="Consolas" w:eastAsia="Consolas" w:hAnsi="Consolas"/>
          <w:sz w:val="18"/>
          <w:szCs w:val="18"/>
        </w:rPr>
        <w:t xml:space="preserve">tier_used: T0 | T1 | T2</w:t>
      </w:r>
    </w:p>
    <w:p>
      <w:pPr>
        <w:spacing w:after="0"/>
      </w:pPr>
      <w:r>
        <w:rPr>
          <w:rFonts w:ascii="Consolas" w:cs="Consolas" w:eastAsia="Consolas" w:hAnsi="Consolas"/>
          <w:sz w:val="18"/>
          <w:szCs w:val="18"/>
        </w:rPr>
        <w:t xml:space="preserve">leaked_to_network: false               (true only if T2 fired)</w:t>
      </w:r>
    </w:p>
    <w:p>
      <w:pPr>
        <w:pStyle w:val="Heading2"/>
        <w:spacing w:after="140" w:before="260"/>
      </w:pPr>
      <w:r>
        <w:t xml:space="preserve">6. FastAPI Response Shapes</w:t>
      </w:r>
    </w:p>
    <w:p>
      <w:pPr>
        <w:spacing w:after="150"/>
      </w:pPr>
      <w:r>
        <w:t xml:space="preserve">Every backend endpoint built in Phase 7 must return data in the exact same shape the dashboard's existing mock objects already use (iamNodes / iamEdges, iamFindings, iamComp, iamRem) — this is what makes the Phase 8 frontend swap mechanical rather than a rewrite. Add a new endpoint to the shared Postman collection the same day it is built.</w:t>
      </w:r>
    </w:p>
    <w:p>
      <w:pPr>
        <w:pStyle w:val="Heading2"/>
        <w:spacing w:after="140" w:before="260"/>
      </w:pPr>
      <w:r>
        <w:t xml:space="preserve">7. Environment &amp; Config</w:t>
      </w:r>
    </w:p>
    <w:p>
      <w:pPr>
        <w:spacing w:after="150"/>
      </w:pPr>
      <w:r>
        <w:t xml:space="preserve">One root docker-compose.yml (Neo4j + backend + frontend dev server) and one .env.example listing every required variable (AWS role ARN, feature flags including the T2 opt-in default of false, VITE_USE_MOCK_DATA) — committed in Phase 0, extended by later phases, never duplicated per-track.</w:t>
      </w:r>
    </w:p>
    <w:p>
      <w:pPr>
        <w:pStyle w:val="Heading1"/>
        <w:spacing w:after="200" w:before="420"/>
      </w:pPr>
      <w:r>
        <w:t xml:space="preserve">Master Dependency Map</w:t>
      </w:r>
    </w:p>
    <w:p>
      <w:pPr>
        <w:spacing w:after="150"/>
      </w:pPr>
      <w:r>
        <w:t xml:space="preserve">Read this table before assigning who starts what, and again before each weekly integration day. “Depends On” lists what must already exist; “Can Run In Parallel With” lists what other tracks should be doing at the same time so the 18-week schedule actually compresses instead of running phase-by-phase serially.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2000"/>
        <w:gridCol w:w="1900"/>
        <w:gridCol w:w="27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Phase</w:t>
            </w:r>
          </w:p>
        </w:tc>
        <w:tc>
          <w:tcPr>
            <w:tcW w:type="dxa" w:w="1000"/>
            <w:shd w:fill="2B3A55" w:val="clear"/>
            <w:tcMar>
              <w:top w:type="dxa" w:w="60"/>
              <w:left w:type="dxa" w:w="90"/>
              <w:bottom w:type="dxa" w:w="60"/>
              <w:right w:type="dxa" w:w="90"/>
            </w:tcMar>
            <w:vAlign w:val="center"/>
          </w:tcPr>
          <w:p>
            <w:r>
              <w:rPr>
                <w:b/>
                <w:bCs/>
                <w:color w:val="FFFFFF"/>
                <w:sz w:val="19"/>
                <w:szCs w:val="19"/>
              </w:rPr>
              <w:t xml:space="preserve">Weeks</w:t>
            </w:r>
          </w:p>
        </w:tc>
        <w:tc>
          <w:tcPr>
            <w:tcW w:type="dxa" w:w="2000"/>
            <w:shd w:fill="2B3A55" w:val="clear"/>
            <w:tcMar>
              <w:top w:type="dxa" w:w="60"/>
              <w:left w:type="dxa" w:w="90"/>
              <w:bottom w:type="dxa" w:w="60"/>
              <w:right w:type="dxa" w:w="90"/>
            </w:tcMar>
            <w:vAlign w:val="center"/>
          </w:tcPr>
          <w:p>
            <w:r>
              <w:rPr>
                <w:b/>
                <w:bCs/>
                <w:color w:val="FFFFFF"/>
                <w:sz w:val="19"/>
                <w:szCs w:val="19"/>
              </w:rPr>
              <w:t xml:space="preserve">Depends On</w:t>
            </w:r>
          </w:p>
        </w:tc>
        <w:tc>
          <w:tcPr>
            <w:tcW w:type="dxa" w:w="1900"/>
            <w:shd w:fill="2B3A55" w:val="clear"/>
            <w:tcMar>
              <w:top w:type="dxa" w:w="60"/>
              <w:left w:type="dxa" w:w="90"/>
              <w:bottom w:type="dxa" w:w="60"/>
              <w:right w:type="dxa" w:w="90"/>
            </w:tcMar>
            <w:vAlign w:val="center"/>
          </w:tcPr>
          <w:p>
            <w:r>
              <w:rPr>
                <w:b/>
                <w:bCs/>
                <w:color w:val="FFFFFF"/>
                <w:sz w:val="19"/>
                <w:szCs w:val="19"/>
              </w:rPr>
              <w:t xml:space="preserve">Feeds Into</w:t>
            </w:r>
          </w:p>
        </w:tc>
        <w:tc>
          <w:tcPr>
            <w:tcW w:type="dxa" w:w="2700"/>
            <w:shd w:fill="2B3A55" w:val="clear"/>
            <w:tcMar>
              <w:top w:type="dxa" w:w="60"/>
              <w:left w:type="dxa" w:w="90"/>
              <w:bottom w:type="dxa" w:w="60"/>
              <w:right w:type="dxa" w:w="90"/>
            </w:tcMar>
            <w:vAlign w:val="center"/>
          </w:tcPr>
          <w:p>
            <w:r>
              <w:rPr>
                <w:b/>
                <w:bCs/>
                <w:color w:val="FFFFFF"/>
                <w:sz w:val="19"/>
                <w:szCs w:val="19"/>
              </w:rPr>
              <w:t xml:space="preserve">Can Run In Parallel With</w:t>
            </w:r>
          </w:p>
        </w:tc>
      </w:tr>
      <w:tr>
        <w:tc>
          <w:tcPr>
            <w:tcW w:type="dxa" w:w="1750"/>
            <w:tcMar>
              <w:top w:type="dxa" w:w="50"/>
              <w:left w:type="dxa" w:w="90"/>
              <w:bottom w:type="dxa" w:w="50"/>
              <w:right w:type="dxa" w:w="90"/>
            </w:tcMar>
          </w:tcPr>
          <w:p>
            <w:r>
              <w:rPr>
                <w:sz w:val="19"/>
                <w:szCs w:val="19"/>
              </w:rPr>
              <w:t xml:space="preserve">0. Setup</w:t>
            </w:r>
          </w:p>
        </w:tc>
        <w:tc>
          <w:tcPr>
            <w:tcW w:type="dxa" w:w="1000"/>
            <w:tcMar>
              <w:top w:type="dxa" w:w="50"/>
              <w:left w:type="dxa" w:w="90"/>
              <w:bottom w:type="dxa" w:w="50"/>
              <w:right w:type="dxa" w:w="90"/>
            </w:tcMar>
          </w:tcPr>
          <w:p>
            <w:r>
              <w:rPr>
                <w:sz w:val="19"/>
                <w:szCs w:val="19"/>
              </w:rPr>
              <w:t xml:space="preserve">0</w:t>
            </w:r>
          </w:p>
        </w:tc>
        <w:tc>
          <w:tcPr>
            <w:tcW w:type="dxa" w:w="2000"/>
            <w:tcMar>
              <w:top w:type="dxa" w:w="50"/>
              <w:left w:type="dxa" w:w="90"/>
              <w:bottom w:type="dxa" w:w="50"/>
              <w:right w:type="dxa" w:w="90"/>
            </w:tcMar>
          </w:tcPr>
          <w:p>
            <w:r>
              <w:rPr>
                <w:sz w:val="19"/>
                <w:szCs w:val="19"/>
              </w:rPr>
              <w:t xml:space="preserve">—</w:t>
            </w:r>
          </w:p>
        </w:tc>
        <w:tc>
          <w:tcPr>
            <w:tcW w:type="dxa" w:w="1900"/>
            <w:tcMar>
              <w:top w:type="dxa" w:w="50"/>
              <w:left w:type="dxa" w:w="90"/>
              <w:bottom w:type="dxa" w:w="50"/>
              <w:right w:type="dxa" w:w="90"/>
            </w:tcMar>
          </w:tcPr>
          <w:p>
            <w:r>
              <w:rPr>
                <w:sz w:val="19"/>
                <w:szCs w:val="19"/>
              </w:rPr>
              <w:t xml:space="preserve">Everything</w:t>
            </w:r>
          </w:p>
        </w:tc>
        <w:tc>
          <w:tcPr>
            <w:tcW w:type="dxa" w:w="27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1. Foundation</w:t>
            </w:r>
          </w:p>
        </w:tc>
        <w:tc>
          <w:tcPr>
            <w:tcW w:type="dxa" w:w="1000"/>
            <w:tcMar>
              <w:top w:type="dxa" w:w="50"/>
              <w:left w:type="dxa" w:w="90"/>
              <w:bottom w:type="dxa" w:w="50"/>
              <w:right w:type="dxa" w:w="90"/>
            </w:tcMar>
          </w:tcPr>
          <w:p>
            <w:r>
              <w:rPr>
                <w:sz w:val="19"/>
                <w:szCs w:val="19"/>
              </w:rPr>
              <w:t xml:space="preserve">1–2</w:t>
            </w:r>
          </w:p>
        </w:tc>
        <w:tc>
          <w:tcPr>
            <w:tcW w:type="dxa" w:w="2000"/>
            <w:tcMar>
              <w:top w:type="dxa" w:w="50"/>
              <w:left w:type="dxa" w:w="90"/>
              <w:bottom w:type="dxa" w:w="50"/>
              <w:right w:type="dxa" w:w="90"/>
            </w:tcMar>
          </w:tcPr>
          <w:p>
            <w:r>
              <w:rPr>
                <w:sz w:val="19"/>
                <w:szCs w:val="19"/>
              </w:rPr>
              <w:t xml:space="preserve">0</w:t>
            </w:r>
          </w:p>
        </w:tc>
        <w:tc>
          <w:tcPr>
            <w:tcW w:type="dxa" w:w="1900"/>
            <w:tcMar>
              <w:top w:type="dxa" w:w="50"/>
              <w:left w:type="dxa" w:w="90"/>
              <w:bottom w:type="dxa" w:w="50"/>
              <w:right w:type="dxa" w:w="90"/>
            </w:tcMar>
          </w:tcPr>
          <w:p>
            <w:r>
              <w:rPr>
                <w:sz w:val="19"/>
                <w:szCs w:val="19"/>
              </w:rPr>
              <w:t xml:space="preserve">2, 3, 4, 5 (skeleton)</w:t>
            </w:r>
          </w:p>
        </w:tc>
        <w:tc>
          <w:tcPr>
            <w:tcW w:type="dxa" w:w="27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2. Risk Engine</w:t>
            </w:r>
          </w:p>
        </w:tc>
        <w:tc>
          <w:tcPr>
            <w:tcW w:type="dxa" w:w="1000"/>
            <w:tcMar>
              <w:top w:type="dxa" w:w="50"/>
              <w:left w:type="dxa" w:w="90"/>
              <w:bottom w:type="dxa" w:w="50"/>
              <w:right w:type="dxa" w:w="90"/>
            </w:tcMar>
          </w:tcPr>
          <w:p>
            <w:r>
              <w:rPr>
                <w:sz w:val="19"/>
                <w:szCs w:val="19"/>
              </w:rPr>
              <w:t xml:space="preserve">3–5</w:t>
            </w:r>
          </w:p>
        </w:tc>
        <w:tc>
          <w:tcPr>
            <w:tcW w:type="dxa" w:w="2000"/>
            <w:tcMar>
              <w:top w:type="dxa" w:w="50"/>
              <w:left w:type="dxa" w:w="90"/>
              <w:bottom w:type="dxa" w:w="50"/>
              <w:right w:type="dxa" w:w="90"/>
            </w:tcMar>
          </w:tcPr>
          <w:p>
            <w:r>
              <w:rPr>
                <w:sz w:val="19"/>
                <w:szCs w:val="19"/>
              </w:rPr>
              <w:t xml:space="preserve">1</w:t>
            </w:r>
          </w:p>
        </w:tc>
        <w:tc>
          <w:tcPr>
            <w:tcW w:type="dxa" w:w="1900"/>
            <w:tcMar>
              <w:top w:type="dxa" w:w="50"/>
              <w:left w:type="dxa" w:w="90"/>
              <w:bottom w:type="dxa" w:w="50"/>
              <w:right w:type="dxa" w:w="90"/>
            </w:tcMar>
          </w:tcPr>
          <w:p>
            <w:r>
              <w:rPr>
                <w:sz w:val="19"/>
                <w:szCs w:val="19"/>
              </w:rPr>
              <w:t xml:space="preserve">3, 7</w:t>
            </w:r>
          </w:p>
        </w:tc>
        <w:tc>
          <w:tcPr>
            <w:tcW w:type="dxa" w:w="2700"/>
            <w:tcMar>
              <w:top w:type="dxa" w:w="50"/>
              <w:left w:type="dxa" w:w="90"/>
              <w:bottom w:type="dxa" w:w="50"/>
              <w:right w:type="dxa" w:w="90"/>
            </w:tcMar>
          </w:tcPr>
          <w:p>
            <w:r>
              <w:rPr>
                <w:sz w:val="19"/>
                <w:szCs w:val="19"/>
              </w:rPr>
              <w:t xml:space="preserve">4</w:t>
            </w:r>
          </w:p>
        </w:tc>
      </w:tr>
      <w:tr>
        <w:tc>
          <w:tcPr>
            <w:tcW w:type="dxa" w:w="1750"/>
            <w:tcMar>
              <w:top w:type="dxa" w:w="50"/>
              <w:left w:type="dxa" w:w="90"/>
              <w:bottom w:type="dxa" w:w="50"/>
              <w:right w:type="dxa" w:w="90"/>
            </w:tcMar>
          </w:tcPr>
          <w:p>
            <w:r>
              <w:rPr>
                <w:sz w:val="19"/>
                <w:szCs w:val="19"/>
              </w:rPr>
              <w:t xml:space="preserve">3. Prioritization</w:t>
            </w:r>
          </w:p>
        </w:tc>
        <w:tc>
          <w:tcPr>
            <w:tcW w:type="dxa" w:w="1000"/>
            <w:tcMar>
              <w:top w:type="dxa" w:w="50"/>
              <w:left w:type="dxa" w:w="90"/>
              <w:bottom w:type="dxa" w:w="50"/>
              <w:right w:type="dxa" w:w="90"/>
            </w:tcMar>
          </w:tcPr>
          <w:p>
            <w:r>
              <w:rPr>
                <w:sz w:val="19"/>
                <w:szCs w:val="19"/>
              </w:rPr>
              <w:t xml:space="preserve">5–6</w:t>
            </w:r>
          </w:p>
        </w:tc>
        <w:tc>
          <w:tcPr>
            <w:tcW w:type="dxa" w:w="2000"/>
            <w:tcMar>
              <w:top w:type="dxa" w:w="50"/>
              <w:left w:type="dxa" w:w="90"/>
              <w:bottom w:type="dxa" w:w="50"/>
              <w:right w:type="dxa" w:w="90"/>
            </w:tcMar>
          </w:tcPr>
          <w:p>
            <w:r>
              <w:rPr>
                <w:sz w:val="19"/>
                <w:szCs w:val="19"/>
              </w:rPr>
              <w:t xml:space="preserve">2</w:t>
            </w:r>
          </w:p>
        </w:tc>
        <w:tc>
          <w:tcPr>
            <w:tcW w:type="dxa" w:w="1900"/>
            <w:tcMar>
              <w:top w:type="dxa" w:w="50"/>
              <w:left w:type="dxa" w:w="90"/>
              <w:bottom w:type="dxa" w:w="50"/>
              <w:right w:type="dxa" w:w="90"/>
            </w:tcMar>
          </w:tcPr>
          <w:p>
            <w:r>
              <w:rPr>
                <w:sz w:val="19"/>
                <w:szCs w:val="19"/>
              </w:rPr>
              <w:t xml:space="preserve">7, 8</w:t>
            </w:r>
          </w:p>
        </w:tc>
        <w:tc>
          <w:tcPr>
            <w:tcW w:type="dxa" w:w="2700"/>
            <w:tcMar>
              <w:top w:type="dxa" w:w="50"/>
              <w:left w:type="dxa" w:w="90"/>
              <w:bottom w:type="dxa" w:w="50"/>
              <w:right w:type="dxa" w:w="90"/>
            </w:tcMar>
          </w:tcPr>
          <w:p>
            <w:r>
              <w:rPr>
                <w:sz w:val="19"/>
                <w:szCs w:val="19"/>
              </w:rPr>
              <w:t xml:space="preserve">4</w:t>
            </w:r>
          </w:p>
        </w:tc>
      </w:tr>
      <w:tr>
        <w:tc>
          <w:tcPr>
            <w:tcW w:type="dxa" w:w="1750"/>
            <w:tcMar>
              <w:top w:type="dxa" w:w="50"/>
              <w:left w:type="dxa" w:w="90"/>
              <w:bottom w:type="dxa" w:w="50"/>
              <w:right w:type="dxa" w:w="90"/>
            </w:tcMar>
          </w:tcPr>
          <w:p>
            <w:r>
              <w:rPr>
                <w:sz w:val="19"/>
                <w:szCs w:val="19"/>
              </w:rPr>
              <w:t xml:space="preserve">4. Privacy &amp; Policy</w:t>
            </w:r>
          </w:p>
        </w:tc>
        <w:tc>
          <w:tcPr>
            <w:tcW w:type="dxa" w:w="1000"/>
            <w:tcMar>
              <w:top w:type="dxa" w:w="50"/>
              <w:left w:type="dxa" w:w="90"/>
              <w:bottom w:type="dxa" w:w="50"/>
              <w:right w:type="dxa" w:w="90"/>
            </w:tcMar>
          </w:tcPr>
          <w:p>
            <w:r>
              <w:rPr>
                <w:sz w:val="19"/>
                <w:szCs w:val="19"/>
              </w:rPr>
              <w:t xml:space="preserve">6–8</w:t>
            </w:r>
          </w:p>
        </w:tc>
        <w:tc>
          <w:tcPr>
            <w:tcW w:type="dxa" w:w="2000"/>
            <w:tcMar>
              <w:top w:type="dxa" w:w="50"/>
              <w:left w:type="dxa" w:w="90"/>
              <w:bottom w:type="dxa" w:w="50"/>
              <w:right w:type="dxa" w:w="90"/>
            </w:tcMar>
          </w:tcPr>
          <w:p>
            <w:r>
              <w:rPr>
                <w:sz w:val="19"/>
                <w:szCs w:val="19"/>
              </w:rPr>
              <w:t xml:space="preserve">1</w:t>
            </w:r>
          </w:p>
        </w:tc>
        <w:tc>
          <w:tcPr>
            <w:tcW w:type="dxa" w:w="1900"/>
            <w:tcMar>
              <w:top w:type="dxa" w:w="50"/>
              <w:left w:type="dxa" w:w="90"/>
              <w:bottom w:type="dxa" w:w="50"/>
              <w:right w:type="dxa" w:w="90"/>
            </w:tcMar>
          </w:tcPr>
          <w:p>
            <w:r>
              <w:rPr>
                <w:sz w:val="19"/>
                <w:szCs w:val="19"/>
              </w:rPr>
              <w:t xml:space="preserve">5, 7</w:t>
            </w:r>
          </w:p>
        </w:tc>
        <w:tc>
          <w:tcPr>
            <w:tcW w:type="dxa" w:w="2700"/>
            <w:tcMar>
              <w:top w:type="dxa" w:w="50"/>
              <w:left w:type="dxa" w:w="90"/>
              <w:bottom w:type="dxa" w:w="50"/>
              <w:right w:type="dxa" w:w="90"/>
            </w:tcMar>
          </w:tcPr>
          <w:p>
            <w:r>
              <w:rPr>
                <w:sz w:val="19"/>
                <w:szCs w:val="19"/>
              </w:rPr>
              <w:t xml:space="preserve">2, 3</w:t>
            </w:r>
          </w:p>
        </w:tc>
      </w:tr>
      <w:tr>
        <w:tc>
          <w:tcPr>
            <w:tcW w:type="dxa" w:w="1750"/>
            <w:tcMar>
              <w:top w:type="dxa" w:w="50"/>
              <w:left w:type="dxa" w:w="90"/>
              <w:bottom w:type="dxa" w:w="50"/>
              <w:right w:type="dxa" w:w="90"/>
            </w:tcMar>
          </w:tcPr>
          <w:p>
            <w:r>
              <w:rPr>
                <w:sz w:val="19"/>
                <w:szCs w:val="19"/>
              </w:rPr>
              <w:t xml:space="preserve">5. ML – M1</w:t>
            </w:r>
          </w:p>
        </w:tc>
        <w:tc>
          <w:tcPr>
            <w:tcW w:type="dxa" w:w="1000"/>
            <w:tcMar>
              <w:top w:type="dxa" w:w="50"/>
              <w:left w:type="dxa" w:w="90"/>
              <w:bottom w:type="dxa" w:w="50"/>
              <w:right w:type="dxa" w:w="90"/>
            </w:tcMar>
          </w:tcPr>
          <w:p>
            <w:r>
              <w:rPr>
                <w:sz w:val="19"/>
                <w:szCs w:val="19"/>
              </w:rPr>
              <w:t xml:space="preserve">8–12</w:t>
            </w:r>
          </w:p>
        </w:tc>
        <w:tc>
          <w:tcPr>
            <w:tcW w:type="dxa" w:w="2000"/>
            <w:tcMar>
              <w:top w:type="dxa" w:w="50"/>
              <w:left w:type="dxa" w:w="90"/>
              <w:bottom w:type="dxa" w:w="50"/>
              <w:right w:type="dxa" w:w="90"/>
            </w:tcMar>
          </w:tcPr>
          <w:p>
            <w:r>
              <w:rPr>
                <w:sz w:val="19"/>
                <w:szCs w:val="19"/>
              </w:rPr>
              <w:t xml:space="preserve">1, 4</w:t>
            </w:r>
          </w:p>
        </w:tc>
        <w:tc>
          <w:tcPr>
            <w:tcW w:type="dxa" w:w="1900"/>
            <w:tcMar>
              <w:top w:type="dxa" w:w="50"/>
              <w:left w:type="dxa" w:w="90"/>
              <w:bottom w:type="dxa" w:w="50"/>
              <w:right w:type="dxa" w:w="90"/>
            </w:tcMar>
          </w:tcPr>
          <w:p>
            <w:r>
              <w:rPr>
                <w:sz w:val="19"/>
                <w:szCs w:val="19"/>
              </w:rPr>
              <w:t xml:space="preserve">7</w:t>
            </w:r>
          </w:p>
        </w:tc>
        <w:tc>
          <w:tcPr>
            <w:tcW w:type="dxa" w:w="2700"/>
            <w:tcMar>
              <w:top w:type="dxa" w:w="50"/>
              <w:left w:type="dxa" w:w="90"/>
              <w:bottom w:type="dxa" w:w="50"/>
              <w:right w:type="dxa" w:w="90"/>
            </w:tcMar>
          </w:tcPr>
          <w:p>
            <w:r>
              <w:rPr>
                <w:sz w:val="19"/>
                <w:szCs w:val="19"/>
              </w:rPr>
              <w:t xml:space="preserve">6 (tail), 8 (start)</w:t>
            </w:r>
          </w:p>
        </w:tc>
      </w:tr>
      <w:tr>
        <w:tc>
          <w:tcPr>
            <w:tcW w:type="dxa" w:w="1750"/>
            <w:tcMar>
              <w:top w:type="dxa" w:w="50"/>
              <w:left w:type="dxa" w:w="90"/>
              <w:bottom w:type="dxa" w:w="50"/>
              <w:right w:type="dxa" w:w="90"/>
            </w:tcMar>
          </w:tcPr>
          <w:p>
            <w:r>
              <w:rPr>
                <w:sz w:val="19"/>
                <w:szCs w:val="19"/>
              </w:rPr>
              <w:t xml:space="preserve">6. ML – M2</w:t>
            </w:r>
          </w:p>
        </w:tc>
        <w:tc>
          <w:tcPr>
            <w:tcW w:type="dxa" w:w="1000"/>
            <w:tcMar>
              <w:top w:type="dxa" w:w="50"/>
              <w:left w:type="dxa" w:w="90"/>
              <w:bottom w:type="dxa" w:w="50"/>
              <w:right w:type="dxa" w:w="90"/>
            </w:tcMar>
          </w:tcPr>
          <w:p>
            <w:r>
              <w:rPr>
                <w:sz w:val="19"/>
                <w:szCs w:val="19"/>
              </w:rPr>
              <w:t xml:space="preserve">11–13</w:t>
            </w:r>
          </w:p>
        </w:tc>
        <w:tc>
          <w:tcPr>
            <w:tcW w:type="dxa" w:w="2000"/>
            <w:tcMar>
              <w:top w:type="dxa" w:w="50"/>
              <w:left w:type="dxa" w:w="90"/>
              <w:bottom w:type="dxa" w:w="50"/>
              <w:right w:type="dxa" w:w="90"/>
            </w:tcMar>
          </w:tcPr>
          <w:p>
            <w:r>
              <w:rPr>
                <w:sz w:val="19"/>
                <w:szCs w:val="19"/>
              </w:rPr>
              <w:t xml:space="preserve">5, 4</w:t>
            </w:r>
          </w:p>
        </w:tc>
        <w:tc>
          <w:tcPr>
            <w:tcW w:type="dxa" w:w="1900"/>
            <w:tcMar>
              <w:top w:type="dxa" w:w="50"/>
              <w:left w:type="dxa" w:w="90"/>
              <w:bottom w:type="dxa" w:w="50"/>
              <w:right w:type="dxa" w:w="90"/>
            </w:tcMar>
          </w:tcPr>
          <w:p>
            <w:r>
              <w:rPr>
                <w:sz w:val="19"/>
                <w:szCs w:val="19"/>
              </w:rPr>
              <w:t xml:space="preserve">7</w:t>
            </w:r>
          </w:p>
        </w:tc>
        <w:tc>
          <w:tcPr>
            <w:tcW w:type="dxa" w:w="2700"/>
            <w:tcMar>
              <w:top w:type="dxa" w:w="50"/>
              <w:left w:type="dxa" w:w="90"/>
              <w:bottom w:type="dxa" w:w="50"/>
              <w:right w:type="dxa" w:w="90"/>
            </w:tcMar>
          </w:tcPr>
          <w:p>
            <w:r>
              <w:rPr>
                <w:sz w:val="19"/>
                <w:szCs w:val="19"/>
              </w:rPr>
              <w:t xml:space="preserve">8</w:t>
            </w:r>
          </w:p>
        </w:tc>
      </w:tr>
      <w:tr>
        <w:tc>
          <w:tcPr>
            <w:tcW w:type="dxa" w:w="1750"/>
            <w:tcMar>
              <w:top w:type="dxa" w:w="50"/>
              <w:left w:type="dxa" w:w="90"/>
              <w:bottom w:type="dxa" w:w="50"/>
              <w:right w:type="dxa" w:w="90"/>
            </w:tcMar>
          </w:tcPr>
          <w:p>
            <w:r>
              <w:rPr>
                <w:sz w:val="19"/>
                <w:szCs w:val="19"/>
              </w:rPr>
              <w:t xml:space="preserve">7. Gate &amp; Pipeline</w:t>
            </w:r>
          </w:p>
        </w:tc>
        <w:tc>
          <w:tcPr>
            <w:tcW w:type="dxa" w:w="1000"/>
            <w:tcMar>
              <w:top w:type="dxa" w:w="50"/>
              <w:left w:type="dxa" w:w="90"/>
              <w:bottom w:type="dxa" w:w="50"/>
              <w:right w:type="dxa" w:w="90"/>
            </w:tcMar>
          </w:tcPr>
          <w:p>
            <w:r>
              <w:rPr>
                <w:sz w:val="19"/>
                <w:szCs w:val="19"/>
              </w:rPr>
              <w:t xml:space="preserve">13–15</w:t>
            </w:r>
          </w:p>
        </w:tc>
        <w:tc>
          <w:tcPr>
            <w:tcW w:type="dxa" w:w="2000"/>
            <w:tcMar>
              <w:top w:type="dxa" w:w="50"/>
              <w:left w:type="dxa" w:w="90"/>
              <w:bottom w:type="dxa" w:w="50"/>
              <w:right w:type="dxa" w:w="90"/>
            </w:tcMar>
          </w:tcPr>
          <w:p>
            <w:r>
              <w:rPr>
                <w:sz w:val="19"/>
                <w:szCs w:val="19"/>
              </w:rPr>
              <w:t xml:space="preserve">2, 3, 4, 5, 6</w:t>
            </w:r>
          </w:p>
        </w:tc>
        <w:tc>
          <w:tcPr>
            <w:tcW w:type="dxa" w:w="1900"/>
            <w:tcMar>
              <w:top w:type="dxa" w:w="50"/>
              <w:left w:type="dxa" w:w="90"/>
              <w:bottom w:type="dxa" w:w="50"/>
              <w:right w:type="dxa" w:w="90"/>
            </w:tcMar>
          </w:tcPr>
          <w:p>
            <w:r>
              <w:rPr>
                <w:sz w:val="19"/>
                <w:szCs w:val="19"/>
              </w:rPr>
              <w:t xml:space="preserve">8, 9</w:t>
            </w:r>
          </w:p>
        </w:tc>
        <w:tc>
          <w:tcPr>
            <w:tcW w:type="dxa" w:w="27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8. Dashboard</w:t>
            </w:r>
          </w:p>
        </w:tc>
        <w:tc>
          <w:tcPr>
            <w:tcW w:type="dxa" w:w="1000"/>
            <w:tcMar>
              <w:top w:type="dxa" w:w="50"/>
              <w:left w:type="dxa" w:w="90"/>
              <w:bottom w:type="dxa" w:w="50"/>
              <w:right w:type="dxa" w:w="90"/>
            </w:tcMar>
          </w:tcPr>
          <w:p>
            <w:r>
              <w:rPr>
                <w:sz w:val="19"/>
                <w:szCs w:val="19"/>
              </w:rPr>
              <w:t xml:space="preserve">12–16</w:t>
            </w:r>
          </w:p>
        </w:tc>
        <w:tc>
          <w:tcPr>
            <w:tcW w:type="dxa" w:w="2000"/>
            <w:tcMar>
              <w:top w:type="dxa" w:w="50"/>
              <w:left w:type="dxa" w:w="90"/>
              <w:bottom w:type="dxa" w:w="50"/>
              <w:right w:type="dxa" w:w="90"/>
            </w:tcMar>
          </w:tcPr>
          <w:p>
            <w:r>
              <w:rPr>
                <w:sz w:val="19"/>
                <w:szCs w:val="19"/>
              </w:rPr>
              <w:t xml:space="preserve">7 (endpoints, incrementally)</w:t>
            </w:r>
          </w:p>
        </w:tc>
        <w:tc>
          <w:tcPr>
            <w:tcW w:type="dxa" w:w="1900"/>
            <w:tcMar>
              <w:top w:type="dxa" w:w="50"/>
              <w:left w:type="dxa" w:w="90"/>
              <w:bottom w:type="dxa" w:w="50"/>
              <w:right w:type="dxa" w:w="90"/>
            </w:tcMar>
          </w:tcPr>
          <w:p>
            <w:r>
              <w:rPr>
                <w:sz w:val="19"/>
                <w:szCs w:val="19"/>
              </w:rPr>
              <w:t xml:space="preserve">9</w:t>
            </w:r>
          </w:p>
        </w:tc>
        <w:tc>
          <w:tcPr>
            <w:tcW w:type="dxa" w:w="2700"/>
            <w:tcMar>
              <w:top w:type="dxa" w:w="50"/>
              <w:left w:type="dxa" w:w="90"/>
              <w:bottom w:type="dxa" w:w="50"/>
              <w:right w:type="dxa" w:w="90"/>
            </w:tcMar>
          </w:tcPr>
          <w:p>
            <w:r>
              <w:rPr>
                <w:sz w:val="19"/>
                <w:szCs w:val="19"/>
              </w:rPr>
              <w:t xml:space="preserve">5, 6, 7 (partially)</w:t>
            </w:r>
          </w:p>
        </w:tc>
      </w:tr>
      <w:tr>
        <w:tc>
          <w:tcPr>
            <w:tcW w:type="dxa" w:w="1750"/>
            <w:tcMar>
              <w:top w:type="dxa" w:w="50"/>
              <w:left w:type="dxa" w:w="90"/>
              <w:bottom w:type="dxa" w:w="50"/>
              <w:right w:type="dxa" w:w="90"/>
            </w:tcMar>
          </w:tcPr>
          <w:p>
            <w:r>
              <w:rPr>
                <w:sz w:val="19"/>
                <w:szCs w:val="19"/>
              </w:rPr>
              <w:t xml:space="preserve">9. Integration Test</w:t>
            </w:r>
          </w:p>
        </w:tc>
        <w:tc>
          <w:tcPr>
            <w:tcW w:type="dxa" w:w="1000"/>
            <w:tcMar>
              <w:top w:type="dxa" w:w="50"/>
              <w:left w:type="dxa" w:w="90"/>
              <w:bottom w:type="dxa" w:w="50"/>
              <w:right w:type="dxa" w:w="90"/>
            </w:tcMar>
          </w:tcPr>
          <w:p>
            <w:r>
              <w:rPr>
                <w:sz w:val="19"/>
                <w:szCs w:val="19"/>
              </w:rPr>
              <w:t xml:space="preserve">16</w:t>
            </w:r>
          </w:p>
        </w:tc>
        <w:tc>
          <w:tcPr>
            <w:tcW w:type="dxa" w:w="2000"/>
            <w:tcMar>
              <w:top w:type="dxa" w:w="50"/>
              <w:left w:type="dxa" w:w="90"/>
              <w:bottom w:type="dxa" w:w="50"/>
              <w:right w:type="dxa" w:w="90"/>
            </w:tcMar>
          </w:tcPr>
          <w:p>
            <w:r>
              <w:rPr>
                <w:sz w:val="19"/>
                <w:szCs w:val="19"/>
              </w:rPr>
              <w:t xml:space="preserve">2–8</w:t>
            </w:r>
          </w:p>
        </w:tc>
        <w:tc>
          <w:tcPr>
            <w:tcW w:type="dxa" w:w="1900"/>
            <w:tcMar>
              <w:top w:type="dxa" w:w="50"/>
              <w:left w:type="dxa" w:w="90"/>
              <w:bottom w:type="dxa" w:w="50"/>
              <w:right w:type="dxa" w:w="90"/>
            </w:tcMar>
          </w:tcPr>
          <w:p>
            <w:r>
              <w:rPr>
                <w:sz w:val="19"/>
                <w:szCs w:val="19"/>
              </w:rPr>
              <w:t xml:space="preserve">10</w:t>
            </w:r>
          </w:p>
        </w:tc>
        <w:tc>
          <w:tcPr>
            <w:tcW w:type="dxa" w:w="27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10. Evaluation</w:t>
            </w:r>
          </w:p>
        </w:tc>
        <w:tc>
          <w:tcPr>
            <w:tcW w:type="dxa" w:w="1000"/>
            <w:tcMar>
              <w:top w:type="dxa" w:w="50"/>
              <w:left w:type="dxa" w:w="90"/>
              <w:bottom w:type="dxa" w:w="50"/>
              <w:right w:type="dxa" w:w="90"/>
            </w:tcMar>
          </w:tcPr>
          <w:p>
            <w:r>
              <w:rPr>
                <w:sz w:val="19"/>
                <w:szCs w:val="19"/>
              </w:rPr>
              <w:t xml:space="preserve">16–17</w:t>
            </w:r>
          </w:p>
        </w:tc>
        <w:tc>
          <w:tcPr>
            <w:tcW w:type="dxa" w:w="2000"/>
            <w:tcMar>
              <w:top w:type="dxa" w:w="50"/>
              <w:left w:type="dxa" w:w="90"/>
              <w:bottom w:type="dxa" w:w="50"/>
              <w:right w:type="dxa" w:w="90"/>
            </w:tcMar>
          </w:tcPr>
          <w:p>
            <w:r>
              <w:rPr>
                <w:sz w:val="19"/>
                <w:szCs w:val="19"/>
              </w:rPr>
              <w:t xml:space="preserve">9</w:t>
            </w:r>
          </w:p>
        </w:tc>
        <w:tc>
          <w:tcPr>
            <w:tcW w:type="dxa" w:w="1900"/>
            <w:tcMar>
              <w:top w:type="dxa" w:w="50"/>
              <w:left w:type="dxa" w:w="90"/>
              <w:bottom w:type="dxa" w:w="50"/>
              <w:right w:type="dxa" w:w="90"/>
            </w:tcMar>
          </w:tcPr>
          <w:p>
            <w:r>
              <w:rPr>
                <w:sz w:val="19"/>
                <w:szCs w:val="19"/>
              </w:rPr>
              <w:t xml:space="preserve">11</w:t>
            </w:r>
          </w:p>
        </w:tc>
        <w:tc>
          <w:tcPr>
            <w:tcW w:type="dxa" w:w="27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11. Paper/Poster</w:t>
            </w:r>
          </w:p>
        </w:tc>
        <w:tc>
          <w:tcPr>
            <w:tcW w:type="dxa" w:w="1000"/>
            <w:tcMar>
              <w:top w:type="dxa" w:w="50"/>
              <w:left w:type="dxa" w:w="90"/>
              <w:bottom w:type="dxa" w:w="50"/>
              <w:right w:type="dxa" w:w="90"/>
            </w:tcMar>
          </w:tcPr>
          <w:p>
            <w:r>
              <w:rPr>
                <w:sz w:val="19"/>
                <w:szCs w:val="19"/>
              </w:rPr>
              <w:t xml:space="preserve">17–18+</w:t>
            </w:r>
          </w:p>
        </w:tc>
        <w:tc>
          <w:tcPr>
            <w:tcW w:type="dxa" w:w="2000"/>
            <w:tcMar>
              <w:top w:type="dxa" w:w="50"/>
              <w:left w:type="dxa" w:w="90"/>
              <w:bottom w:type="dxa" w:w="50"/>
              <w:right w:type="dxa" w:w="90"/>
            </w:tcMar>
          </w:tcPr>
          <w:p>
            <w:r>
              <w:rPr>
                <w:sz w:val="19"/>
                <w:szCs w:val="19"/>
              </w:rPr>
              <w:t xml:space="preserve">10</w:t>
            </w:r>
          </w:p>
        </w:tc>
        <w:tc>
          <w:tcPr>
            <w:tcW w:type="dxa" w:w="1900"/>
            <w:tcMar>
              <w:top w:type="dxa" w:w="50"/>
              <w:left w:type="dxa" w:w="90"/>
              <w:bottom w:type="dxa" w:w="50"/>
              <w:right w:type="dxa" w:w="90"/>
            </w:tcMar>
          </w:tcPr>
          <w:p>
            <w:r>
              <w:rPr>
                <w:sz w:val="19"/>
                <w:szCs w:val="19"/>
              </w:rPr>
              <w:t xml:space="preserve">12</w:t>
            </w:r>
          </w:p>
        </w:tc>
        <w:tc>
          <w:tcPr>
            <w:tcW w:type="dxa" w:w="27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12. Deploy &amp; Demo</w:t>
            </w:r>
          </w:p>
        </w:tc>
        <w:tc>
          <w:tcPr>
            <w:tcW w:type="dxa" w:w="1000"/>
            <w:tcMar>
              <w:top w:type="dxa" w:w="50"/>
              <w:left w:type="dxa" w:w="90"/>
              <w:bottom w:type="dxa" w:w="50"/>
              <w:right w:type="dxa" w:w="90"/>
            </w:tcMar>
          </w:tcPr>
          <w:p>
            <w:r>
              <w:rPr>
                <w:sz w:val="19"/>
                <w:szCs w:val="19"/>
              </w:rPr>
              <w:t xml:space="preserve">final days</w:t>
            </w:r>
          </w:p>
        </w:tc>
        <w:tc>
          <w:tcPr>
            <w:tcW w:type="dxa" w:w="2000"/>
            <w:tcMar>
              <w:top w:type="dxa" w:w="50"/>
              <w:left w:type="dxa" w:w="90"/>
              <w:bottom w:type="dxa" w:w="50"/>
              <w:right w:type="dxa" w:w="90"/>
            </w:tcMar>
          </w:tcPr>
          <w:p>
            <w:r>
              <w:rPr>
                <w:sz w:val="19"/>
                <w:szCs w:val="19"/>
              </w:rPr>
              <w:t xml:space="preserve">11</w:t>
            </w:r>
          </w:p>
        </w:tc>
        <w:tc>
          <w:tcPr>
            <w:tcW w:type="dxa" w:w="1900"/>
            <w:tcMar>
              <w:top w:type="dxa" w:w="50"/>
              <w:left w:type="dxa" w:w="90"/>
              <w:bottom w:type="dxa" w:w="50"/>
              <w:right w:type="dxa" w:w="90"/>
            </w:tcMar>
          </w:tcPr>
          <w:p>
            <w:r>
              <w:rPr>
                <w:sz w:val="19"/>
                <w:szCs w:val="19"/>
              </w:rPr>
              <w:t xml:space="preserve">—</w:t>
            </w:r>
          </w:p>
        </w:tc>
        <w:tc>
          <w:tcPr>
            <w:tcW w:type="dxa" w:w="2700"/>
            <w:tcMar>
              <w:top w:type="dxa" w:w="50"/>
              <w:left w:type="dxa" w:w="90"/>
              <w:bottom w:type="dxa" w:w="50"/>
              <w:right w:type="dxa" w:w="90"/>
            </w:tcMar>
          </w:tcPr>
          <w:p>
            <w:r>
              <w:rPr>
                <w:sz w:val="19"/>
                <w:szCs w:val="19"/>
              </w:rPr>
              <w:t xml:space="preserve">—</w:t>
            </w:r>
          </w:p>
        </w:tc>
      </w:tr>
    </w:tbl>
    <w:p>
      <w:r>
        <w:br w:type="page"/>
      </w:r>
    </w:p>
    <w:p>
      <w:pPr>
        <w:pStyle w:val="Heading1"/>
        <w:spacing w:after="200" w:before="420"/>
      </w:pPr>
      <w:r>
        <w:t xml:space="preserve">Phase 0: Team, Environment &amp; Tooling Setup</w:t>
      </w:r>
    </w:p>
    <w:p>
      <w:pPr>
        <w:spacing w:after="80"/>
      </w:pPr>
      <w:r>
        <w:rPr>
          <w:b/>
          <w:bCs/>
        </w:rPr>
        <w:t xml:space="preserve">Weeks:  </w:t>
      </w:r>
      <w:r>
        <w:t xml:space="preserve">Week 0 (kickoff, before Week 1 deliverables begin)</w:t>
      </w:r>
    </w:p>
    <w:p>
      <w:pPr>
        <w:spacing w:after="80"/>
      </w:pPr>
      <w:r>
        <w:rPr>
          <w:b/>
          <w:bCs/>
        </w:rPr>
        <w:t xml:space="preserve">Owner:  </w:t>
      </w:r>
      <w:r>
        <w:t xml:space="preserve">Whole team, together</w:t>
      </w:r>
    </w:p>
    <w:p>
      <w:pPr>
        <w:spacing w:after="80"/>
      </w:pPr>
      <w:r>
        <w:rPr>
          <w:b/>
          <w:bCs/>
        </w:rPr>
        <w:t xml:space="preserve">Depends On:  </w:t>
      </w:r>
      <w:r>
        <w:t xml:space="preserve">Nothing — this is the starting line. Team roster must be confirmed against RVCE Circular 023 §6's approved combination table before anything else.</w:t>
      </w:r>
    </w:p>
    <w:p>
      <w:pPr>
        <w:pStyle w:val="Heading2"/>
        <w:spacing w:after="140" w:before="260"/>
      </w:pPr>
      <w:r>
        <w:t xml:space="preserve">Objective / Deliverable</w:t>
      </w:r>
    </w:p>
    <w:p>
      <w:pPr>
        <w:spacing w:after="150"/>
      </w:pPr>
      <w:r>
        <w:t xml:space="preserve">Every team member has an identical, working local environment; the shared repo skeleton and the interface contracts defined in the 'Shared Contracts' section exist as real, committed files; the AWS scanning account and its least-privilege IAM role exist; roles are assigned; and the whole team has read this document's Solution Snapshot and Dependency Map together so everyone starts from the same mental model.</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GitHub (repo + Projects board)</w:t>
            </w:r>
          </w:p>
        </w:tc>
        <w:tc>
          <w:tcPr>
            <w:tcW w:type="dxa" w:w="3450"/>
            <w:tcMar>
              <w:top w:type="dxa" w:w="50"/>
              <w:left w:type="dxa" w:w="90"/>
              <w:bottom w:type="dxa" w:w="50"/>
              <w:right w:type="dxa" w:w="90"/>
            </w:tcMar>
          </w:tcPr>
          <w:p>
            <w:r>
              <w:rPr>
                <w:sz w:val="19"/>
                <w:szCs w:val="19"/>
              </w:rPr>
              <w:t xml:space="preserve">Version control and task tracking in one place, with branch protection so a bad merge cannot silently break main</w:t>
            </w:r>
          </w:p>
        </w:tc>
        <w:tc>
          <w:tcPr>
            <w:tcW w:type="dxa" w:w="1950"/>
            <w:tcMar>
              <w:top w:type="dxa" w:w="50"/>
              <w:left w:type="dxa" w:w="90"/>
              <w:bottom w:type="dxa" w:w="50"/>
              <w:right w:type="dxa" w:w="90"/>
            </w:tcMar>
          </w:tcPr>
          <w:p>
            <w:r>
              <w:rPr>
                <w:sz w:val="19"/>
                <w:szCs w:val="19"/>
              </w:rPr>
              <w:t xml:space="preserve">github.com</w:t>
            </w:r>
          </w:p>
        </w:tc>
        <w:tc>
          <w:tcPr>
            <w:tcW w:type="dxa" w:w="2200"/>
            <w:tcMar>
              <w:top w:type="dxa" w:w="50"/>
              <w:left w:type="dxa" w:w="90"/>
              <w:bottom w:type="dxa" w:w="50"/>
              <w:right w:type="dxa" w:w="90"/>
            </w:tcMar>
          </w:tcPr>
          <w:p>
            <w:r>
              <w:rPr>
                <w:sz w:val="19"/>
                <w:szCs w:val="19"/>
              </w:rPr>
              <w:t xml:space="preserve">GitHub's own “Hello World” guide if anyone on the team has not branched/PR'd before (docs.github.com/en/get-started)</w:t>
            </w:r>
          </w:p>
        </w:tc>
      </w:tr>
      <w:tr>
        <w:tc>
          <w:tcPr>
            <w:tcW w:type="dxa" w:w="1750"/>
            <w:tcMar>
              <w:top w:type="dxa" w:w="50"/>
              <w:left w:type="dxa" w:w="90"/>
              <w:bottom w:type="dxa" w:w="50"/>
              <w:right w:type="dxa" w:w="90"/>
            </w:tcMar>
          </w:tcPr>
          <w:p>
            <w:r>
              <w:rPr>
                <w:sz w:val="19"/>
                <w:szCs w:val="19"/>
              </w:rPr>
              <w:t xml:space="preserve">Docker Desktop</w:t>
            </w:r>
          </w:p>
        </w:tc>
        <w:tc>
          <w:tcPr>
            <w:tcW w:type="dxa" w:w="3450"/>
            <w:tcMar>
              <w:top w:type="dxa" w:w="50"/>
              <w:left w:type="dxa" w:w="90"/>
              <w:bottom w:type="dxa" w:w="50"/>
              <w:right w:type="dxa" w:w="90"/>
            </w:tcMar>
          </w:tcPr>
          <w:p>
            <w:r>
              <w:rPr>
                <w:sz w:val="19"/>
                <w:szCs w:val="19"/>
              </w:rPr>
              <w:t xml:space="preserve">Runs Neo4j and the FastAPI backend identically on every laptop — removes “works on my machine” as a failure mode</w:t>
            </w:r>
          </w:p>
        </w:tc>
        <w:tc>
          <w:tcPr>
            <w:tcW w:type="dxa" w:w="1950"/>
            <w:tcMar>
              <w:top w:type="dxa" w:w="50"/>
              <w:left w:type="dxa" w:w="90"/>
              <w:bottom w:type="dxa" w:w="50"/>
              <w:right w:type="dxa" w:w="90"/>
            </w:tcMar>
          </w:tcPr>
          <w:p>
            <w:r>
              <w:rPr>
                <w:sz w:val="19"/>
                <w:szCs w:val="19"/>
              </w:rPr>
              <w:t xml:space="preserve">docker.com/products/docker-desktop</w:t>
            </w:r>
          </w:p>
        </w:tc>
        <w:tc>
          <w:tcPr>
            <w:tcW w:type="dxa" w:w="2200"/>
            <w:tcMar>
              <w:top w:type="dxa" w:w="50"/>
              <w:left w:type="dxa" w:w="90"/>
              <w:bottom w:type="dxa" w:w="50"/>
              <w:right w:type="dxa" w:w="90"/>
            </w:tcMar>
          </w:tcPr>
          <w:p>
            <w:r>
              <w:rPr>
                <w:sz w:val="19"/>
                <w:szCs w:val="19"/>
              </w:rPr>
              <w:t xml:space="preserve">Docker's official “Get Started” tutorial, specifically the docker compose section</w:t>
            </w:r>
          </w:p>
        </w:tc>
      </w:tr>
      <w:tr>
        <w:tc>
          <w:tcPr>
            <w:tcW w:type="dxa" w:w="1750"/>
            <w:tcMar>
              <w:top w:type="dxa" w:w="50"/>
              <w:left w:type="dxa" w:w="90"/>
              <w:bottom w:type="dxa" w:w="50"/>
              <w:right w:type="dxa" w:w="90"/>
            </w:tcMar>
          </w:tcPr>
          <w:p>
            <w:r>
              <w:rPr>
                <w:sz w:val="19"/>
                <w:szCs w:val="19"/>
              </w:rPr>
              <w:t xml:space="preserve">VS Code + extensions (Python, Pylance, Docker, Rego — tsandall.opa, GitLens)</w:t>
            </w:r>
          </w:p>
        </w:tc>
        <w:tc>
          <w:tcPr>
            <w:tcW w:type="dxa" w:w="3450"/>
            <w:tcMar>
              <w:top w:type="dxa" w:w="50"/>
              <w:left w:type="dxa" w:w="90"/>
              <w:bottom w:type="dxa" w:w="50"/>
              <w:right w:type="dxa" w:w="90"/>
            </w:tcMar>
          </w:tcPr>
          <w:p>
            <w:r>
              <w:rPr>
                <w:sz w:val="19"/>
                <w:szCs w:val="19"/>
              </w:rPr>
              <w:t xml:space="preserve">One shared editor configuration so the team is not fighting formatting differences later</w:t>
            </w:r>
          </w:p>
        </w:tc>
        <w:tc>
          <w:tcPr>
            <w:tcW w:type="dxa" w:w="1950"/>
            <w:tcMar>
              <w:top w:type="dxa" w:w="50"/>
              <w:left w:type="dxa" w:w="90"/>
              <w:bottom w:type="dxa" w:w="50"/>
              <w:right w:type="dxa" w:w="90"/>
            </w:tcMar>
          </w:tcPr>
          <w:p>
            <w:r>
              <w:rPr>
                <w:sz w:val="19"/>
                <w:szCs w:val="19"/>
              </w:rPr>
              <w:t xml:space="preserve">code.visualstudio.com</w:t>
            </w:r>
          </w:p>
        </w:tc>
        <w:tc>
          <w:tcPr>
            <w:tcW w:type="dxa" w:w="2200"/>
            <w:tcMar>
              <w:top w:type="dxa" w:w="50"/>
              <w:left w:type="dxa" w:w="90"/>
              <w:bottom w:type="dxa" w:w="50"/>
              <w:right w:type="dxa" w:w="90"/>
            </w:tcMar>
          </w:tcPr>
          <w:p>
            <w:r>
              <w:rPr>
                <w:sz w:val="19"/>
                <w:szCs w:val="19"/>
              </w:rPr>
              <w:t xml:space="preserve">Install the four extensions now; no tutorial needed</w:t>
            </w:r>
          </w:p>
        </w:tc>
      </w:tr>
      <w:tr>
        <w:tc>
          <w:tcPr>
            <w:tcW w:type="dxa" w:w="1750"/>
            <w:tcMar>
              <w:top w:type="dxa" w:w="50"/>
              <w:left w:type="dxa" w:w="90"/>
              <w:bottom w:type="dxa" w:w="50"/>
              <w:right w:type="dxa" w:w="90"/>
            </w:tcMar>
          </w:tcPr>
          <w:p>
            <w:r>
              <w:rPr>
                <w:sz w:val="19"/>
                <w:szCs w:val="19"/>
              </w:rPr>
              <w:t xml:space="preserve">Python 3.11+ and Node.js 20+</w:t>
            </w:r>
          </w:p>
        </w:tc>
        <w:tc>
          <w:tcPr>
            <w:tcW w:type="dxa" w:w="3450"/>
            <w:tcMar>
              <w:top w:type="dxa" w:w="50"/>
              <w:left w:type="dxa" w:w="90"/>
              <w:bottom w:type="dxa" w:w="50"/>
              <w:right w:type="dxa" w:w="90"/>
            </w:tcMar>
          </w:tcPr>
          <w:p>
            <w:r>
              <w:rPr>
                <w:sz w:val="19"/>
                <w:szCs w:val="19"/>
              </w:rPr>
              <w:t xml:space="preserve">Backend / ML toolchain (Python) and frontend toolchain (Node/React)</w:t>
            </w:r>
          </w:p>
        </w:tc>
        <w:tc>
          <w:tcPr>
            <w:tcW w:type="dxa" w:w="1950"/>
            <w:tcMar>
              <w:top w:type="dxa" w:w="50"/>
              <w:left w:type="dxa" w:w="90"/>
              <w:bottom w:type="dxa" w:w="50"/>
              <w:right w:type="dxa" w:w="90"/>
            </w:tcMar>
          </w:tcPr>
          <w:p>
            <w:r>
              <w:rPr>
                <w:sz w:val="19"/>
                <w:szCs w:val="19"/>
              </w:rPr>
              <w:t xml:space="preserve">python.org, nodejs.org</w:t>
            </w:r>
          </w:p>
        </w:tc>
        <w:tc>
          <w:tcPr>
            <w:tcW w:type="dxa" w:w="2200"/>
            <w:tcMar>
              <w:top w:type="dxa" w:w="50"/>
              <w:left w:type="dxa" w:w="90"/>
              <w:bottom w:type="dxa" w:w="50"/>
              <w:right w:type="dxa" w:w="90"/>
            </w:tcMar>
          </w:tcPr>
          <w:p>
            <w:r>
              <w:rPr>
                <w:sz w:val="19"/>
                <w:szCs w:val="19"/>
              </w:rPr>
              <w:t xml:space="preserve">Confirm both with --version; no tutorial needed if already familiar</w:t>
            </w:r>
          </w:p>
        </w:tc>
      </w:tr>
      <w:tr>
        <w:tc>
          <w:tcPr>
            <w:tcW w:type="dxa" w:w="1750"/>
            <w:tcMar>
              <w:top w:type="dxa" w:w="50"/>
              <w:left w:type="dxa" w:w="90"/>
              <w:bottom w:type="dxa" w:w="50"/>
              <w:right w:type="dxa" w:w="90"/>
            </w:tcMar>
          </w:tcPr>
          <w:p>
            <w:r>
              <w:rPr>
                <w:sz w:val="19"/>
                <w:szCs w:val="19"/>
              </w:rPr>
              <w:t xml:space="preserve">AWS Free Tier account</w:t>
            </w:r>
          </w:p>
        </w:tc>
        <w:tc>
          <w:tcPr>
            <w:tcW w:type="dxa" w:w="3450"/>
            <w:tcMar>
              <w:top w:type="dxa" w:w="50"/>
              <w:left w:type="dxa" w:w="90"/>
              <w:bottom w:type="dxa" w:w="50"/>
              <w:right w:type="dxa" w:w="90"/>
            </w:tcMar>
          </w:tcPr>
          <w:p>
            <w:r>
              <w:rPr>
                <w:sz w:val="19"/>
                <w:szCs w:val="19"/>
              </w:rPr>
              <w:t xml:space="preserve">The actual AWS account Cartography will scan in Phase 1</w:t>
            </w:r>
          </w:p>
        </w:tc>
        <w:tc>
          <w:tcPr>
            <w:tcW w:type="dxa" w:w="1950"/>
            <w:tcMar>
              <w:top w:type="dxa" w:w="50"/>
              <w:left w:type="dxa" w:w="90"/>
              <w:bottom w:type="dxa" w:w="50"/>
              <w:right w:type="dxa" w:w="90"/>
            </w:tcMar>
          </w:tcPr>
          <w:p>
            <w:r>
              <w:rPr>
                <w:sz w:val="19"/>
                <w:szCs w:val="19"/>
              </w:rPr>
              <w:t xml:space="preserve">aws.amazon.com/free</w:t>
            </w:r>
          </w:p>
        </w:tc>
        <w:tc>
          <w:tcPr>
            <w:tcW w:type="dxa" w:w="2200"/>
            <w:tcMar>
              <w:top w:type="dxa" w:w="50"/>
              <w:left w:type="dxa" w:w="90"/>
              <w:bottom w:type="dxa" w:w="50"/>
              <w:right w:type="dxa" w:w="90"/>
            </w:tcMar>
          </w:tcPr>
          <w:p>
            <w:r>
              <w:rPr>
                <w:sz w:val="19"/>
                <w:szCs w:val="19"/>
              </w:rPr>
              <w:t xml:space="preserve">AWS's own IAM “Best Practices” page, before creating the least-privilege scanning role (do this in Step 7 below)</w:t>
            </w:r>
          </w:p>
        </w:tc>
      </w:tr>
      <w:tr>
        <w:tc>
          <w:tcPr>
            <w:tcW w:type="dxa" w:w="1750"/>
            <w:tcMar>
              <w:top w:type="dxa" w:w="50"/>
              <w:left w:type="dxa" w:w="90"/>
              <w:bottom w:type="dxa" w:w="50"/>
              <w:right w:type="dxa" w:w="90"/>
            </w:tcMar>
          </w:tcPr>
          <w:p>
            <w:r>
              <w:rPr>
                <w:sz w:val="19"/>
                <w:szCs w:val="19"/>
              </w:rPr>
              <w:t xml:space="preserve">Postman (or Insomnia)</w:t>
            </w:r>
          </w:p>
        </w:tc>
        <w:tc>
          <w:tcPr>
            <w:tcW w:type="dxa" w:w="3450"/>
            <w:tcMar>
              <w:top w:type="dxa" w:w="50"/>
              <w:left w:type="dxa" w:w="90"/>
              <w:bottom w:type="dxa" w:w="50"/>
              <w:right w:type="dxa" w:w="90"/>
            </w:tcMar>
          </w:tcPr>
          <w:p>
            <w:r>
              <w:rPr>
                <w:sz w:val="19"/>
                <w:szCs w:val="19"/>
              </w:rPr>
              <w:t xml:space="preserve">Manually testing every FastAPI endpoint from Phase 7 onward, before any frontend code touches it</w:t>
            </w:r>
          </w:p>
        </w:tc>
        <w:tc>
          <w:tcPr>
            <w:tcW w:type="dxa" w:w="1950"/>
            <w:tcMar>
              <w:top w:type="dxa" w:w="50"/>
              <w:left w:type="dxa" w:w="90"/>
              <w:bottom w:type="dxa" w:w="50"/>
              <w:right w:type="dxa" w:w="90"/>
            </w:tcMar>
          </w:tcPr>
          <w:p>
            <w:r>
              <w:rPr>
                <w:sz w:val="19"/>
                <w:szCs w:val="19"/>
              </w:rPr>
              <w:t xml:space="preserve">postman.com</w:t>
            </w:r>
          </w:p>
        </w:tc>
        <w:tc>
          <w:tcPr>
            <w:tcW w:type="dxa" w:w="2200"/>
            <w:tcMar>
              <w:top w:type="dxa" w:w="50"/>
              <w:left w:type="dxa" w:w="90"/>
              <w:bottom w:type="dxa" w:w="50"/>
              <w:right w:type="dxa" w:w="90"/>
            </w:tcMar>
          </w:tcPr>
          <w:p>
            <w:r>
              <w:rPr>
                <w:sz w:val="19"/>
                <w:szCs w:val="19"/>
              </w:rPr>
              <w:t xml:space="preserve">No tutorial needed — just create the shared workspace</w:t>
            </w:r>
          </w:p>
        </w:tc>
      </w:tr>
    </w:tbl>
    <w:p>
      <w:pPr>
        <w:pStyle w:val="Heading2"/>
        <w:spacing w:after="140" w:before="260"/>
      </w:pPr>
      <w:r>
        <w:t xml:space="preserve">Step-by-Step Procedure</w:t>
      </w:r>
    </w:p>
    <w:p>
      <w:pPr>
        <w:pStyle w:val="ListParagraph"/>
        <w:numPr>
          <w:ilvl w:val="0"/>
          <w:numId w:val="3"/>
        </w:numPr>
        <w:spacing w:after="110"/>
      </w:pPr>
      <w:r>
        <w:t xml:space="preserve">Confirm the final 4–5 person roster against RVCE Circular 023 §6's approved team-combination table before Quiklrn registration closes — this is a hard registration gate, not a suggestion.</w:t>
      </w:r>
    </w:p>
    <w:p>
      <w:pPr>
        <w:pStyle w:val="ListParagraph"/>
        <w:numPr>
          <w:ilvl w:val="0"/>
          <w:numId w:val="3"/>
        </w:numPr>
        <w:spacing w:after="110"/>
      </w:pPr>
      <w:r>
        <w:t xml:space="preserve">Create one shared GitHub repository. Turn on branch protection for main (require at least one PR review before merge) so integration mistakes get caught before they land.</w:t>
      </w:r>
    </w:p>
    <w:p>
      <w:pPr>
        <w:pStyle w:val="ListParagraph"/>
        <w:numPr>
          <w:ilvl w:val="0"/>
          <w:numId w:val="3"/>
        </w:numPr>
        <w:spacing w:after="110"/>
      </w:pPr>
      <w:r>
        <w:t xml:space="preserve">Create the repo folder skeleton exactly as written in the ‘Shared Contracts’ section of this document (empty folders + a one-line README.md in each, plus a root docker-compose.yml stub) and commit it as the very first commit. Every phase from here on edits into this structure — nobody invents their own.</w:t>
      </w:r>
    </w:p>
    <w:p>
      <w:pPr>
        <w:pStyle w:val="ListParagraph"/>
        <w:numPr>
          <w:ilvl w:val="0"/>
          <w:numId w:val="3"/>
        </w:numPr>
        <w:spacing w:after="110"/>
      </w:pPr>
      <w:r>
        <w:t xml:space="preserve">Set up a GitHub Projects Kanban board with one column per phase (0–12) and one card per checklist line item in this document, so progress is visible to the whole team and to mentors at any time.</w:t>
      </w:r>
    </w:p>
    <w:p>
      <w:pPr>
        <w:pStyle w:val="ListParagraph"/>
        <w:numPr>
          <w:ilvl w:val="0"/>
          <w:numId w:val="3"/>
        </w:numPr>
        <w:spacing w:after="110"/>
      </w:pPr>
      <w:r>
        <w:t xml:space="preserve">Every member installs Docker Desktop, VS Code (+ the four extensions), Python 3.11+, Node.js 20+, and Git. Verify with `docker --version`, `python3 --version`, `node --version`.</w:t>
      </w:r>
    </w:p>
    <w:p>
      <w:pPr>
        <w:pStyle w:val="ListParagraph"/>
        <w:numPr>
          <w:ilvl w:val="0"/>
          <w:numId w:val="3"/>
        </w:numPr>
        <w:spacing w:after="110"/>
      </w:pPr>
      <w:r>
        <w:t xml:space="preserve">Assign the four (or five) roles from the Team Roles table in this document and write the assignment into the repo README.</w:t>
      </w:r>
    </w:p>
    <w:p>
      <w:pPr>
        <w:pStyle w:val="ListParagraph"/>
        <w:numPr>
          <w:ilvl w:val="0"/>
          <w:numId w:val="3"/>
        </w:numPr>
        <w:spacing w:after="110"/>
      </w:pPr>
      <w:r>
        <w:t xml:space="preserve">Create the AWS free-tier account. Following AWS's own least-privilege guidance, create a dedicated IAM role with only Describe*/List*/Get* permissions on configuration APIs — no s3:GetObject, no database query rights, no secret-read rights. This exact role is what Cartography uses in Phase 1, and it is what the whole privacy-airlock design in Phase 4 depends on being true from day one, so get this right now rather than retrofitting it later.</w:t>
      </w:r>
    </w:p>
    <w:p>
      <w:pPr>
        <w:pStyle w:val="ListParagraph"/>
        <w:numPr>
          <w:ilvl w:val="0"/>
          <w:numId w:val="3"/>
        </w:numPr>
        <w:spacing w:after="110"/>
      </w:pPr>
      <w:r>
        <w:t xml:space="preserve">Install Postman and create a shared workspace named ‘ARGUS API’. Every endpoint built from Phase 7 onward gets added here before the frontend uses it.</w:t>
      </w:r>
    </w:p>
    <w:p>
      <w:pPr>
        <w:pStyle w:val="ListParagraph"/>
        <w:numPr>
          <w:ilvl w:val="0"/>
          <w:numId w:val="3"/>
        </w:numPr>
        <w:spacing w:after="110"/>
      </w:pPr>
      <w:r>
        <w:t xml:space="preserve">Hold a 30–45 minute kickoff meeting: read the Solution Snapshot and Master Dependency Map sections of this document out loud as a team, so everyone shares the same mental model before splitting into tracks.</w:t>
      </w:r>
    </w:p>
    <w:p>
      <w:pPr>
        <w:pStyle w:val="ListParagraph"/>
        <w:numPr>
          <w:ilvl w:val="0"/>
          <w:numId w:val="3"/>
        </w:numPr>
        <w:spacing w:after="110"/>
      </w:pPr>
      <w:r>
        <w:t xml:space="preserve">Start a shared Overleaf project for the eventual IEEE paper, and open a running ‘Decisions &amp; Rationale’ log from day one — every tool choice you justify now becomes graded content later under Phase II's ‘Selection’ rubric row.</w:t>
      </w:r>
    </w:p>
    <w:p>
      <w:pPr>
        <w:pStyle w:val="Heading2"/>
        <w:spacing w:after="140" w:before="260"/>
      </w:pPr>
      <w:r>
        <w:t xml:space="preserve">Integration Checkpoint</w:t>
      </w:r>
    </w:p>
    <w:p>
      <w:pPr>
        <w:spacing w:after="150"/>
      </w:pPr>
      <w:r>
        <w:t xml:space="preserve">By the end of Phase 0, `git clone` on any member's machine produces an identical folder structure, `docker compose up` starts (even with mostly-empty services) without error, and the AWS IAM role exists with its ARN recorded in `.env.example`. Nothing downstream can safely begin without this baseline being true.</w:t>
      </w:r>
    </w:p>
    <w:p>
      <w:pPr>
        <w:pStyle w:val="Heading2"/>
        <w:spacing w:after="140" w:before="260"/>
      </w:pPr>
      <w:r>
        <w:t xml:space="preserve">Phase Checklist (Definition of Done — tick before moving on)</w:t>
      </w:r>
    </w:p>
    <w:p>
      <w:pPr>
        <w:spacing w:after="90"/>
        <w:ind w:left="300"/>
      </w:pPr>
      <w:r>
        <w:t xml:space="preserve">☐   </w:t>
      </w:r>
      <w:r>
        <w:t xml:space="preserve">Roster confirmed against Circular 023 §6</w:t>
      </w:r>
    </w:p>
    <w:p>
      <w:pPr>
        <w:spacing w:after="90"/>
        <w:ind w:left="300"/>
      </w:pPr>
      <w:r>
        <w:t xml:space="preserve">☐   </w:t>
      </w:r>
      <w:r>
        <w:t xml:space="preserve">GitHub repo created with branch protection and the agreed folder skeleton committed</w:t>
      </w:r>
    </w:p>
    <w:p>
      <w:pPr>
        <w:spacing w:after="90"/>
        <w:ind w:left="300"/>
      </w:pPr>
      <w:r>
        <w:t xml:space="preserve">☐   </w:t>
      </w:r>
      <w:r>
        <w:t xml:space="preserve">Kanban board set up with every phase checklist item as a card</w:t>
      </w:r>
    </w:p>
    <w:p>
      <w:pPr>
        <w:spacing w:after="90"/>
        <w:ind w:left="300"/>
      </w:pPr>
      <w:r>
        <w:t xml:space="preserve">☐   </w:t>
      </w:r>
      <w:r>
        <w:t xml:space="preserve">All members have Docker, VS Code + extensions, Python 3.11+, Node 20+ installed and verified</w:t>
      </w:r>
    </w:p>
    <w:p>
      <w:pPr>
        <w:spacing w:after="90"/>
        <w:ind w:left="300"/>
      </w:pPr>
      <w:r>
        <w:t xml:space="preserve">☐   </w:t>
      </w:r>
      <w:r>
        <w:t xml:space="preserve">Roles assigned and documented in the README</w:t>
      </w:r>
    </w:p>
    <w:p>
      <w:pPr>
        <w:spacing w:after="90"/>
        <w:ind w:left="300"/>
      </w:pPr>
      <w:r>
        <w:t xml:space="preserve">☐   </w:t>
      </w:r>
      <w:r>
        <w:t xml:space="preserve">AWS free-tier account created; least-privilege IAM scanning role created and its ARN recorded in .env.example</w:t>
      </w:r>
    </w:p>
    <w:p>
      <w:pPr>
        <w:spacing w:after="90"/>
        <w:ind w:left="300"/>
      </w:pPr>
      <w:r>
        <w:t xml:space="preserve">☐   </w:t>
      </w:r>
      <w:r>
        <w:t xml:space="preserve">Shared Postman workspace created</w:t>
      </w:r>
    </w:p>
    <w:p>
      <w:pPr>
        <w:spacing w:after="90"/>
        <w:ind w:left="300"/>
      </w:pPr>
      <w:r>
        <w:t xml:space="preserve">☐   </w:t>
      </w:r>
      <w:r>
        <w:t xml:space="preserve">Kickoff meeting held; Decisions &amp; Rationale log started in Overleaf</w:t>
      </w:r>
    </w:p>
    <w:p>
      <w:r>
        <w:br w:type="page"/>
      </w:r>
    </w:p>
    <w:p>
      <w:pPr>
        <w:pStyle w:val="Heading1"/>
        <w:spacing w:after="200" w:before="420"/>
      </w:pPr>
      <w:r>
        <w:t xml:space="preserve">Phase 1: Foundation — Cloud Testbed, Graph Ingestion, DPDP Mapping, Mutation-Engine Skeleton</w:t>
      </w:r>
    </w:p>
    <w:p>
      <w:pPr>
        <w:spacing w:after="80"/>
      </w:pPr>
      <w:r>
        <w:rPr>
          <w:b/>
          <w:bCs/>
        </w:rPr>
        <w:t xml:space="preserve">Weeks:  </w:t>
      </w:r>
      <w:r>
        <w:t xml:space="preserve">Weeks 1–2</w:t>
      </w:r>
    </w:p>
    <w:p>
      <w:pPr>
        <w:spacing w:after="80"/>
      </w:pPr>
      <w:r>
        <w:rPr>
          <w:b/>
          <w:bCs/>
        </w:rPr>
        <w:t xml:space="preserve">Owner:  </w:t>
      </w:r>
      <w:r>
        <w:t xml:space="preserve">Role A leads ingestion; Role D leads the DPDP table; Role C starts the mutation-engine skeleton</w:t>
      </w:r>
    </w:p>
    <w:p>
      <w:pPr>
        <w:spacing w:after="80"/>
      </w:pPr>
      <w:r>
        <w:rPr>
          <w:b/>
          <w:bCs/>
        </w:rPr>
        <w:t xml:space="preserve">Depends On:  </w:t>
      </w:r>
      <w:r>
        <w:t xml:space="preserve">Phase 0 fully complete (AWS IAM role exists, repo skeleton committed).</w:t>
      </w:r>
    </w:p>
    <w:p>
      <w:pPr>
        <w:pStyle w:val="Heading2"/>
        <w:spacing w:after="140" w:before="260"/>
      </w:pPr>
      <w:r>
        <w:t xml:space="preserve">Objective / Deliverable</w:t>
      </w:r>
    </w:p>
    <w:p>
      <w:pPr>
        <w:spacing w:after="150"/>
      </w:pPr>
      <w:r>
        <w:t xml:space="preserve">Cartography is reliably ingesting a real (or CloudGoat-deployed) AWS account into a running Neo4j instance; at least one CloudGoat privilege-escalation scenario is deployed as labeled ground truth; the full DPDP Rule 6/7/8/15 mapping table is drafted as a literal document; and the mutation-engine skeleton (folder plus 3–4 real, tested mutators) exists, since both the Rego libraries (Phase 4) and the ML dataset (Phase 5) build directly on top of it.</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Cartography (pip install cartography)</w:t>
            </w:r>
          </w:p>
        </w:tc>
        <w:tc>
          <w:tcPr>
            <w:tcW w:type="dxa" w:w="3450"/>
            <w:tcMar>
              <w:top w:type="dxa" w:w="50"/>
              <w:left w:type="dxa" w:w="90"/>
              <w:bottom w:type="dxa" w:w="50"/>
              <w:right w:type="dxa" w:w="90"/>
            </w:tcMar>
          </w:tcPr>
          <w:p>
            <w:r>
              <w:rPr>
                <w:sz w:val="19"/>
                <w:szCs w:val="19"/>
              </w:rPr>
              <w:t xml:space="preserve">Turns weeks of custom AWS-ingestion plumbing into roughly a day of configuration; free, open-source, CNCF project</w:t>
            </w:r>
          </w:p>
        </w:tc>
        <w:tc>
          <w:tcPr>
            <w:tcW w:type="dxa" w:w="1950"/>
            <w:tcMar>
              <w:top w:type="dxa" w:w="50"/>
              <w:left w:type="dxa" w:w="90"/>
              <w:bottom w:type="dxa" w:w="50"/>
              <w:right w:type="dxa" w:w="90"/>
            </w:tcMar>
          </w:tcPr>
          <w:p>
            <w:r>
              <w:rPr>
                <w:sz w:val="19"/>
                <w:szCs w:val="19"/>
              </w:rPr>
              <w:t xml:space="preserve">github.com/cartography-cncf/cartography</w:t>
            </w:r>
          </w:p>
        </w:tc>
        <w:tc>
          <w:tcPr>
            <w:tcW w:type="dxa" w:w="2200"/>
            <w:tcMar>
              <w:top w:type="dxa" w:w="50"/>
              <w:left w:type="dxa" w:w="90"/>
              <w:bottom w:type="dxa" w:w="50"/>
              <w:right w:type="dxa" w:w="90"/>
            </w:tcMar>
          </w:tcPr>
          <w:p>
            <w:r>
              <w:rPr>
                <w:sz w:val="19"/>
                <w:szCs w:val="19"/>
              </w:rPr>
              <w:t xml:space="preserve">Read Cartography's own ‘Getting Started’ doc fully before running it against your AWS account</w:t>
            </w:r>
          </w:p>
        </w:tc>
      </w:tr>
      <w:tr>
        <w:tc>
          <w:tcPr>
            <w:tcW w:type="dxa" w:w="1750"/>
            <w:tcMar>
              <w:top w:type="dxa" w:w="50"/>
              <w:left w:type="dxa" w:w="90"/>
              <w:bottom w:type="dxa" w:w="50"/>
              <w:right w:type="dxa" w:w="90"/>
            </w:tcMar>
          </w:tcPr>
          <w:p>
            <w:r>
              <w:rPr>
                <w:sz w:val="19"/>
                <w:szCs w:val="19"/>
              </w:rPr>
              <w:t xml:space="preserve">Neo4j (Docker image or Neo4j Desktop) + Neo4j Browser</w:t>
            </w:r>
          </w:p>
        </w:tc>
        <w:tc>
          <w:tcPr>
            <w:tcW w:type="dxa" w:w="3450"/>
            <w:tcMar>
              <w:top w:type="dxa" w:w="50"/>
              <w:left w:type="dxa" w:w="90"/>
              <w:bottom w:type="dxa" w:w="50"/>
              <w:right w:type="dxa" w:w="90"/>
            </w:tcMar>
          </w:tcPr>
          <w:p>
            <w:r>
              <w:rPr>
                <w:sz w:val="19"/>
                <w:szCs w:val="19"/>
              </w:rPr>
              <w:t xml:space="preserve">Attack graphs are path/reachability questions, which a graph database answers natively via Cypher — this is the whole reason the project is not using a relational database here</w:t>
            </w:r>
          </w:p>
        </w:tc>
        <w:tc>
          <w:tcPr>
            <w:tcW w:type="dxa" w:w="1950"/>
            <w:tcMar>
              <w:top w:type="dxa" w:w="50"/>
              <w:left w:type="dxa" w:w="90"/>
              <w:bottom w:type="dxa" w:w="50"/>
              <w:right w:type="dxa" w:w="90"/>
            </w:tcMar>
          </w:tcPr>
          <w:p>
            <w:r>
              <w:rPr>
                <w:sz w:val="19"/>
                <w:szCs w:val="19"/>
              </w:rPr>
              <w:t xml:space="preserve">neo4j.com/download, or `docker run neo4j`; browser at localhost:7474</w:t>
            </w:r>
          </w:p>
        </w:tc>
        <w:tc>
          <w:tcPr>
            <w:tcW w:type="dxa" w:w="2200"/>
            <w:tcMar>
              <w:top w:type="dxa" w:w="50"/>
              <w:left w:type="dxa" w:w="90"/>
              <w:bottom w:type="dxa" w:w="50"/>
              <w:right w:type="dxa" w:w="90"/>
            </w:tcMar>
          </w:tcPr>
          <w:p>
            <w:r>
              <w:rPr>
                <w:sz w:val="19"/>
                <w:szCs w:val="19"/>
              </w:rPr>
              <w:t xml:space="preserve">Neo4j's free ‘Cypher Fundamentals’ course at graphacademy.neo4j.com — do this before writing any Cypher query, not after</w:t>
            </w:r>
          </w:p>
        </w:tc>
      </w:tr>
      <w:tr>
        <w:tc>
          <w:tcPr>
            <w:tcW w:type="dxa" w:w="1750"/>
            <w:tcMar>
              <w:top w:type="dxa" w:w="50"/>
              <w:left w:type="dxa" w:w="90"/>
              <w:bottom w:type="dxa" w:w="50"/>
              <w:right w:type="dxa" w:w="90"/>
            </w:tcMar>
          </w:tcPr>
          <w:p>
            <w:r>
              <w:rPr>
                <w:sz w:val="19"/>
                <w:szCs w:val="19"/>
              </w:rPr>
              <w:t xml:space="preserve">CloudGoat (Rhino Security Labs)</w:t>
            </w:r>
          </w:p>
        </w:tc>
        <w:tc>
          <w:tcPr>
            <w:tcW w:type="dxa" w:w="3450"/>
            <w:tcMar>
              <w:top w:type="dxa" w:w="50"/>
              <w:left w:type="dxa" w:w="90"/>
              <w:bottom w:type="dxa" w:w="50"/>
              <w:right w:type="dxa" w:w="90"/>
            </w:tcMar>
          </w:tcPr>
          <w:p>
            <w:r>
              <w:rPr>
                <w:sz w:val="19"/>
                <w:szCs w:val="19"/>
              </w:rPr>
              <w:t xml:space="preserve">A deliberately vulnerable AWS environment — gives you labeled ground truth to validate PageRank and prioritization against later, instead of guessing</w:t>
            </w:r>
          </w:p>
        </w:tc>
        <w:tc>
          <w:tcPr>
            <w:tcW w:type="dxa" w:w="1950"/>
            <w:tcMar>
              <w:top w:type="dxa" w:w="50"/>
              <w:left w:type="dxa" w:w="90"/>
              <w:bottom w:type="dxa" w:w="50"/>
              <w:right w:type="dxa" w:w="90"/>
            </w:tcMar>
          </w:tcPr>
          <w:p>
            <w:r>
              <w:rPr>
                <w:sz w:val="19"/>
                <w:szCs w:val="19"/>
              </w:rPr>
              <w:t xml:space="preserve">github.com/RhinoSecurityLabs/cloudgoat</w:t>
            </w:r>
          </w:p>
        </w:tc>
        <w:tc>
          <w:tcPr>
            <w:tcW w:type="dxa" w:w="2200"/>
            <w:tcMar>
              <w:top w:type="dxa" w:w="50"/>
              <w:left w:type="dxa" w:w="90"/>
              <w:bottom w:type="dxa" w:w="50"/>
              <w:right w:type="dxa" w:w="90"/>
            </w:tcMar>
          </w:tcPr>
          <w:p>
            <w:r>
              <w:rPr>
                <w:sz w:val="19"/>
                <w:szCs w:val="19"/>
              </w:rPr>
              <w:t xml:space="preserve">Run CloudGoat's own quick-start scenario walkthrough once before deploying your real scenario</w:t>
            </w:r>
          </w:p>
        </w:tc>
      </w:tr>
      <w:tr>
        <w:tc>
          <w:tcPr>
            <w:tcW w:type="dxa" w:w="1750"/>
            <w:tcMar>
              <w:top w:type="dxa" w:w="50"/>
              <w:left w:type="dxa" w:w="90"/>
              <w:bottom w:type="dxa" w:w="50"/>
              <w:right w:type="dxa" w:w="90"/>
            </w:tcMar>
          </w:tcPr>
          <w:p>
            <w:r>
              <w:rPr>
                <w:sz w:val="19"/>
                <w:szCs w:val="19"/>
              </w:rPr>
              <w:t xml:space="preserve">Terraform</w:t>
            </w:r>
          </w:p>
        </w:tc>
        <w:tc>
          <w:tcPr>
            <w:tcW w:type="dxa" w:w="3450"/>
            <w:tcMar>
              <w:top w:type="dxa" w:w="50"/>
              <w:left w:type="dxa" w:w="90"/>
              <w:bottom w:type="dxa" w:w="50"/>
              <w:right w:type="dxa" w:w="90"/>
            </w:tcMar>
          </w:tcPr>
          <w:p>
            <w:r>
              <w:rPr>
                <w:sz w:val="19"/>
                <w:szCs w:val="19"/>
              </w:rPr>
              <w:t xml:space="preserve">CloudGoat provisions via Terraform, and the ML mutation engine (Phase 5) mutates real Terraform files</w:t>
            </w:r>
          </w:p>
        </w:tc>
        <w:tc>
          <w:tcPr>
            <w:tcW w:type="dxa" w:w="1950"/>
            <w:tcMar>
              <w:top w:type="dxa" w:w="50"/>
              <w:left w:type="dxa" w:w="90"/>
              <w:bottom w:type="dxa" w:w="50"/>
              <w:right w:type="dxa" w:w="90"/>
            </w:tcMar>
          </w:tcPr>
          <w:p>
            <w:r>
              <w:rPr>
                <w:sz w:val="19"/>
                <w:szCs w:val="19"/>
              </w:rPr>
              <w:t xml:space="preserve">terraform.io/downloads</w:t>
            </w:r>
          </w:p>
        </w:tc>
        <w:tc>
          <w:tcPr>
            <w:tcW w:type="dxa" w:w="2200"/>
            <w:tcMar>
              <w:top w:type="dxa" w:w="50"/>
              <w:left w:type="dxa" w:w="90"/>
              <w:bottom w:type="dxa" w:w="50"/>
              <w:right w:type="dxa" w:w="90"/>
            </w:tcMar>
          </w:tcPr>
          <w:p>
            <w:r>
              <w:rPr>
                <w:sz w:val="19"/>
                <w:szCs w:val="19"/>
              </w:rPr>
              <w:t xml:space="preserve">HashiCorp's ‘Get Started – AWS’ tutorial (10–15 minutes) before touching CloudGoat's Terraform</w:t>
            </w:r>
          </w:p>
        </w:tc>
      </w:tr>
    </w:tbl>
    <w:p>
      <w:pPr>
        <w:pStyle w:val="Heading2"/>
        <w:spacing w:after="140" w:before="260"/>
      </w:pPr>
      <w:r>
        <w:t xml:space="preserve">Step-by-Step Procedure</w:t>
      </w:r>
    </w:p>
    <w:p>
      <w:pPr>
        <w:pStyle w:val="ListParagraph"/>
        <w:numPr>
          <w:ilvl w:val="0"/>
          <w:numId w:val="4"/>
        </w:numPr>
        <w:spacing w:after="110"/>
      </w:pPr>
      <w:r>
        <w:t xml:space="preserve">Using the least-privilege IAM role from Phase 0, install Cartography (`pip install cartography`) and run it once against the near-empty AWS account, to confirm the ingestion pipeline works end to end before CloudGoat adds noise.</w:t>
      </w:r>
    </w:p>
    <w:p>
      <w:pPr>
        <w:pStyle w:val="ListParagraph"/>
        <w:numPr>
          <w:ilvl w:val="0"/>
          <w:numId w:val="4"/>
        </w:numPr>
        <w:spacing w:after="110"/>
      </w:pPr>
      <w:r>
        <w:t xml:space="preserve">Start Neo4j via the repo's docker-compose.yml (add the neo4j service now if Phase 0 left it stubbed). Confirm localhost:7474 opens and you can log in.</w:t>
      </w:r>
    </w:p>
    <w:p>
      <w:pPr>
        <w:pStyle w:val="ListParagraph"/>
        <w:numPr>
          <w:ilvl w:val="0"/>
          <w:numId w:val="4"/>
        </w:numPr>
        <w:spacing w:after="110"/>
      </w:pPr>
      <w:r>
        <w:t xml:space="preserve">Re-run Cartography and open Neo4j Browser. Run `MATCH (n) RETURN count(n)` to confirm nodes landed, then `MATCH (n) RETURN n LIMIT 25` to visually sanity-check the graph shape.</w:t>
      </w:r>
    </w:p>
    <w:p>
      <w:pPr>
        <w:pStyle w:val="ListParagraph"/>
        <w:numPr>
          <w:ilvl w:val="0"/>
          <w:numId w:val="4"/>
        </w:numPr>
        <w:spacing w:after="110"/>
      </w:pPr>
      <w:r>
        <w:t xml:space="preserve">Deploy CloudGoat's IAM-privilege-escalation scenario into the same account (check CloudGoat's current README for the exact scenario command) — this becomes your labeled testbed for every risk and prioritization metric in Phase 10.</w:t>
      </w:r>
    </w:p>
    <w:p>
      <w:pPr>
        <w:pStyle w:val="ListParagraph"/>
        <w:numPr>
          <w:ilvl w:val="0"/>
          <w:numId w:val="4"/>
        </w:numPr>
        <w:spacing w:after="110"/>
      </w:pPr>
      <w:r>
        <w:t xml:space="preserve">Re-run Cartography against the account now that CloudGoat's resources exist; confirm the new IAM roles and policies appear in Neo4j.</w:t>
      </w:r>
    </w:p>
    <w:p>
      <w:pPr>
        <w:pStyle w:val="ListParagraph"/>
        <w:numPr>
          <w:ilvl w:val="0"/>
          <w:numId w:val="4"/>
        </w:numPr>
        <w:spacing w:after="110"/>
      </w:pPr>
      <w:r>
        <w:t xml:space="preserve">Write every node label and edge type Cartography actually produced (not the idealized list) into `graph/schema.md`. This becomes the single canonical schema every other track reads from — nobody guesses field names independently from here on.</w:t>
      </w:r>
    </w:p>
    <w:p>
      <w:pPr>
        <w:pStyle w:val="ListParagraph"/>
        <w:numPr>
          <w:ilvl w:val="0"/>
          <w:numId w:val="4"/>
        </w:numPr>
        <w:spacing w:after="110"/>
      </w:pPr>
      <w:r>
        <w:t xml:space="preserve">Role D starts the DPDP Rule 6/7/8/15 mapping table as a literal Markdown table: one row per checkable technical fact, its DPDP sub-clause, and which Cartography-produced field(s) it needs — cross-check every field name against `graph/schema.md` from the previous step.</w:t>
      </w:r>
    </w:p>
    <w:p>
      <w:pPr>
        <w:pStyle w:val="ListParagraph"/>
        <w:numPr>
          <w:ilvl w:val="0"/>
          <w:numId w:val="4"/>
        </w:numPr>
        <w:spacing w:after="110"/>
      </w:pPr>
      <w:r>
        <w:t xml:space="preserve">Get one mentor review pass on the DPDP mapping table early — legal-accuracy risk is cheap to fix now and expensive to fix in Week 16.</w:t>
      </w:r>
    </w:p>
    <w:p>
      <w:pPr>
        <w:pStyle w:val="ListParagraph"/>
        <w:numPr>
          <w:ilvl w:val="0"/>
          <w:numId w:val="4"/>
        </w:numPr>
        <w:spacing w:after="110"/>
      </w:pPr>
      <w:r>
        <w:t xml:space="preserve">Role C sets up `ml/mutation_engine/`: clone a couple of example modules from GitHub's `terraform-aws-modules` and copy in CloudGoat/TerraGoat's example scenarios as known-good starting configs. Write the first 3–4 mutators (for example: one that flips `server_side_encryption_enabled` off, one that opens a security group to 0.0.0.0/0).</w:t>
      </w:r>
    </w:p>
    <w:p>
      <w:pPr>
        <w:pStyle w:val="ListParagraph"/>
        <w:numPr>
          <w:ilvl w:val="0"/>
          <w:numId w:val="4"/>
        </w:numPr>
        <w:spacing w:after="110"/>
      </w:pPr>
      <w:r>
        <w:t xml:space="preserve">For each mutator, write a tiny round-trip test proving that applying the mutator and then its reference fix reproduces the original config — do this now, before the dataset scales up in Phase 5.</w:t>
      </w:r>
    </w:p>
    <w:p>
      <w:pPr>
        <w:pStyle w:val="ListParagraph"/>
        <w:numPr>
          <w:ilvl w:val="0"/>
          <w:numId w:val="4"/>
        </w:numPr>
        <w:spacing w:after="110"/>
      </w:pPr>
      <w:r>
        <w:t xml:space="preserve">Commit `graph/schema.md`, the DPDP mapping table, and the mutation-engine skeleton. Open a PR for each so the whole team reviews the shared contracts before Phase 2 builds on top of them.</w:t>
      </w:r>
    </w:p>
    <w:p>
      <w:pPr>
        <w:pStyle w:val="Heading2"/>
        <w:spacing w:after="140" w:before="260"/>
      </w:pPr>
      <w:r>
        <w:t xml:space="preserve">Integration Checkpoint</w:t>
      </w:r>
    </w:p>
    <w:p>
      <w:pPr>
        <w:spacing w:after="150"/>
      </w:pPr>
      <w:r>
        <w:t xml:space="preserve">`graph/schema.md` is the single source of truth for node and edge names from here on: Phase 2 (risk weights), Phase 4 (Rego field names), and Phase 5 (mutation targets) all read this file rather than re-deriving it independently. The CloudGoat account stays live and is re-ingested — never rebuilt from scratch — for the rest of the project as the shared ground-truth testbed.</w:t>
      </w:r>
    </w:p>
    <w:p>
      <w:pPr>
        <w:pStyle w:val="Heading2"/>
        <w:spacing w:after="140" w:before="260"/>
      </w:pPr>
      <w:r>
        <w:t xml:space="preserve">Phase Checklist (Definition of Done — tick before moving on)</w:t>
      </w:r>
    </w:p>
    <w:p>
      <w:pPr>
        <w:spacing w:after="90"/>
        <w:ind w:left="300"/>
      </w:pPr>
      <w:r>
        <w:t xml:space="preserve">☐   </w:t>
      </w:r>
      <w:r>
        <w:t xml:space="preserve">Cartography ingests the AWS account into Neo4j reproducibly, without manual fixes</w:t>
      </w:r>
    </w:p>
    <w:p>
      <w:pPr>
        <w:spacing w:after="90"/>
        <w:ind w:left="300"/>
      </w:pPr>
      <w:r>
        <w:t xml:space="preserve">☐   </w:t>
      </w:r>
      <w:r>
        <w:t xml:space="preserve">At least one CloudGoat scenario deployed and successfully re-ingested</w:t>
      </w:r>
    </w:p>
    <w:p>
      <w:pPr>
        <w:spacing w:after="90"/>
        <w:ind w:left="300"/>
      </w:pPr>
      <w:r>
        <w:t xml:space="preserve">☐   </w:t>
      </w:r>
      <w:r>
        <w:t xml:space="preserve">graph/schema.md committed and reviewed by the team</w:t>
      </w:r>
    </w:p>
    <w:p>
      <w:pPr>
        <w:spacing w:after="90"/>
        <w:ind w:left="300"/>
      </w:pPr>
      <w:r>
        <w:t xml:space="preserve">☐   </w:t>
      </w:r>
      <w:r>
        <w:t xml:space="preserve">DPDP mapping table drafted, committed, and a mentor review scheduled or completed</w:t>
      </w:r>
    </w:p>
    <w:p>
      <w:pPr>
        <w:spacing w:after="90"/>
        <w:ind w:left="300"/>
      </w:pPr>
      <w:r>
        <w:t xml:space="preserve">☐   </w:t>
      </w:r>
      <w:r>
        <w:t xml:space="preserve">Mutation-engine skeleton with 3–4 working mutators plus round-trip tests committed</w:t>
      </w:r>
    </w:p>
    <w:p>
      <w:r>
        <w:br w:type="page"/>
      </w:r>
    </w:p>
    <w:p>
      <w:pPr>
        <w:pStyle w:val="Heading1"/>
        <w:spacing w:after="200" w:before="420"/>
      </w:pPr>
      <w:r>
        <w:t xml:space="preserve">Phase 2: Risk Engine — Personalized PageRank</w:t>
      </w:r>
    </w:p>
    <w:p>
      <w:pPr>
        <w:spacing w:after="80"/>
      </w:pPr>
      <w:r>
        <w:rPr>
          <w:b/>
          <w:bCs/>
        </w:rPr>
        <w:t xml:space="preserve">Weeks:  </w:t>
      </w:r>
      <w:r>
        <w:t xml:space="preserve">Weeks 3–5</w:t>
      </w:r>
    </w:p>
    <w:p>
      <w:pPr>
        <w:spacing w:after="80"/>
      </w:pPr>
      <w:r>
        <w:rPr>
          <w:b/>
          <w:bCs/>
        </w:rPr>
        <w:t xml:space="preserve">Owner:  </w:t>
      </w:r>
      <w:r>
        <w:t xml:space="preserve">Role A</w:t>
      </w:r>
    </w:p>
    <w:p>
      <w:pPr>
        <w:spacing w:after="80"/>
      </w:pPr>
      <w:r>
        <w:rPr>
          <w:b/>
          <w:bCs/>
        </w:rPr>
        <w:t xml:space="preserve">Depends On:  </w:t>
      </w:r>
      <w:r>
        <w:t xml:space="preserve">Phase 1 (graph/schema.md and a live, populated Neo4j graph).</w:t>
      </w:r>
    </w:p>
    <w:p>
      <w:pPr>
        <w:pStyle w:val="Heading2"/>
        <w:spacing w:after="140" w:before="260"/>
      </w:pPr>
      <w:r>
        <w:t xml:space="preserve">Objective / Deliverable</w:t>
      </w:r>
    </w:p>
    <w:p>
      <w:pPr>
        <w:spacing w:after="150"/>
      </w:pPr>
      <w:r>
        <w:t xml:space="preserve">Real (not mocked) exploitability-weighted Personalized PageRank risk scores computed over the actual ingested graph, validated against CloudGoat's known crown-jewel path, and exposed as a single frozen function the rest of the system will call for the remainder of the project.</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Python networkx</w:t>
            </w:r>
          </w:p>
        </w:tc>
        <w:tc>
          <w:tcPr>
            <w:tcW w:type="dxa" w:w="3450"/>
            <w:tcMar>
              <w:top w:type="dxa" w:w="50"/>
              <w:left w:type="dxa" w:w="90"/>
              <w:bottom w:type="dxa" w:w="50"/>
              <w:right w:type="dxa" w:w="90"/>
            </w:tcMar>
          </w:tcPr>
          <w:p>
            <w:r>
              <w:rPr>
                <w:sz w:val="19"/>
                <w:szCs w:val="19"/>
              </w:rPr>
              <w:t xml:space="preserve">Ships a well-tested built-in pagerank() function with a personalization argument, so you can validate your own hand-written implementation against a trusted reference</w:t>
            </w:r>
          </w:p>
        </w:tc>
        <w:tc>
          <w:tcPr>
            <w:tcW w:type="dxa" w:w="1950"/>
            <w:tcMar>
              <w:top w:type="dxa" w:w="50"/>
              <w:left w:type="dxa" w:w="90"/>
              <w:bottom w:type="dxa" w:w="50"/>
              <w:right w:type="dxa" w:w="90"/>
            </w:tcMar>
          </w:tcPr>
          <w:p>
            <w:r>
              <w:rPr>
                <w:sz w:val="19"/>
                <w:szCs w:val="19"/>
              </w:rPr>
              <w:t xml:space="preserve">pip install networkx</w:t>
            </w:r>
          </w:p>
        </w:tc>
        <w:tc>
          <w:tcPr>
            <w:tcW w:type="dxa" w:w="2200"/>
            <w:tcMar>
              <w:top w:type="dxa" w:w="50"/>
              <w:left w:type="dxa" w:w="90"/>
              <w:bottom w:type="dxa" w:w="50"/>
              <w:right w:type="dxa" w:w="90"/>
            </w:tcMar>
          </w:tcPr>
          <w:p>
            <w:r>
              <w:rPr>
                <w:sz w:val="19"/>
                <w:szCs w:val="19"/>
              </w:rPr>
              <w:t xml:space="preserve">Read networkx's PageRank docstring and worked example before writing the personalized-vector version yourself</w:t>
            </w:r>
          </w:p>
        </w:tc>
      </w:tr>
      <w:tr>
        <w:tc>
          <w:tcPr>
            <w:tcW w:type="dxa" w:w="1750"/>
            <w:tcMar>
              <w:top w:type="dxa" w:w="50"/>
              <w:left w:type="dxa" w:w="90"/>
              <w:bottom w:type="dxa" w:w="50"/>
              <w:right w:type="dxa" w:w="90"/>
            </w:tcMar>
          </w:tcPr>
          <w:p>
            <w:r>
              <w:rPr>
                <w:sz w:val="19"/>
                <w:szCs w:val="19"/>
              </w:rPr>
              <w:t xml:space="preserve">Jupyter Notebook / JupyterLab</w:t>
            </w:r>
          </w:p>
        </w:tc>
        <w:tc>
          <w:tcPr>
            <w:tcW w:type="dxa" w:w="3450"/>
            <w:tcMar>
              <w:top w:type="dxa" w:w="50"/>
              <w:left w:type="dxa" w:w="90"/>
              <w:bottom w:type="dxa" w:w="50"/>
              <w:right w:type="dxa" w:w="90"/>
            </w:tcMar>
          </w:tcPr>
          <w:p>
            <w:r>
              <w:rPr>
                <w:sz w:val="19"/>
                <w:szCs w:val="19"/>
              </w:rPr>
              <w:t xml:space="preserve">Fast, visible iteration on damping factor and edge weights before hardening into production code</w:t>
            </w:r>
          </w:p>
        </w:tc>
        <w:tc>
          <w:tcPr>
            <w:tcW w:type="dxa" w:w="1950"/>
            <w:tcMar>
              <w:top w:type="dxa" w:w="50"/>
              <w:left w:type="dxa" w:w="90"/>
              <w:bottom w:type="dxa" w:w="50"/>
              <w:right w:type="dxa" w:w="90"/>
            </w:tcMar>
          </w:tcPr>
          <w:p>
            <w:r>
              <w:rPr>
                <w:sz w:val="19"/>
                <w:szCs w:val="19"/>
              </w:rPr>
              <w:t xml:space="preserve">pip install jupyterlab</w:t>
            </w:r>
          </w:p>
        </w:tc>
        <w:tc>
          <w:tcPr>
            <w:tcW w:type="dxa" w:w="2200"/>
            <w:tcMar>
              <w:top w:type="dxa" w:w="50"/>
              <w:left w:type="dxa" w:w="90"/>
              <w:bottom w:type="dxa" w:w="50"/>
              <w:right w:type="dxa" w:w="90"/>
            </w:tcMar>
          </w:tcPr>
          <w:p>
            <w:r>
              <w:rPr>
                <w:sz w:val="19"/>
                <w:szCs w:val="19"/>
              </w:rPr>
              <w:t xml:space="preserve">No tutorial needed beyond basic notebook use</w:t>
            </w:r>
          </w:p>
        </w:tc>
      </w:tr>
      <w:tr>
        <w:tc>
          <w:tcPr>
            <w:tcW w:type="dxa" w:w="1750"/>
            <w:tcMar>
              <w:top w:type="dxa" w:w="50"/>
              <w:left w:type="dxa" w:w="90"/>
              <w:bottom w:type="dxa" w:w="50"/>
              <w:right w:type="dxa" w:w="90"/>
            </w:tcMar>
          </w:tcPr>
          <w:p>
            <w:r>
              <w:rPr>
                <w:sz w:val="19"/>
                <w:szCs w:val="19"/>
              </w:rPr>
              <w:t xml:space="preserve">Neo4j Python driver (`neo4j` package)</w:t>
            </w:r>
          </w:p>
        </w:tc>
        <w:tc>
          <w:tcPr>
            <w:tcW w:type="dxa" w:w="3450"/>
            <w:tcMar>
              <w:top w:type="dxa" w:w="50"/>
              <w:left w:type="dxa" w:w="90"/>
              <w:bottom w:type="dxa" w:w="50"/>
              <w:right w:type="dxa" w:w="90"/>
            </w:tcMar>
          </w:tcPr>
          <w:p>
            <w:r>
              <w:rPr>
                <w:sz w:val="19"/>
                <w:szCs w:val="19"/>
              </w:rPr>
              <w:t xml:space="preserve">Pulls the live graph out of Neo4j into Python for scoring</w:t>
            </w:r>
          </w:p>
        </w:tc>
        <w:tc>
          <w:tcPr>
            <w:tcW w:type="dxa" w:w="1950"/>
            <w:tcMar>
              <w:top w:type="dxa" w:w="50"/>
              <w:left w:type="dxa" w:w="90"/>
              <w:bottom w:type="dxa" w:w="50"/>
              <w:right w:type="dxa" w:w="90"/>
            </w:tcMar>
          </w:tcPr>
          <w:p>
            <w:r>
              <w:rPr>
                <w:sz w:val="19"/>
                <w:szCs w:val="19"/>
              </w:rPr>
              <w:t xml:space="preserve">pip install neo4j</w:t>
            </w:r>
          </w:p>
        </w:tc>
        <w:tc>
          <w:tcPr>
            <w:tcW w:type="dxa" w:w="2200"/>
            <w:tcMar>
              <w:top w:type="dxa" w:w="50"/>
              <w:left w:type="dxa" w:w="90"/>
              <w:bottom w:type="dxa" w:w="50"/>
              <w:right w:type="dxa" w:w="90"/>
            </w:tcMar>
          </w:tcPr>
          <w:p>
            <w:r>
              <w:rPr>
                <w:sz w:val="19"/>
                <w:szCs w:val="19"/>
              </w:rPr>
              <w:t xml:space="preserve">The driver's own ‘Quickstart’ page on neo4j.com</w:t>
            </w:r>
          </w:p>
        </w:tc>
      </w:tr>
    </w:tbl>
    <w:p>
      <w:pPr>
        <w:pStyle w:val="Heading2"/>
        <w:spacing w:after="140" w:before="260"/>
      </w:pPr>
      <w:r>
        <w:t xml:space="preserve">Step-by-Step Procedure</w:t>
      </w:r>
    </w:p>
    <w:p>
      <w:pPr>
        <w:pStyle w:val="ListParagraph"/>
        <w:numPr>
          <w:ilvl w:val="0"/>
          <w:numId w:val="5"/>
        </w:numPr>
        <w:spacing w:after="110"/>
      </w:pPr>
      <w:r>
        <w:t xml:space="preserve">In a Jupyter notebook, connect to Neo4j via the neo4j driver and pull the full node/edge list into a networkx.DiGraph.</w:t>
      </w:r>
    </w:p>
    <w:p>
      <w:pPr>
        <w:pStyle w:val="ListParagraph"/>
        <w:numPr>
          <w:ilvl w:val="0"/>
          <w:numId w:val="5"/>
        </w:numPr>
        <w:spacing w:after="110"/>
      </w:pPr>
      <w:r>
        <w:t xml:space="preserve">Using graph/schema.md, define exploitability-weight heuristics per edge type (for example: a NetworkReachable edge from 0.0.0.0/0 gets a high weight; a CanAssume edge that requires MFA gets a low weight). Write the reasoning down as markdown cells in the notebook — this becomes report content, not throwaway comments.</w:t>
      </w:r>
    </w:p>
    <w:p>
      <w:pPr>
        <w:pStyle w:val="ListParagraph"/>
        <w:numPr>
          <w:ilvl w:val="0"/>
          <w:numId w:val="5"/>
        </w:numPr>
        <w:spacing w:after="110"/>
      </w:pPr>
      <w:r>
        <w:t xml:space="preserve">Mark entry nodes (public-facing resources: internet-facing security groups, public S3 buckets) as the personalization set e_S.</w:t>
      </w:r>
    </w:p>
    <w:p>
      <w:pPr>
        <w:pStyle w:val="ListParagraph"/>
        <w:numPr>
          <w:ilvl w:val="0"/>
          <w:numId w:val="5"/>
        </w:numPr>
        <w:spacing w:after="110"/>
      </w:pPr>
      <w:r>
        <w:t xml:space="preserve">Implement the PPR formula π = c·Mᵀπ + (1−c)·e_S by hand using power iteration, and separately run networkx.pagerank(G, personalization=..., alpha=c). The two should agree closely — if they do not, the bug is almost always in how M was row-normalized.</w:t>
      </w:r>
    </w:p>
    <w:p>
      <w:pPr>
        <w:pStyle w:val="ListParagraph"/>
        <w:numPr>
          <w:ilvl w:val="0"/>
          <w:numId w:val="5"/>
        </w:numPr>
        <w:spacing w:after="110"/>
      </w:pPr>
      <w:r>
        <w:t xml:space="preserve">Run the scorer against the CloudGoat-ingested graph and sanity-check that the known crown-jewel resource scores highest, or close to it.</w:t>
      </w:r>
    </w:p>
    <w:p>
      <w:pPr>
        <w:pStyle w:val="ListParagraph"/>
        <w:numPr>
          <w:ilvl w:val="0"/>
          <w:numId w:val="5"/>
        </w:numPr>
        <w:spacing w:after="110"/>
      </w:pPr>
      <w:r>
        <w:t xml:space="preserve">Pick two resources sharing the same underlying misconfiguration but sitting in different graph positions (for example two unencrypted buckets, one 2 hops from the internet and one 6 hops away) and record their actual computed π values — this worked example goes directly into the report as evidence that PPR beats a flat severity label.</w:t>
      </w:r>
    </w:p>
    <w:p>
      <w:pPr>
        <w:pStyle w:val="ListParagraph"/>
        <w:numPr>
          <w:ilvl w:val="0"/>
          <w:numId w:val="5"/>
        </w:numPr>
        <w:spacing w:after="110"/>
      </w:pPr>
      <w:r>
        <w:t xml:space="preserve">Harden the notebook code into a production module `risk/pagerank.py` exposing one function: `score_graph(session) -&gt; dict[node_id, float]`. Externalize the damping factor into `risk/damping_config.json` so it can later be exposed as a dashboard slider (Phase 8).</w:t>
      </w:r>
    </w:p>
    <w:p>
      <w:pPr>
        <w:pStyle w:val="ListParagraph"/>
        <w:numPr>
          <w:ilvl w:val="0"/>
          <w:numId w:val="5"/>
        </w:numPr>
        <w:spacing w:after="110"/>
      </w:pPr>
      <w:r>
        <w:t xml:space="preserve">Write pytest tests using a tiny synthetic 4-node graph with a hand-computable expected π, so a future refactor cannot silently break the math.</w:t>
      </w:r>
    </w:p>
    <w:p>
      <w:pPr>
        <w:pStyle w:val="ListParagraph"/>
        <w:numPr>
          <w:ilvl w:val="0"/>
          <w:numId w:val="5"/>
        </w:numPr>
        <w:spacing w:after="110"/>
      </w:pPr>
      <w:r>
        <w:t xml:space="preserve">Commit risk/pagerank.py, its tests, and the notebook (kept as documentation) to the repo.</w:t>
      </w:r>
    </w:p>
    <w:p>
      <w:pPr>
        <w:pStyle w:val="Heading2"/>
        <w:spacing w:after="140" w:before="260"/>
      </w:pPr>
      <w:r>
        <w:t xml:space="preserve">Integration Checkpoint</w:t>
      </w:r>
    </w:p>
    <w:p>
      <w:pPr>
        <w:spacing w:after="150"/>
      </w:pPr>
      <w:r>
        <w:t xml:space="preserve">risk/pagerank.py's score_graph() function signature and its output shape ({node_id: float}) is what Phase 3's interdiction MILP consumes as edge/node costs, and what Phase 7's verification gate re-runs against the simulated post-patch graph. Freeze this signature now — Phase 3 starts building directly against it.</w:t>
      </w:r>
    </w:p>
    <w:p>
      <w:pPr>
        <w:pStyle w:val="Heading2"/>
        <w:spacing w:after="140" w:before="260"/>
      </w:pPr>
      <w:r>
        <w:t xml:space="preserve">Phase Checklist (Definition of Done — tick before moving on)</w:t>
      </w:r>
    </w:p>
    <w:p>
      <w:pPr>
        <w:spacing w:after="90"/>
        <w:ind w:left="300"/>
      </w:pPr>
      <w:r>
        <w:t xml:space="preserve">☐   </w:t>
      </w:r>
      <w:r>
        <w:t xml:space="preserve">Hand-implemented PPR matches networkx.pagerank within tolerance on the real graph</w:t>
      </w:r>
    </w:p>
    <w:p>
      <w:pPr>
        <w:spacing w:after="90"/>
        <w:ind w:left="300"/>
      </w:pPr>
      <w:r>
        <w:t xml:space="preserve">☐   </w:t>
      </w:r>
      <w:r>
        <w:t xml:space="preserve">Crown-jewel sanity check passes on the CloudGoat scenario</w:t>
      </w:r>
    </w:p>
    <w:p>
      <w:pPr>
        <w:spacing w:after="90"/>
        <w:ind w:left="300"/>
      </w:pPr>
      <w:r>
        <w:t xml:space="preserve">☐   </w:t>
      </w:r>
      <w:r>
        <w:t xml:space="preserve">Two-resource worked-example numbers recorded for the report</w:t>
      </w:r>
    </w:p>
    <w:p>
      <w:pPr>
        <w:spacing w:after="90"/>
        <w:ind w:left="300"/>
      </w:pPr>
      <w:r>
        <w:t xml:space="preserve">☐   </w:t>
      </w:r>
      <w:r>
        <w:t xml:space="preserve">risk/pagerank.py committed with passing pytest tests</w:t>
      </w:r>
    </w:p>
    <w:p>
      <w:pPr>
        <w:spacing w:after="90"/>
        <w:ind w:left="300"/>
      </w:pPr>
      <w:r>
        <w:t xml:space="preserve">☐   </w:t>
      </w:r>
      <w:r>
        <w:t xml:space="preserve">Damping factor externalized to config, ready for a future dashboard slider</w:t>
      </w:r>
    </w:p>
    <w:p>
      <w:r>
        <w:br w:type="page"/>
      </w:r>
    </w:p>
    <w:p>
      <w:pPr>
        <w:pStyle w:val="Heading1"/>
        <w:spacing w:after="200" w:before="420"/>
      </w:pPr>
      <w:r>
        <w:t xml:space="preserve">Phase 3: Prioritization Engine — Network-Interdiction MILP + Stackelberg Baseline</w:t>
      </w:r>
    </w:p>
    <w:p>
      <w:pPr>
        <w:spacing w:after="80"/>
      </w:pPr>
      <w:r>
        <w:rPr>
          <w:b/>
          <w:bCs/>
        </w:rPr>
        <w:t xml:space="preserve">Weeks:  </w:t>
      </w:r>
      <w:r>
        <w:t xml:space="preserve">Weeks 5–6 (overlaps the tail of Phase 2)</w:t>
      </w:r>
    </w:p>
    <w:p>
      <w:pPr>
        <w:spacing w:after="80"/>
      </w:pPr>
      <w:r>
        <w:rPr>
          <w:b/>
          <w:bCs/>
        </w:rPr>
        <w:t xml:space="preserve">Owner:  </w:t>
      </w:r>
      <w:r>
        <w:t xml:space="preserve">Role A</w:t>
      </w:r>
    </w:p>
    <w:p>
      <w:pPr>
        <w:spacing w:after="80"/>
      </w:pPr>
      <w:r>
        <w:rPr>
          <w:b/>
          <w:bCs/>
        </w:rPr>
        <w:t xml:space="preserve">Depends On:  </w:t>
      </w:r>
      <w:r>
        <w:t xml:space="preserve">Phase 2 (risk/pagerank.py's real output).</w:t>
      </w:r>
    </w:p>
    <w:p>
      <w:pPr>
        <w:pStyle w:val="Heading2"/>
        <w:spacing w:after="140" w:before="260"/>
      </w:pPr>
      <w:r>
        <w:t xml:space="preserve">Objective / Deliverable</w:t>
      </w:r>
    </w:p>
    <w:p>
      <w:pPr>
        <w:spacing w:after="150"/>
      </w:pPr>
      <w:r>
        <w:t xml:space="preserve">One MILP solve that picks the budget-constrained set of fixes maximizing the attacker's cheapest remaining path, driven by real PageRank scores — plus the original Stackelberg LP kept as a labeled comparison baseline, and a naive severity-sort baseline, so the dashboard's comparison panel shows three real bars, not invented numbers.</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PuLP (pip install pulp)</w:t>
            </w:r>
          </w:p>
        </w:tc>
        <w:tc>
          <w:tcPr>
            <w:tcW w:type="dxa" w:w="3450"/>
            <w:tcMar>
              <w:top w:type="dxa" w:w="50"/>
              <w:left w:type="dxa" w:w="90"/>
              <w:bottom w:type="dxa" w:w="50"/>
              <w:right w:type="dxa" w:w="90"/>
            </w:tcMar>
          </w:tcPr>
          <w:p>
            <w:r>
              <w:rPr>
                <w:sz w:val="19"/>
                <w:szCs w:val="19"/>
              </w:rPr>
              <w:t xml:space="preserve">Simplest way to formulate and solve both the interdiction MILP and the Stackelberg multi-LP at this problem size (tens of findings, solves in milliseconds)</w:t>
            </w:r>
          </w:p>
        </w:tc>
        <w:tc>
          <w:tcPr>
            <w:tcW w:type="dxa" w:w="1950"/>
            <w:tcMar>
              <w:top w:type="dxa" w:w="50"/>
              <w:left w:type="dxa" w:w="90"/>
              <w:bottom w:type="dxa" w:w="50"/>
              <w:right w:type="dxa" w:w="90"/>
            </w:tcMar>
          </w:tcPr>
          <w:p>
            <w:r>
              <w:rPr>
                <w:sz w:val="19"/>
                <w:szCs w:val="19"/>
              </w:rPr>
              <w:t xml:space="preserve">pypi.org/project/PuLP</w:t>
            </w:r>
          </w:p>
        </w:tc>
        <w:tc>
          <w:tcPr>
            <w:tcW w:type="dxa" w:w="2200"/>
            <w:tcMar>
              <w:top w:type="dxa" w:w="50"/>
              <w:left w:type="dxa" w:w="90"/>
              <w:bottom w:type="dxa" w:w="50"/>
              <w:right w:type="dxa" w:w="90"/>
            </w:tcMar>
          </w:tcPr>
          <w:p>
            <w:r>
              <w:rPr>
                <w:sz w:val="19"/>
                <w:szCs w:val="19"/>
              </w:rPr>
              <w:t xml:space="preserve">PuLP's own ‘Case Studies’ tutorial (a blending-problem walkthrough) — the LpProblem / LpVariable / += syntax pattern is the same one you will reuse for interdiction</w:t>
            </w:r>
          </w:p>
        </w:tc>
      </w:tr>
      <w:tr>
        <w:tc>
          <w:tcPr>
            <w:tcW w:type="dxa" w:w="1750"/>
            <w:tcMar>
              <w:top w:type="dxa" w:w="50"/>
              <w:left w:type="dxa" w:w="90"/>
              <w:bottom w:type="dxa" w:w="50"/>
              <w:right w:type="dxa" w:w="90"/>
            </w:tcMar>
          </w:tcPr>
          <w:p>
            <w:r>
              <w:rPr>
                <w:sz w:val="19"/>
                <w:szCs w:val="19"/>
              </w:rPr>
              <w:t xml:space="preserve">OR-Tools</w:t>
            </w:r>
          </w:p>
        </w:tc>
        <w:tc>
          <w:tcPr>
            <w:tcW w:type="dxa" w:w="3450"/>
            <w:tcMar>
              <w:top w:type="dxa" w:w="50"/>
              <w:left w:type="dxa" w:w="90"/>
              <w:bottom w:type="dxa" w:w="50"/>
              <w:right w:type="dxa" w:w="90"/>
            </w:tcMar>
          </w:tcPr>
          <w:p>
            <w:r>
              <w:rPr>
                <w:sz w:val="19"/>
                <w:szCs w:val="19"/>
              </w:rPr>
              <w:t xml:space="preserve">Fallback only if PuLP proves limiting — unlikely at this problem scale</w:t>
            </w:r>
          </w:p>
        </w:tc>
        <w:tc>
          <w:tcPr>
            <w:tcW w:type="dxa" w:w="1950"/>
            <w:tcMar>
              <w:top w:type="dxa" w:w="50"/>
              <w:left w:type="dxa" w:w="90"/>
              <w:bottom w:type="dxa" w:w="50"/>
              <w:right w:type="dxa" w:w="90"/>
            </w:tcMar>
          </w:tcPr>
          <w:p>
            <w:r>
              <w:rPr>
                <w:sz w:val="19"/>
                <w:szCs w:val="19"/>
              </w:rPr>
              <w:t xml:space="preserve">pip install ortools</w:t>
            </w:r>
          </w:p>
        </w:tc>
        <w:tc>
          <w:tcPr>
            <w:tcW w:type="dxa" w:w="2200"/>
            <w:tcMar>
              <w:top w:type="dxa" w:w="50"/>
              <w:left w:type="dxa" w:w="90"/>
              <w:bottom w:type="dxa" w:w="50"/>
              <w:right w:type="dxa" w:w="90"/>
            </w:tcMar>
          </w:tcPr>
          <w:p>
            <w:r>
              <w:rPr>
                <w:sz w:val="19"/>
                <w:szCs w:val="19"/>
              </w:rPr>
              <w:t xml:space="preserve">Skip unless PuLP genuinely blocks you</w:t>
            </w:r>
          </w:p>
        </w:tc>
      </w:tr>
    </w:tbl>
    <w:p>
      <w:pPr>
        <w:pStyle w:val="Heading2"/>
        <w:spacing w:after="140" w:before="260"/>
      </w:pPr>
      <w:r>
        <w:t xml:space="preserve">Step-by-Step Procedure</w:t>
      </w:r>
    </w:p>
    <w:p>
      <w:pPr>
        <w:pStyle w:val="ListParagraph"/>
        <w:numPr>
          <w:ilvl w:val="0"/>
          <w:numId w:val="6"/>
        </w:numPr>
        <w:spacing w:after="110"/>
      </w:pPr>
      <w:r>
        <w:t xml:space="preserve">Read the interdiction-MILP design section of the ARGUS v3 document fully before writing any code — understand why interdiction (binary fix / no-fix) replaced the original Stackelberg (fractional coverage) as the primary model: a bucket is either patched or it is not, there is no ‘68% patched.’</w:t>
      </w:r>
    </w:p>
    <w:p>
      <w:pPr>
        <w:pStyle w:val="ListParagraph"/>
        <w:numPr>
          <w:ilvl w:val="0"/>
          <w:numId w:val="6"/>
        </w:numPr>
        <w:spacing w:after="110"/>
      </w:pPr>
      <w:r>
        <w:t xml:space="preserve">Define the super-source s (all entry nodes from Phase 2) and super-sink t (all crown-jewel / sensitive nodes, per the DPDP mapping table's ‘holds personal data’ tag) in the graph.</w:t>
      </w:r>
    </w:p>
    <w:p>
      <w:pPr>
        <w:pStyle w:val="ListParagraph"/>
        <w:numPr>
          <w:ilvl w:val="0"/>
          <w:numId w:val="6"/>
        </w:numPr>
        <w:spacing w:after="110"/>
      </w:pPr>
      <w:r>
        <w:t xml:space="preserve">Compute edge length d_ij = −log(p_ij) from each edge's exploitability probability, reusing Phase 2's edge weights as p_ij.</w:t>
      </w:r>
    </w:p>
    <w:p>
      <w:pPr>
        <w:pStyle w:val="ListParagraph"/>
        <w:numPr>
          <w:ilvl w:val="0"/>
          <w:numId w:val="6"/>
        </w:numPr>
        <w:spacing w:after="110"/>
      </w:pPr>
      <w:r>
        <w:t xml:space="preserve">For each candidate fix, estimate Δ_ij (how much applying it lengthens its edge) and c_ij (its cost against the shared remediation budget B) as a simple lookup table keyed by finding type, reviewed by the whole team — not invented per instance.</w:t>
      </w:r>
    </w:p>
    <w:p>
      <w:pPr>
        <w:pStyle w:val="ListParagraph"/>
        <w:numPr>
          <w:ilvl w:val="0"/>
          <w:numId w:val="6"/>
        </w:numPr>
        <w:spacing w:after="110"/>
      </w:pPr>
      <w:r>
        <w:t xml:space="preserve">Formulate the MILP in PuLP (max π_t − π_s, subject to the per-edge and budget constraints, x_ij binary) and solve.</w:t>
      </w:r>
    </w:p>
    <w:p>
      <w:pPr>
        <w:pStyle w:val="ListParagraph"/>
        <w:numPr>
          <w:ilvl w:val="0"/>
          <w:numId w:val="6"/>
        </w:numPr>
        <w:spacing w:after="110"/>
      </w:pPr>
      <w:r>
        <w:t xml:space="preserve">Separately implement the original Stackelberg multiple-LP formulation as `prioritize/stackelberg_baseline.py`, relaxing x_i to [0,1] for comparison purposes only, and label it explicitly as a baseline, not for production use.</w:t>
      </w:r>
    </w:p>
    <w:p>
      <w:pPr>
        <w:pStyle w:val="ListParagraph"/>
        <w:numPr>
          <w:ilvl w:val="0"/>
          <w:numId w:val="6"/>
        </w:numPr>
        <w:spacing w:after="110"/>
      </w:pPr>
      <w:r>
        <w:t xml:space="preserve">Implement a naive ‘sort by PageRank score’ ranking as a third baseline.</w:t>
      </w:r>
    </w:p>
    <w:p>
      <w:pPr>
        <w:pStyle w:val="ListParagraph"/>
        <w:numPr>
          <w:ilvl w:val="0"/>
          <w:numId w:val="6"/>
        </w:numPr>
        <w:spacing w:after="110"/>
      </w:pPr>
      <w:r>
        <w:t xml:space="preserve">Run all three against the same CloudGoat findings; find or construct at least one case where the interdiction MILP's choice differs from the naive sort, and write down why in a markdown note — this is your strongest Results &amp; Discussion evidence.</w:t>
      </w:r>
    </w:p>
    <w:p>
      <w:pPr>
        <w:pStyle w:val="ListParagraph"/>
        <w:numPr>
          <w:ilvl w:val="0"/>
          <w:numId w:val="6"/>
        </w:numPr>
        <w:spacing w:after="110"/>
      </w:pPr>
      <w:r>
        <w:t xml:space="preserve">Expose one function, `prioritize(findings, budget) -&gt; ranked_list`, from `prioritize/interdiction.py`, which Phase 7's pipeline will call to decide what to fix next.</w:t>
      </w:r>
    </w:p>
    <w:p>
      <w:pPr>
        <w:pStyle w:val="ListParagraph"/>
        <w:numPr>
          <w:ilvl w:val="0"/>
          <w:numId w:val="6"/>
        </w:numPr>
        <w:spacing w:after="110"/>
      </w:pPr>
      <w:r>
        <w:t xml:space="preserve">Commit all three solvers plus the comparison notebook.</w:t>
      </w:r>
    </w:p>
    <w:p>
      <w:pPr>
        <w:pStyle w:val="Heading2"/>
        <w:spacing w:after="140" w:before="260"/>
      </w:pPr>
      <w:r>
        <w:t xml:space="preserve">Integration Checkpoint</w:t>
      </w:r>
    </w:p>
    <w:p>
      <w:pPr>
        <w:spacing w:after="150"/>
      </w:pPr>
      <w:r>
        <w:t xml:space="preserve">prioritize/interdiction.py's prioritize() output (an ordered list of finding IDs) is what Phase 7's tiered-remediation pipeline pulls from to decide what to remediate next, and what Phase 8's dashboard budget-allocation panel (three-bar chart) renders directly. Freeze this list shape now.</w:t>
      </w:r>
    </w:p>
    <w:p>
      <w:pPr>
        <w:pStyle w:val="Heading2"/>
        <w:spacing w:after="140" w:before="260"/>
      </w:pPr>
      <w:r>
        <w:t xml:space="preserve">Phase Checklist (Definition of Done — tick before moving on)</w:t>
      </w:r>
    </w:p>
    <w:p>
      <w:pPr>
        <w:spacing w:after="90"/>
        <w:ind w:left="300"/>
      </w:pPr>
      <w:r>
        <w:t xml:space="preserve">☐   </w:t>
      </w:r>
      <w:r>
        <w:t xml:space="preserve">Interdiction MILP formulated and solving in milliseconds on real findings</w:t>
      </w:r>
    </w:p>
    <w:p>
      <w:pPr>
        <w:spacing w:after="90"/>
        <w:ind w:left="300"/>
      </w:pPr>
      <w:r>
        <w:t xml:space="preserve">☐   </w:t>
      </w:r>
      <w:r>
        <w:t xml:space="preserve">Stackelberg baseline and naive-sort baseline implemented and clearly labeled as comparison-only</w:t>
      </w:r>
    </w:p>
    <w:p>
      <w:pPr>
        <w:spacing w:after="90"/>
        <w:ind w:left="300"/>
      </w:pPr>
      <w:r>
        <w:t xml:space="preserve">☐   </w:t>
      </w:r>
      <w:r>
        <w:t xml:space="preserve">At least one documented case where interdiction's choice differs from naive sort, with a written explanation</w:t>
      </w:r>
    </w:p>
    <w:p>
      <w:pPr>
        <w:spacing w:after="90"/>
        <w:ind w:left="300"/>
      </w:pPr>
      <w:r>
        <w:t xml:space="preserve">☐   </w:t>
      </w:r>
      <w:r>
        <w:t xml:space="preserve">prioritize() function committed with a frozen, documented output shape</w:t>
      </w:r>
    </w:p>
    <w:p>
      <w:r>
        <w:br w:type="page"/>
      </w:r>
    </w:p>
    <w:p>
      <w:pPr>
        <w:pStyle w:val="Heading1"/>
        <w:spacing w:after="200" w:before="420"/>
      </w:pPr>
      <w:r>
        <w:t xml:space="preserve">Phase 4: Privacy Airlock &amp; Policy-as-Code Foundation</w:t>
      </w:r>
    </w:p>
    <w:p>
      <w:pPr>
        <w:spacing w:after="80"/>
      </w:pPr>
      <w:r>
        <w:rPr>
          <w:b/>
          <w:bCs/>
        </w:rPr>
        <w:t xml:space="preserve">Weeks:  </w:t>
      </w:r>
      <w:r>
        <w:t xml:space="preserve">Weeks 6–8 (can start in parallel with Phase 2/3 — it only needs Phase 1's schema)</w:t>
      </w:r>
    </w:p>
    <w:p>
      <w:pPr>
        <w:spacing w:after="80"/>
      </w:pPr>
      <w:r>
        <w:rPr>
          <w:b/>
          <w:bCs/>
        </w:rPr>
        <w:t xml:space="preserve">Owner:  </w:t>
      </w:r>
      <w:r>
        <w:t xml:space="preserve">Role B</w:t>
      </w:r>
    </w:p>
    <w:p>
      <w:pPr>
        <w:spacing w:after="80"/>
      </w:pPr>
      <w:r>
        <w:rPr>
          <w:b/>
          <w:bCs/>
        </w:rPr>
        <w:t xml:space="preserve">Depends On:  </w:t>
      </w:r>
      <w:r>
        <w:t xml:space="preserve">Phase 1 (graph/schema.md for field names).</w:t>
      </w:r>
    </w:p>
    <w:p>
      <w:pPr>
        <w:pStyle w:val="Heading2"/>
        <w:spacing w:after="140" w:before="260"/>
      </w:pPr>
      <w:r>
        <w:t xml:space="preserve">Objective / Deliverable</w:t>
      </w:r>
    </w:p>
    <w:p>
      <w:pPr>
        <w:spacing w:after="150"/>
      </w:pPr>
      <w:r>
        <w:t xml:space="preserve">Both Rego policy libraries (generic and DPDP) are written and independently testable, and the privacy airlock's four steps — confirmed control-plane-only IAM access, rule-scoped attribute projection, tokenization vault, and Presidio scrubbing plus a leak-check backstop — are built and unit-tested. Every later remediation tier depends on this being solid, so it must be finished before Phase 5's model ever sees a finding.</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OPA CLI (`opa` binary)</w:t>
            </w:r>
          </w:p>
        </w:tc>
        <w:tc>
          <w:tcPr>
            <w:tcW w:type="dxa" w:w="3450"/>
            <w:tcMar>
              <w:top w:type="dxa" w:w="50"/>
              <w:left w:type="dxa" w:w="90"/>
              <w:bottom w:type="dxa" w:w="50"/>
              <w:right w:type="dxa" w:w="90"/>
            </w:tcMar>
          </w:tcPr>
          <w:p>
            <w:r>
              <w:rPr>
                <w:sz w:val="19"/>
                <w:szCs w:val="19"/>
              </w:rPr>
              <w:t xml:space="preserve">Run and test Rego policies locally before wiring them into the backend</w:t>
            </w:r>
          </w:p>
        </w:tc>
        <w:tc>
          <w:tcPr>
            <w:tcW w:type="dxa" w:w="1950"/>
            <w:tcMar>
              <w:top w:type="dxa" w:w="50"/>
              <w:left w:type="dxa" w:w="90"/>
              <w:bottom w:type="dxa" w:w="50"/>
              <w:right w:type="dxa" w:w="90"/>
            </w:tcMar>
          </w:tcPr>
          <w:p>
            <w:r>
              <w:rPr>
                <w:sz w:val="19"/>
                <w:szCs w:val="19"/>
              </w:rPr>
              <w:t xml:space="preserve">openpolicyagent.org/docs/latest</w:t>
            </w:r>
          </w:p>
        </w:tc>
        <w:tc>
          <w:tcPr>
            <w:tcW w:type="dxa" w:w="2200"/>
            <w:tcMar>
              <w:top w:type="dxa" w:w="50"/>
              <w:left w:type="dxa" w:w="90"/>
              <w:bottom w:type="dxa" w:w="50"/>
              <w:right w:type="dxa" w:w="90"/>
            </w:tcMar>
          </w:tcPr>
          <w:p>
            <w:r>
              <w:rPr>
                <w:sz w:val="19"/>
                <w:szCs w:val="19"/>
              </w:rPr>
              <w:t xml:space="preserve">OPA's own ‘Policy Language’ tutorial and the ‘Rego by Example’ doc before writing your first deny rule</w:t>
            </w:r>
          </w:p>
        </w:tc>
      </w:tr>
      <w:tr>
        <w:tc>
          <w:tcPr>
            <w:tcW w:type="dxa" w:w="1750"/>
            <w:tcMar>
              <w:top w:type="dxa" w:w="50"/>
              <w:left w:type="dxa" w:w="90"/>
              <w:bottom w:type="dxa" w:w="50"/>
              <w:right w:type="dxa" w:w="90"/>
            </w:tcMar>
          </w:tcPr>
          <w:p>
            <w:r>
              <w:rPr>
                <w:sz w:val="19"/>
                <w:szCs w:val="19"/>
              </w:rPr>
              <w:t xml:space="preserve">Rego Playground</w:t>
            </w:r>
          </w:p>
        </w:tc>
        <w:tc>
          <w:tcPr>
            <w:tcW w:type="dxa" w:w="3450"/>
            <w:tcMar>
              <w:top w:type="dxa" w:w="50"/>
              <w:left w:type="dxa" w:w="90"/>
              <w:bottom w:type="dxa" w:w="50"/>
              <w:right w:type="dxa" w:w="90"/>
            </w:tcMar>
          </w:tcPr>
          <w:p>
            <w:r>
              <w:rPr>
                <w:sz w:val="19"/>
                <w:szCs w:val="19"/>
              </w:rPr>
              <w:t xml:space="preserve">The fastest way to draft and test one rule at a time in a browser, no install — use this first, every single time, before writing a .rego file locally</w:t>
            </w:r>
          </w:p>
        </w:tc>
        <w:tc>
          <w:tcPr>
            <w:tcW w:type="dxa" w:w="1950"/>
            <w:tcMar>
              <w:top w:type="dxa" w:w="50"/>
              <w:left w:type="dxa" w:w="90"/>
              <w:bottom w:type="dxa" w:w="50"/>
              <w:right w:type="dxa" w:w="90"/>
            </w:tcMar>
          </w:tcPr>
          <w:p>
            <w:r>
              <w:rPr>
                <w:sz w:val="19"/>
                <w:szCs w:val="19"/>
              </w:rPr>
              <w:t xml:space="preserve">play.openpolicyagent.org</w:t>
            </w:r>
          </w:p>
        </w:tc>
        <w:tc>
          <w:tcPr>
            <w:tcW w:type="dxa" w:w="2200"/>
            <w:tcMar>
              <w:top w:type="dxa" w:w="50"/>
              <w:left w:type="dxa" w:w="90"/>
              <w:bottom w:type="dxa" w:w="50"/>
              <w:right w:type="dxa" w:w="90"/>
            </w:tcMar>
          </w:tcPr>
          <w:p>
            <w:r>
              <w:rPr>
                <w:sz w:val="19"/>
                <w:szCs w:val="19"/>
              </w:rPr>
              <w:t xml:space="preserve">Just use it — it is self-explanatory</w:t>
            </w:r>
          </w:p>
        </w:tc>
      </w:tr>
      <w:tr>
        <w:tc>
          <w:tcPr>
            <w:tcW w:type="dxa" w:w="1750"/>
            <w:tcMar>
              <w:top w:type="dxa" w:w="50"/>
              <w:left w:type="dxa" w:w="90"/>
              <w:bottom w:type="dxa" w:w="50"/>
              <w:right w:type="dxa" w:w="90"/>
            </w:tcMar>
          </w:tcPr>
          <w:p>
            <w:r>
              <w:rPr>
                <w:sz w:val="19"/>
                <w:szCs w:val="19"/>
              </w:rPr>
              <w:t xml:space="preserve">VS Code Rego extension (tsandall.opa)</w:t>
            </w:r>
          </w:p>
        </w:tc>
        <w:tc>
          <w:tcPr>
            <w:tcW w:type="dxa" w:w="3450"/>
            <w:tcMar>
              <w:top w:type="dxa" w:w="50"/>
              <w:left w:type="dxa" w:w="90"/>
              <w:bottom w:type="dxa" w:w="50"/>
              <w:right w:type="dxa" w:w="90"/>
            </w:tcMar>
          </w:tcPr>
          <w:p>
            <w:r>
              <w:rPr>
                <w:sz w:val="19"/>
                <w:szCs w:val="19"/>
              </w:rPr>
              <w:t xml:space="preserve">Syntax highlighting and inline evaluation for .rego files</w:t>
            </w:r>
          </w:p>
        </w:tc>
        <w:tc>
          <w:tcPr>
            <w:tcW w:type="dxa" w:w="1950"/>
            <w:tcMar>
              <w:top w:type="dxa" w:w="50"/>
              <w:left w:type="dxa" w:w="90"/>
              <w:bottom w:type="dxa" w:w="50"/>
              <w:right w:type="dxa" w:w="90"/>
            </w:tcMar>
          </w:tcPr>
          <w:p>
            <w:r>
              <w:rPr>
                <w:sz w:val="19"/>
                <w:szCs w:val="19"/>
              </w:rPr>
              <w:t xml:space="preserve">VS Code Marketplace</w:t>
            </w:r>
          </w:p>
        </w:tc>
        <w:tc>
          <w:tcPr>
            <w:tcW w:type="dxa" w:w="2200"/>
            <w:tcMar>
              <w:top w:type="dxa" w:w="50"/>
              <w:left w:type="dxa" w:w="90"/>
              <w:bottom w:type="dxa" w:w="50"/>
              <w:right w:type="dxa" w:w="90"/>
            </w:tcMar>
          </w:tcPr>
          <w:p>
            <w:r>
              <w:rPr>
                <w:sz w:val="19"/>
                <w:szCs w:val="19"/>
              </w:rPr>
              <w:t xml:space="preserve">None needed</w:t>
            </w:r>
          </w:p>
        </w:tc>
      </w:tr>
      <w:tr>
        <w:tc>
          <w:tcPr>
            <w:tcW w:type="dxa" w:w="1750"/>
            <w:tcMar>
              <w:top w:type="dxa" w:w="50"/>
              <w:left w:type="dxa" w:w="90"/>
              <w:bottom w:type="dxa" w:w="50"/>
              <w:right w:type="dxa" w:w="90"/>
            </w:tcMar>
          </w:tcPr>
          <w:p>
            <w:r>
              <w:rPr>
                <w:sz w:val="19"/>
                <w:szCs w:val="19"/>
              </w:rPr>
              <w:t xml:space="preserve">Microsoft Presidio (presidio-analyzer, presidio-anonymizer)</w:t>
            </w:r>
          </w:p>
        </w:tc>
        <w:tc>
          <w:tcPr>
            <w:tcW w:type="dxa" w:w="3450"/>
            <w:tcMar>
              <w:top w:type="dxa" w:w="50"/>
              <w:left w:type="dxa" w:w="90"/>
              <w:bottom w:type="dxa" w:w="50"/>
              <w:right w:type="dxa" w:w="90"/>
            </w:tcMar>
          </w:tcPr>
          <w:p>
            <w:r>
              <w:rPr>
                <w:sz w:val="19"/>
                <w:szCs w:val="19"/>
              </w:rPr>
              <w:t xml:space="preserve">Open-source, fully offline PII detection and anonymization, with community-contributed India-locale recognizers (Aadhaar, PAN)</w:t>
            </w:r>
          </w:p>
        </w:tc>
        <w:tc>
          <w:tcPr>
            <w:tcW w:type="dxa" w:w="1950"/>
            <w:tcMar>
              <w:top w:type="dxa" w:w="50"/>
              <w:left w:type="dxa" w:w="90"/>
              <w:bottom w:type="dxa" w:w="50"/>
              <w:right w:type="dxa" w:w="90"/>
            </w:tcMar>
          </w:tcPr>
          <w:p>
            <w:r>
              <w:rPr>
                <w:sz w:val="19"/>
                <w:szCs w:val="19"/>
              </w:rPr>
              <w:t xml:space="preserve">github.com/microsoft/presidio</w:t>
            </w:r>
          </w:p>
        </w:tc>
        <w:tc>
          <w:tcPr>
            <w:tcW w:type="dxa" w:w="2200"/>
            <w:tcMar>
              <w:top w:type="dxa" w:w="50"/>
              <w:left w:type="dxa" w:w="90"/>
              <w:bottom w:type="dxa" w:w="50"/>
              <w:right w:type="dxa" w:w="90"/>
            </w:tcMar>
          </w:tcPr>
          <w:p>
            <w:r>
              <w:rPr>
                <w:sz w:val="19"/>
                <w:szCs w:val="19"/>
              </w:rPr>
              <w:t xml:space="preserve">Presidio's own ‘Getting Started’ notebook, before writing any custom recognizer</w:t>
            </w:r>
          </w:p>
        </w:tc>
      </w:tr>
      <w:tr>
        <w:tc>
          <w:tcPr>
            <w:tcW w:type="dxa" w:w="1750"/>
            <w:tcMar>
              <w:top w:type="dxa" w:w="50"/>
              <w:left w:type="dxa" w:w="90"/>
              <w:bottom w:type="dxa" w:w="50"/>
              <w:right w:type="dxa" w:w="90"/>
            </w:tcMar>
          </w:tcPr>
          <w:p>
            <w:r>
              <w:rPr>
                <w:sz w:val="19"/>
                <w:szCs w:val="19"/>
              </w:rPr>
              <w:t xml:space="preserve">jsonschema (Python)</w:t>
            </w:r>
          </w:p>
        </w:tc>
        <w:tc>
          <w:tcPr>
            <w:tcW w:type="dxa" w:w="3450"/>
            <w:tcMar>
              <w:top w:type="dxa" w:w="50"/>
              <w:left w:type="dxa" w:w="90"/>
              <w:bottom w:type="dxa" w:w="50"/>
              <w:right w:type="dxa" w:w="90"/>
            </w:tcMar>
          </w:tcPr>
          <w:p>
            <w:r>
              <w:rPr>
                <w:sz w:val="19"/>
                <w:szCs w:val="19"/>
              </w:rPr>
              <w:t xml:space="preserve">Validates every Patch-IR object against its schema at every boundary in the pipeline</w:t>
            </w:r>
          </w:p>
        </w:tc>
        <w:tc>
          <w:tcPr>
            <w:tcW w:type="dxa" w:w="1950"/>
            <w:tcMar>
              <w:top w:type="dxa" w:w="50"/>
              <w:left w:type="dxa" w:w="90"/>
              <w:bottom w:type="dxa" w:w="50"/>
              <w:right w:type="dxa" w:w="90"/>
            </w:tcMar>
          </w:tcPr>
          <w:p>
            <w:r>
              <w:rPr>
                <w:sz w:val="19"/>
                <w:szCs w:val="19"/>
              </w:rPr>
              <w:t xml:space="preserve">pip install jsonschema</w:t>
            </w:r>
          </w:p>
        </w:tc>
        <w:tc>
          <w:tcPr>
            <w:tcW w:type="dxa" w:w="2200"/>
            <w:tcMar>
              <w:top w:type="dxa" w:w="50"/>
              <w:left w:type="dxa" w:w="90"/>
              <w:bottom w:type="dxa" w:w="50"/>
              <w:right w:type="dxa" w:w="90"/>
            </w:tcMar>
          </w:tcPr>
          <w:p>
            <w:r>
              <w:rPr>
                <w:sz w:val="19"/>
                <w:szCs w:val="19"/>
              </w:rPr>
              <w:t xml:space="preserve">The library's README examples are enough</w:t>
            </w:r>
          </w:p>
        </w:tc>
      </w:tr>
      <w:tr>
        <w:tc>
          <w:tcPr>
            <w:tcW w:type="dxa" w:w="1750"/>
            <w:tcMar>
              <w:top w:type="dxa" w:w="50"/>
              <w:left w:type="dxa" w:w="90"/>
              <w:bottom w:type="dxa" w:w="50"/>
              <w:right w:type="dxa" w:w="90"/>
            </w:tcMar>
          </w:tcPr>
          <w:p>
            <w:r>
              <w:rPr>
                <w:sz w:val="19"/>
                <w:szCs w:val="19"/>
              </w:rPr>
              <w:t xml:space="preserve">SQLite (sqlite3), optionally sqlcipher3 for encryption at rest</w:t>
            </w:r>
          </w:p>
        </w:tc>
        <w:tc>
          <w:tcPr>
            <w:tcW w:type="dxa" w:w="3450"/>
            <w:tcMar>
              <w:top w:type="dxa" w:w="50"/>
              <w:left w:type="dxa" w:w="90"/>
              <w:bottom w:type="dxa" w:w="50"/>
              <w:right w:type="dxa" w:w="90"/>
            </w:tcMar>
          </w:tcPr>
          <w:p>
            <w:r>
              <w:rPr>
                <w:sz w:val="19"/>
                <w:szCs w:val="19"/>
              </w:rPr>
              <w:t xml:space="preserve">The local tokenization vault storing token↔real-value mappings</w:t>
            </w:r>
          </w:p>
        </w:tc>
        <w:tc>
          <w:tcPr>
            <w:tcW w:type="dxa" w:w="1950"/>
            <w:tcMar>
              <w:top w:type="dxa" w:w="50"/>
              <w:left w:type="dxa" w:w="90"/>
              <w:bottom w:type="dxa" w:w="50"/>
              <w:right w:type="dxa" w:w="90"/>
            </w:tcMar>
          </w:tcPr>
          <w:p>
            <w:r>
              <w:rPr>
                <w:sz w:val="19"/>
                <w:szCs w:val="19"/>
              </w:rPr>
              <w:t xml:space="preserve">Built into Python; pip install sqlcipher3-binary if encrypting</w:t>
            </w:r>
          </w:p>
        </w:tc>
        <w:tc>
          <w:tcPr>
            <w:tcW w:type="dxa" w:w="2200"/>
            <w:tcMar>
              <w:top w:type="dxa" w:w="50"/>
              <w:left w:type="dxa" w:w="90"/>
              <w:bottom w:type="dxa" w:w="50"/>
              <w:right w:type="dxa" w:w="90"/>
            </w:tcMar>
          </w:tcPr>
          <w:p>
            <w:r>
              <w:rPr>
                <w:sz w:val="19"/>
                <w:szCs w:val="19"/>
              </w:rPr>
              <w:t xml:space="preserve">No tutorial needed for basic sqlite3 use</w:t>
            </w:r>
          </w:p>
        </w:tc>
      </w:tr>
    </w:tbl>
    <w:p>
      <w:pPr>
        <w:pStyle w:val="Heading2"/>
        <w:spacing w:after="140" w:before="260"/>
      </w:pPr>
      <w:r>
        <w:t xml:space="preserve">Step-by-Step Procedure</w:t>
      </w:r>
    </w:p>
    <w:p>
      <w:pPr>
        <w:pStyle w:val="ListParagraph"/>
        <w:numPr>
          <w:ilvl w:val="0"/>
          <w:numId w:val="7"/>
        </w:numPr>
        <w:spacing w:after="110"/>
      </w:pPr>
      <w:r>
        <w:t xml:space="preserve">Read the Privacy Airlock section of the ARGUS v3 document in full before writing any code — the four steps (control-plane access, projection, tokenization, scrub-and-leak-check) are a pipeline and must run in exactly that order.</w:t>
      </w:r>
    </w:p>
    <w:p>
      <w:pPr>
        <w:pStyle w:val="ListParagraph"/>
        <w:numPr>
          <w:ilvl w:val="0"/>
          <w:numId w:val="7"/>
        </w:numPr>
        <w:spacing w:after="110"/>
      </w:pPr>
      <w:r>
        <w:t xml:space="preserve">Confirm, as an automated test, that the IAM role from Phase 0 truly has no s3:GetObject, no database-query, and no secret-read permissions. Make this test fail the build if the role's policy ever grows those permissions later.</w:t>
      </w:r>
    </w:p>
    <w:p>
      <w:pPr>
        <w:pStyle w:val="ListParagraph"/>
        <w:numPr>
          <w:ilvl w:val="0"/>
          <w:numId w:val="7"/>
        </w:numPr>
        <w:spacing w:after="110"/>
      </w:pPr>
      <w:r>
        <w:t xml:space="preserve">In the Rego Playground, draft the first generic (CIS-style) rule and the first DPDP rule (Rule 6(a) encryption) using field names straight from graph/schema.md. Only once each rule evaluates correctly in the Playground, copy it into policy/generic/ or policy/dpdp/ as its own .rego file, named after its exact sub-clause (rule6a.rego, rule6c_retention.rego, rule8_lifecycle.rego).</w:t>
      </w:r>
    </w:p>
    <w:p>
      <w:pPr>
        <w:pStyle w:val="ListParagraph"/>
        <w:numPr>
          <w:ilvl w:val="0"/>
          <w:numId w:val="7"/>
        </w:numPr>
        <w:spacing w:after="110"/>
      </w:pPr>
      <w:r>
        <w:t xml:space="preserve">Write one deny rule per checkable fact in the DPDP mapping table from Phase 1 — that table is now literally your Rego-writing checklist, row by row.</w:t>
      </w:r>
    </w:p>
    <w:p>
      <w:pPr>
        <w:pStyle w:val="ListParagraph"/>
        <w:numPr>
          <w:ilvl w:val="0"/>
          <w:numId w:val="7"/>
        </w:numPr>
        <w:spacing w:after="110"/>
      </w:pPr>
      <w:r>
        <w:t xml:space="preserve">For each Rego rule, note which input.* fields it reads (Rego rules already declare this). Build privacy/airlock/projection.py, which reuses that exact declaration to implement rule-scoped, default-deny attribute projection: an attribute is included only if a named rule needs it.</w:t>
      </w:r>
    </w:p>
    <w:p>
      <w:pPr>
        <w:pStyle w:val="ListParagraph"/>
        <w:numPr>
          <w:ilvl w:val="0"/>
          <w:numId w:val="7"/>
        </w:numPr>
        <w:spacing w:after="110"/>
      </w:pPr>
      <w:r>
        <w:t xml:space="preserve">Build the tokenization vault in privacy/vault/: a local encrypted key-value store mapping structure-preserving tokens (BUCKET_3, ROLE_7) to real values, exposing tokenize(record) -&gt; (tokenized_record, vault_refs) and rehydrate(tokenized_record, vault_refs) -&gt; real_record.</w:t>
      </w:r>
    </w:p>
    <w:p>
      <w:pPr>
        <w:pStyle w:val="ListParagraph"/>
        <w:numPr>
          <w:ilvl w:val="0"/>
          <w:numId w:val="7"/>
        </w:numPr>
        <w:spacing w:after="110"/>
      </w:pPr>
      <w:r>
        <w:t xml:space="preserve">Build the scrubbing layer in privacy/scrubbers/: wire in Presidio plus its India-locale recognizers, plus a simple regex-based secret/credential scanner, exposing scrub(record) -&gt; (clean_record, hits).</w:t>
      </w:r>
    </w:p>
    <w:p>
      <w:pPr>
        <w:pStyle w:val="ListParagraph"/>
        <w:numPr>
          <w:ilvl w:val="0"/>
          <w:numId w:val="7"/>
        </w:numPr>
        <w:spacing w:after="110"/>
      </w:pPr>
      <w:r>
        <w:t xml:space="preserve">Build the leak-check backstop: a final re-scan right before a record would leave any pipeline stage, hard-blocking if any vault value or detector hit remains. Build this first within this phase, not last — it is cheap and it catches bugs in every other step.</w:t>
      </w:r>
    </w:p>
    <w:p>
      <w:pPr>
        <w:pStyle w:val="ListParagraph"/>
        <w:numPr>
          <w:ilvl w:val="0"/>
          <w:numId w:val="7"/>
        </w:numPr>
        <w:spacing w:after="110"/>
      </w:pPr>
      <w:r>
        <w:t xml:space="preserve">Write the canary test now, not later: plant fake secrets, emails, and Aadhaar/PAN-format numbers in tags and user_data fields on a test record, run it through the full airlock, and assert zero leak.</w:t>
      </w:r>
    </w:p>
    <w:p>
      <w:pPr>
        <w:pStyle w:val="ListParagraph"/>
        <w:numPr>
          <w:ilvl w:val="0"/>
          <w:numId w:val="7"/>
        </w:numPr>
        <w:spacing w:after="110"/>
      </w:pPr>
      <w:r>
        <w:t xml:space="preserve">Run `opa test policy/` to execute the Rego unit tests for both libraries. Deliberately construct and pass one test case where a patch passes generic policy but fails DPDP (for example: closes a public bucket but disables versioning) — build this now, while the libraries are fresh.</w:t>
      </w:r>
    </w:p>
    <w:p>
      <w:pPr>
        <w:pStyle w:val="ListParagraph"/>
        <w:numPr>
          <w:ilvl w:val="0"/>
          <w:numId w:val="7"/>
        </w:numPr>
        <w:spacing w:after="110"/>
      </w:pPr>
      <w:r>
        <w:t xml:space="preserve">Commit both Rego libraries, the airlock modules, and their tests.</w:t>
      </w:r>
    </w:p>
    <w:p>
      <w:pPr>
        <w:pStyle w:val="Heading2"/>
        <w:spacing w:after="140" w:before="260"/>
      </w:pPr>
      <w:r>
        <w:t xml:space="preserve">Integration Checkpoint</w:t>
      </w:r>
    </w:p>
    <w:p>
      <w:pPr>
        <w:spacing w:after="150"/>
      </w:pPr>
      <w:r>
        <w:t xml:space="preserve">privacy/airlock/ exposes one function: run_airlock(raw_finding, rule_id) -&gt; (tokenized_scrubbed_record, privacy_receipt). This is the only way any generation tier is allowed to see a finding, starting in Phase 7. policy/generic/ and policy/dpdp/ are called by the verification gate built in Phase 7, using the same graph/schema.md field names throughout.</w:t>
      </w:r>
    </w:p>
    <w:p>
      <w:pPr>
        <w:pStyle w:val="Heading2"/>
        <w:spacing w:after="140" w:before="260"/>
      </w:pPr>
      <w:r>
        <w:t xml:space="preserve">Phase Checklist (Definition of Done — tick before moving on)</w:t>
      </w:r>
    </w:p>
    <w:p>
      <w:pPr>
        <w:spacing w:after="90"/>
        <w:ind w:left="300"/>
      </w:pPr>
      <w:r>
        <w:t xml:space="preserve">☐   </w:t>
      </w:r>
      <w:r>
        <w:t xml:space="preserve">IAM least-privilege check automated and passing</w:t>
      </w:r>
    </w:p>
    <w:p>
      <w:pPr>
        <w:spacing w:after="90"/>
        <w:ind w:left="300"/>
      </w:pPr>
      <w:r>
        <w:t xml:space="preserve">☐   </w:t>
      </w:r>
      <w:r>
        <w:t xml:space="preserve">Both Rego libraries cover every row of the DPDP mapping table, tested with opa test</w:t>
      </w:r>
    </w:p>
    <w:p>
      <w:pPr>
        <w:spacing w:after="90"/>
        <w:ind w:left="300"/>
      </w:pPr>
      <w:r>
        <w:t xml:space="preserve">☐   </w:t>
      </w:r>
      <w:r>
        <w:t xml:space="preserve">At least one generic-pass / DPDP-fail test case documented</w:t>
      </w:r>
    </w:p>
    <w:p>
      <w:pPr>
        <w:spacing w:after="90"/>
        <w:ind w:left="300"/>
      </w:pPr>
      <w:r>
        <w:t xml:space="preserve">☐   </w:t>
      </w:r>
      <w:r>
        <w:t xml:space="preserve">Projection, tokenization, scrubbing, and leak-check modules built and unit-tested</w:t>
      </w:r>
    </w:p>
    <w:p>
      <w:pPr>
        <w:spacing w:after="90"/>
        <w:ind w:left="300"/>
      </w:pPr>
      <w:r>
        <w:t xml:space="preserve">☐   </w:t>
      </w:r>
      <w:r>
        <w:t xml:space="preserve">Canary test passes with zero leaks</w:t>
      </w:r>
    </w:p>
    <w:p>
      <w:pPr>
        <w:spacing w:after="90"/>
        <w:ind w:left="300"/>
      </w:pPr>
      <w:r>
        <w:t xml:space="preserve">☐   </w:t>
      </w:r>
      <w:r>
        <w:t xml:space="preserve">run_airlock() function committed with a frozen signature</w:t>
      </w:r>
    </w:p>
    <w:p>
      <w:r>
        <w:br w:type="page"/>
      </w:r>
    </w:p>
    <w:p>
      <w:pPr>
        <w:pStyle w:val="Heading1"/>
        <w:spacing w:after="200" w:before="420"/>
      </w:pPr>
      <w:r>
        <w:t xml:space="preserve">Phase 5: ML Track, Part 1 — Dataset Generation &amp; Training M1 (Local Remediation Model)</w:t>
      </w:r>
    </w:p>
    <w:p>
      <w:pPr>
        <w:spacing w:after="80"/>
      </w:pPr>
      <w:r>
        <w:rPr>
          <w:b/>
          <w:bCs/>
        </w:rPr>
        <w:t xml:space="preserve">Weeks:  </w:t>
      </w:r>
      <w:r>
        <w:t xml:space="preserve">Weeks 8–12</w:t>
      </w:r>
    </w:p>
    <w:p>
      <w:pPr>
        <w:spacing w:after="80"/>
      </w:pPr>
      <w:r>
        <w:rPr>
          <w:b/>
          <w:bCs/>
        </w:rPr>
        <w:t xml:space="preserve">Owner:  </w:t>
      </w:r>
      <w:r>
        <w:t xml:space="preserve">Role C</w:t>
      </w:r>
    </w:p>
    <w:p>
      <w:pPr>
        <w:spacing w:after="80"/>
      </w:pPr>
      <w:r>
        <w:rPr>
          <w:b/>
          <w:bCs/>
        </w:rPr>
        <w:t xml:space="preserve">Depends On:  </w:t>
      </w:r>
      <w:r>
        <w:t xml:space="preserve">Phase 1 (mutation-engine skeleton, graph/schema.md); Phase 4 (Patch-IR is defined alongside the airlock, and the Rego libraries define what the verifier checks against).</w:t>
      </w:r>
    </w:p>
    <w:p>
      <w:pPr>
        <w:pStyle w:val="Heading2"/>
        <w:spacing w:after="140" w:before="260"/>
      </w:pPr>
      <w:r>
        <w:t xml:space="preserve">Objective / Deliverable</w:t>
      </w:r>
    </w:p>
    <w:p>
      <w:pPr>
        <w:spacing w:after="150"/>
      </w:pPr>
      <w:r>
        <w:t xml:space="preserve">A scaled-up mutation-engine dataset; a small (3–9B parameter) open-weight model fine-tuned (SFT, then rejection sampling, optionally GRPO) to draft Patch-IR objects for findings the T0 templates cannot handle; served locally via Ollama or llama.cpp with schema-constrained decoding so a malformed output is structurally impossible.</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Unsloth</w:t>
            </w:r>
          </w:p>
        </w:tc>
        <w:tc>
          <w:tcPr>
            <w:tcW w:type="dxa" w:w="3450"/>
            <w:tcMar>
              <w:top w:type="dxa" w:w="50"/>
              <w:left w:type="dxa" w:w="90"/>
              <w:bottom w:type="dxa" w:w="50"/>
              <w:right w:type="dxa" w:w="90"/>
            </w:tcMar>
          </w:tcPr>
          <w:p>
            <w:r>
              <w:rPr>
                <w:sz w:val="19"/>
                <w:szCs w:val="19"/>
              </w:rPr>
              <w:t xml:space="preserve">Free Colab/Kaggle notebooks for LoRA/QLoRA fine-tuning up to 9B parameters on a single free-tier GPU — this is the actual free compute the whole ML track runs on</w:t>
            </w:r>
          </w:p>
        </w:tc>
        <w:tc>
          <w:tcPr>
            <w:tcW w:type="dxa" w:w="1950"/>
            <w:tcMar>
              <w:top w:type="dxa" w:w="50"/>
              <w:left w:type="dxa" w:w="90"/>
              <w:bottom w:type="dxa" w:w="50"/>
              <w:right w:type="dxa" w:w="90"/>
            </w:tcMar>
          </w:tcPr>
          <w:p>
            <w:r>
              <w:rPr>
                <w:sz w:val="19"/>
                <w:szCs w:val="19"/>
              </w:rPr>
              <w:t xml:space="preserve">github.com/unslothai/unsloth, unsloth.ai/docs</w:t>
            </w:r>
          </w:p>
        </w:tc>
        <w:tc>
          <w:tcPr>
            <w:tcW w:type="dxa" w:w="2200"/>
            <w:tcMar>
              <w:top w:type="dxa" w:w="50"/>
              <w:left w:type="dxa" w:w="90"/>
              <w:bottom w:type="dxa" w:w="50"/>
              <w:right w:type="dxa" w:w="90"/>
            </w:tcMar>
          </w:tcPr>
          <w:p>
            <w:r>
              <w:rPr>
                <w:sz w:val="19"/>
                <w:szCs w:val="19"/>
              </w:rPr>
              <w:t xml:space="preserve">Run Unsloth's own example notebook end to end on its toy dataset first, so you understand the notebook structure before pointing it at your real data</w:t>
            </w:r>
          </w:p>
        </w:tc>
      </w:tr>
      <w:tr>
        <w:tc>
          <w:tcPr>
            <w:tcW w:type="dxa" w:w="1750"/>
            <w:tcMar>
              <w:top w:type="dxa" w:w="50"/>
              <w:left w:type="dxa" w:w="90"/>
              <w:bottom w:type="dxa" w:w="50"/>
              <w:right w:type="dxa" w:w="90"/>
            </w:tcMar>
          </w:tcPr>
          <w:p>
            <w:r>
              <w:rPr>
                <w:sz w:val="19"/>
                <w:szCs w:val="19"/>
              </w:rPr>
              <w:t xml:space="preserve">A base model (e.g. Qwen3.5, 0.8B–9B, Apache-2.0)</w:t>
            </w:r>
          </w:p>
        </w:tc>
        <w:tc>
          <w:tcPr>
            <w:tcW w:type="dxa" w:w="3450"/>
            <w:tcMar>
              <w:top w:type="dxa" w:w="50"/>
              <w:left w:type="dxa" w:w="90"/>
              <w:bottom w:type="dxa" w:w="50"/>
              <w:right w:type="dxa" w:w="90"/>
            </w:tcMar>
          </w:tcPr>
          <w:p>
            <w:r>
              <w:rPr>
                <w:sz w:val="19"/>
                <w:szCs w:val="19"/>
              </w:rPr>
              <w:t xml:space="preserve">Small enough for free-GPU fine-tuning; published IaC-generation results suggest a well-tuned small model can match much larger general models on this exact kind of narrow task</w:t>
            </w:r>
          </w:p>
        </w:tc>
        <w:tc>
          <w:tcPr>
            <w:tcW w:type="dxa" w:w="1950"/>
            <w:tcMar>
              <w:top w:type="dxa" w:w="50"/>
              <w:left w:type="dxa" w:w="90"/>
              <w:bottom w:type="dxa" w:w="50"/>
              <w:right w:type="dxa" w:w="90"/>
            </w:tcMar>
          </w:tcPr>
          <w:p>
            <w:r>
              <w:rPr>
                <w:sz w:val="19"/>
                <w:szCs w:val="19"/>
              </w:rPr>
              <w:t xml:space="preserve">Pulled automatically by Unsloth's notebook</w:t>
            </w:r>
          </w:p>
        </w:tc>
        <w:tc>
          <w:tcPr>
            <w:tcW w:type="dxa" w:w="2200"/>
            <w:tcMar>
              <w:top w:type="dxa" w:w="50"/>
              <w:left w:type="dxa" w:w="90"/>
              <w:bottom w:type="dxa" w:w="50"/>
              <w:right w:type="dxa" w:w="90"/>
            </w:tcMar>
          </w:tcPr>
          <w:p>
            <w:r>
              <w:rPr>
                <w:sz w:val="19"/>
                <w:szCs w:val="19"/>
              </w:rPr>
              <w:t xml:space="preserve">No separate tutorial — read the model card once for context window and prompt-format details</w:t>
            </w:r>
          </w:p>
        </w:tc>
      </w:tr>
      <w:tr>
        <w:tc>
          <w:tcPr>
            <w:tcW w:type="dxa" w:w="1750"/>
            <w:tcMar>
              <w:top w:type="dxa" w:w="50"/>
              <w:left w:type="dxa" w:w="90"/>
              <w:bottom w:type="dxa" w:w="50"/>
              <w:right w:type="dxa" w:w="90"/>
            </w:tcMar>
          </w:tcPr>
          <w:p>
            <w:r>
              <w:rPr>
                <w:sz w:val="19"/>
                <w:szCs w:val="19"/>
              </w:rPr>
              <w:t xml:space="preserve">Google Colab or Kaggle Notebooks (free GPU tier)</w:t>
            </w:r>
          </w:p>
        </w:tc>
        <w:tc>
          <w:tcPr>
            <w:tcW w:type="dxa" w:w="3450"/>
            <w:tcMar>
              <w:top w:type="dxa" w:w="50"/>
              <w:left w:type="dxa" w:w="90"/>
              <w:bottom w:type="dxa" w:w="50"/>
              <w:right w:type="dxa" w:w="90"/>
            </w:tcMar>
          </w:tcPr>
          <w:p>
            <w:r>
              <w:rPr>
                <w:sz w:val="19"/>
                <w:szCs w:val="19"/>
              </w:rPr>
              <w:t xml:space="preserve">The free compute budget the ML track is built around</w:t>
            </w:r>
          </w:p>
        </w:tc>
        <w:tc>
          <w:tcPr>
            <w:tcW w:type="dxa" w:w="1950"/>
            <w:tcMar>
              <w:top w:type="dxa" w:w="50"/>
              <w:left w:type="dxa" w:w="90"/>
              <w:bottom w:type="dxa" w:w="50"/>
              <w:right w:type="dxa" w:w="90"/>
            </w:tcMar>
          </w:tcPr>
          <w:p>
            <w:r>
              <w:rPr>
                <w:sz w:val="19"/>
                <w:szCs w:val="19"/>
              </w:rPr>
              <w:t xml:space="preserve">colab.research.google.com, kaggle.com/code</w:t>
            </w:r>
          </w:p>
        </w:tc>
        <w:tc>
          <w:tcPr>
            <w:tcW w:type="dxa" w:w="2200"/>
            <w:tcMar>
              <w:top w:type="dxa" w:w="50"/>
              <w:left w:type="dxa" w:w="90"/>
              <w:bottom w:type="dxa" w:w="50"/>
              <w:right w:type="dxa" w:w="90"/>
            </w:tcMar>
          </w:tcPr>
          <w:p>
            <w:r>
              <w:rPr>
                <w:sz w:val="19"/>
                <w:szCs w:val="19"/>
              </w:rPr>
              <w:t xml:space="preserve">Know your session time limits before scheduling a long training run</w:t>
            </w:r>
          </w:p>
        </w:tc>
      </w:tr>
      <w:tr>
        <w:tc>
          <w:tcPr>
            <w:tcW w:type="dxa" w:w="1750"/>
            <w:tcMar>
              <w:top w:type="dxa" w:w="50"/>
              <w:left w:type="dxa" w:w="90"/>
              <w:bottom w:type="dxa" w:w="50"/>
              <w:right w:type="dxa" w:w="90"/>
            </w:tcMar>
          </w:tcPr>
          <w:p>
            <w:r>
              <w:rPr>
                <w:sz w:val="19"/>
                <w:szCs w:val="19"/>
              </w:rPr>
              <w:t xml:space="preserve">Ollama or llama.cpp</w:t>
            </w:r>
          </w:p>
        </w:tc>
        <w:tc>
          <w:tcPr>
            <w:tcW w:type="dxa" w:w="3450"/>
            <w:tcMar>
              <w:top w:type="dxa" w:w="50"/>
              <w:left w:type="dxa" w:w="90"/>
              <w:bottom w:type="dxa" w:w="50"/>
              <w:right w:type="dxa" w:w="90"/>
            </w:tcMar>
          </w:tcPr>
          <w:p>
            <w:r>
              <w:rPr>
                <w:sz w:val="19"/>
                <w:szCs w:val="19"/>
              </w:rPr>
              <w:t xml:space="preserve">Local inference serving with JSON-schema-constrained decoding, so the model's output is guaranteed structurally valid Patch-IR</w:t>
            </w:r>
          </w:p>
        </w:tc>
        <w:tc>
          <w:tcPr>
            <w:tcW w:type="dxa" w:w="1950"/>
            <w:tcMar>
              <w:top w:type="dxa" w:w="50"/>
              <w:left w:type="dxa" w:w="90"/>
              <w:bottom w:type="dxa" w:w="50"/>
              <w:right w:type="dxa" w:w="90"/>
            </w:tcMar>
          </w:tcPr>
          <w:p>
            <w:r>
              <w:rPr>
                <w:sz w:val="19"/>
                <w:szCs w:val="19"/>
              </w:rPr>
              <w:t xml:space="preserve">ollama.com, github.com/ggerganov/llama.cpp</w:t>
            </w:r>
          </w:p>
        </w:tc>
        <w:tc>
          <w:tcPr>
            <w:tcW w:type="dxa" w:w="2200"/>
            <w:tcMar>
              <w:top w:type="dxa" w:w="50"/>
              <w:left w:type="dxa" w:w="90"/>
              <w:bottom w:type="dxa" w:w="50"/>
              <w:right w:type="dxa" w:w="90"/>
            </w:tcMar>
          </w:tcPr>
          <w:p>
            <w:r>
              <w:rPr>
                <w:sz w:val="19"/>
                <w:szCs w:val="19"/>
              </w:rPr>
              <w:t xml:space="preserve">Ollama's ‘Structured Outputs’ doc, before wiring in the Patch-IR schema</w:t>
            </w:r>
          </w:p>
        </w:tc>
      </w:tr>
      <w:tr>
        <w:tc>
          <w:tcPr>
            <w:tcW w:type="dxa" w:w="1750"/>
            <w:tcMar>
              <w:top w:type="dxa" w:w="50"/>
              <w:left w:type="dxa" w:w="90"/>
              <w:bottom w:type="dxa" w:w="50"/>
              <w:right w:type="dxa" w:w="90"/>
            </w:tcMar>
          </w:tcPr>
          <w:p>
            <w:r>
              <w:rPr>
                <w:sz w:val="19"/>
                <w:szCs w:val="19"/>
              </w:rPr>
              <w:t xml:space="preserve">jsonschema (already installed in Phase 4)</w:t>
            </w:r>
          </w:p>
        </w:tc>
        <w:tc>
          <w:tcPr>
            <w:tcW w:type="dxa" w:w="3450"/>
            <w:tcMar>
              <w:top w:type="dxa" w:w="50"/>
              <w:left w:type="dxa" w:w="90"/>
              <w:bottom w:type="dxa" w:w="50"/>
              <w:right w:type="dxa" w:w="90"/>
            </w:tcMar>
          </w:tcPr>
          <w:p>
            <w:r>
              <w:rPr>
                <w:sz w:val="19"/>
                <w:szCs w:val="19"/>
              </w:rPr>
              <w:t xml:space="preserve">Validates every generated candidate against the Patch-IR schema</w:t>
            </w:r>
          </w:p>
        </w:tc>
        <w:tc>
          <w:tcPr>
            <w:tcW w:type="dxa" w:w="1950"/>
            <w:tcMar>
              <w:top w:type="dxa" w:w="50"/>
              <w:left w:type="dxa" w:w="90"/>
              <w:bottom w:type="dxa" w:w="50"/>
              <w:right w:type="dxa" w:w="90"/>
            </w:tcMar>
          </w:tcPr>
          <w:p>
            <w:r>
              <w:rPr>
                <w:sz w:val="19"/>
                <w:szCs w:val="19"/>
              </w:rPr>
              <w:t xml:space="preserve">—</w:t>
            </w:r>
          </w:p>
        </w:tc>
        <w:tc>
          <w:tcPr>
            <w:tcW w:type="dxa" w:w="2200"/>
            <w:tcMar>
              <w:top w:type="dxa" w:w="50"/>
              <w:left w:type="dxa" w:w="90"/>
              <w:bottom w:type="dxa" w:w="50"/>
              <w:right w:type="dxa" w:w="90"/>
            </w:tcMar>
          </w:tcPr>
          <w:p>
            <w:r>
              <w:rPr>
                <w:sz w:val="19"/>
                <w:szCs w:val="19"/>
              </w:rPr>
              <w:t xml:space="preserve">—</w:t>
            </w:r>
          </w:p>
        </w:tc>
      </w:tr>
    </w:tbl>
    <w:p>
      <w:pPr>
        <w:pStyle w:val="Heading2"/>
        <w:spacing w:after="140" w:before="260"/>
      </w:pPr>
      <w:r>
        <w:t xml:space="preserve">Step-by-Step Procedure</w:t>
      </w:r>
    </w:p>
    <w:p>
      <w:pPr>
        <w:pStyle w:val="ListParagraph"/>
        <w:numPr>
          <w:ilvl w:val="0"/>
          <w:numId w:val="8"/>
        </w:numPr>
        <w:spacing w:after="110"/>
      </w:pPr>
      <w:r>
        <w:t xml:space="preserve">Read the Patch-IR, mutation-engine, and M1-training sections of the ARGUS v3 document fully before starting — understand the closed op vocabulary, the mutation-engine trick (the original config is the reference fix), and the three-rung training ladder (SFT mandatory, rejection sampling should-do, GRPO stretch) before writing training code.</w:t>
      </w:r>
    </w:p>
    <w:p>
      <w:pPr>
        <w:pStyle w:val="ListParagraph"/>
        <w:numPr>
          <w:ilvl w:val="0"/>
          <w:numId w:val="8"/>
        </w:numPr>
        <w:spacing w:after="110"/>
      </w:pPr>
      <w:r>
        <w:t xml:space="preserve">Expand the mutation-engine skeleton from Phase 1 to cover every rule in both Rego libraries from Phase 4 — one mutator per checkable rule, composing mutators for multi-violation configs, and adding decoy-attribute perturbation so the model learns to isolate the real violation.</w:t>
      </w:r>
    </w:p>
    <w:p>
      <w:pPr>
        <w:pStyle w:val="ListParagraph"/>
        <w:numPr>
          <w:ilvl w:val="0"/>
          <w:numId w:val="8"/>
        </w:numPr>
        <w:spacing w:after="110"/>
      </w:pPr>
      <w:r>
        <w:t xml:space="preserve">Generate the dataset: (mutated finding → reference Patch-IR) pairs, at least a few thousand examples if compute allows, stored as JSONL in ml/mutation_engine/dataset/.</w:t>
      </w:r>
    </w:p>
    <w:p>
      <w:pPr>
        <w:pStyle w:val="ListParagraph"/>
        <w:numPr>
          <w:ilvl w:val="0"/>
          <w:numId w:val="8"/>
        </w:numPr>
        <w:spacing w:after="110"/>
      </w:pPr>
      <w:r>
        <w:t xml:space="preserve">Hold out a genuinely separate test set covering unseen rule families, and ideally a handful of hand-written real misconfigurations, not just more mutation-engine output. Label it held_out/ and never let the training loop see it.</w:t>
      </w:r>
    </w:p>
    <w:p>
      <w:pPr>
        <w:pStyle w:val="ListParagraph"/>
        <w:numPr>
          <w:ilvl w:val="0"/>
          <w:numId w:val="8"/>
        </w:numPr>
        <w:spacing w:after="110"/>
      </w:pPr>
      <w:r>
        <w:t xml:space="preserve">Open Unsloth's example fine-tuning notebook in Colab and run it once, unmodified, on its own toy dataset, to confirm you understand the mechanics before substituting your data.</w:t>
      </w:r>
    </w:p>
    <w:p>
      <w:pPr>
        <w:pStyle w:val="ListParagraph"/>
        <w:numPr>
          <w:ilvl w:val="0"/>
          <w:numId w:val="8"/>
        </w:numPr>
        <w:spacing w:after="110"/>
      </w:pPr>
      <w:r>
        <w:t xml:space="preserve">Swap in your real dataset, format each example as (finding description → Patch-IR JSON) following the base model's chat template, and run LoRA/QLoRA SFT — this is the mandatory rung. Save the resulting adapter weights.</w:t>
      </w:r>
    </w:p>
    <w:p>
      <w:pPr>
        <w:pStyle w:val="ListParagraph"/>
        <w:numPr>
          <w:ilvl w:val="0"/>
          <w:numId w:val="8"/>
        </w:numPr>
        <w:spacing w:after="110"/>
      </w:pPr>
      <w:r>
        <w:t xml:space="preserve">Serve the SFT model locally via Ollama with JSON-schema-constrained decoding pointed at the Patch-IR schema. Confirm every output is at least syntactically valid before worrying about correctness.</w:t>
      </w:r>
    </w:p>
    <w:p>
      <w:pPr>
        <w:pStyle w:val="ListParagraph"/>
        <w:numPr>
          <w:ilvl w:val="0"/>
          <w:numId w:val="8"/>
        </w:numPr>
        <w:spacing w:after="110"/>
      </w:pPr>
      <w:r>
        <w:t xml:space="preserve">Should-do rung: sample N candidates (best-of-8 as a start) per training example from the SFT model, keep only the ones Phase 4's verification gate accepts, and fine-tune again on that filtered set (rejection-sampling fine-tuning).</w:t>
      </w:r>
    </w:p>
    <w:p>
      <w:pPr>
        <w:pStyle w:val="ListParagraph"/>
        <w:numPr>
          <w:ilvl w:val="0"/>
          <w:numId w:val="8"/>
        </w:numPr>
        <w:spacing w:after="110"/>
      </w:pPr>
      <w:r>
        <w:t xml:space="preserve">Stretch rung, if time allows: use the gate's pass/fail plus the risk-delta magnitude as a reward signal for a short GRPO round, following the published recipe this project is deliberately reusing — cite it as such in the paper, not as an original contribution.</w:t>
      </w:r>
    </w:p>
    <w:p>
      <w:pPr>
        <w:pStyle w:val="ListParagraph"/>
        <w:numPr>
          <w:ilvl w:val="0"/>
          <w:numId w:val="8"/>
        </w:numPr>
        <w:spacing w:after="110"/>
      </w:pPr>
      <w:r>
        <w:t xml:space="preserve">Guard against reward hacking now: confirm intent-preservation and no-new-principal checks (built fully in Phase 7, but stub versions can run here) reject any output that deletes a resource or invents a principal. Report the training-time vs. held-out pass-rate gap explicitly as a result, not a footnote.</w:t>
      </w:r>
    </w:p>
    <w:p>
      <w:pPr>
        <w:pStyle w:val="ListParagraph"/>
        <w:numPr>
          <w:ilvl w:val="0"/>
          <w:numId w:val="8"/>
        </w:numPr>
        <w:spacing w:after="110"/>
      </w:pPr>
      <w:r>
        <w:t xml:space="preserve">Build remediate/templates/ now: a simple lookup table keyed by rule ID for single-attribute fixes — this is the mandatory T0 tier, so only findings with no matching template ever reach the M1 model.</w:t>
      </w:r>
    </w:p>
    <w:p>
      <w:pPr>
        <w:pStyle w:val="ListParagraph"/>
        <w:numPr>
          <w:ilvl w:val="0"/>
          <w:numId w:val="8"/>
        </w:numPr>
        <w:spacing w:after="110"/>
      </w:pPr>
      <w:r>
        <w:t xml:space="preserve">Commit the dataset-generation code, the training notebooks (kept as documentation of what was actually run), the final model artifact (or a Git LFS pointer / external link if weights are too large for the repo), and remediate/templates/.</w:t>
      </w:r>
    </w:p>
    <w:p>
      <w:pPr>
        <w:pStyle w:val="Heading2"/>
        <w:spacing w:after="140" w:before="260"/>
      </w:pPr>
      <w:r>
        <w:t xml:space="preserve">Integration Checkpoint</w:t>
      </w:r>
    </w:p>
    <w:p>
      <w:pPr>
        <w:spacing w:after="150"/>
      </w:pPr>
      <w:r>
        <w:t xml:space="preserve">remediate/local_model/generate(tokenized_finding) -&gt; list[Patch-IR candidates] and remediate/templates/match(finding) -&gt; Patch-IR | None are the two function signatures Phase 7's tiered pipeline calls, in that order. Every candidate this phase produces must already be valid against the Patch-IR JSON Schema — Phase 7 assumes that and only re-checks correctness, not structure.</w:t>
      </w:r>
    </w:p>
    <w:p>
      <w:pPr>
        <w:pStyle w:val="Heading2"/>
        <w:spacing w:after="140" w:before="260"/>
      </w:pPr>
      <w:r>
        <w:t xml:space="preserve">Phase Checklist (Definition of Done — tick before moving on)</w:t>
      </w:r>
    </w:p>
    <w:p>
      <w:pPr>
        <w:spacing w:after="90"/>
        <w:ind w:left="300"/>
      </w:pPr>
      <w:r>
        <w:t xml:space="preserve">☐   </w:t>
      </w:r>
      <w:r>
        <w:t xml:space="preserve">Mutation engine covers every Rego rule from Phase 4</w:t>
      </w:r>
    </w:p>
    <w:p>
      <w:pPr>
        <w:spacing w:after="90"/>
        <w:ind w:left="300"/>
      </w:pPr>
      <w:r>
        <w:t xml:space="preserve">☐   </w:t>
      </w:r>
      <w:r>
        <w:t xml:space="preserve">Dataset generated with a genuinely held-out, out-of-template test set</w:t>
      </w:r>
    </w:p>
    <w:p>
      <w:pPr>
        <w:spacing w:after="90"/>
        <w:ind w:left="300"/>
      </w:pPr>
      <w:r>
        <w:t xml:space="preserve">☐   </w:t>
      </w:r>
      <w:r>
        <w:t xml:space="preserve">SFT model trained and serving locally with schema-constrained decoding</w:t>
      </w:r>
    </w:p>
    <w:p>
      <w:pPr>
        <w:spacing w:after="90"/>
        <w:ind w:left="300"/>
      </w:pPr>
      <w:r>
        <w:t xml:space="preserve">☐   </w:t>
      </w:r>
      <w:r>
        <w:t xml:space="preserve">Rejection-sampling round completed (should-do)</w:t>
      </w:r>
    </w:p>
    <w:p>
      <w:pPr>
        <w:spacing w:after="90"/>
        <w:ind w:left="300"/>
      </w:pPr>
      <w:r>
        <w:t xml:space="preserve">☐   </w:t>
      </w:r>
      <w:r>
        <w:t xml:space="preserve">GRPO round attempted if time allows, or explicitly deferred with a stated reason</w:t>
      </w:r>
    </w:p>
    <w:p>
      <w:pPr>
        <w:spacing w:after="90"/>
        <w:ind w:left="300"/>
      </w:pPr>
      <w:r>
        <w:t xml:space="preserve">☐   </w:t>
      </w:r>
      <w:r>
        <w:t xml:space="preserve">Training-time vs. held-out pass-rate gap measured and recorded</w:t>
      </w:r>
    </w:p>
    <w:p>
      <w:pPr>
        <w:spacing w:after="90"/>
        <w:ind w:left="300"/>
      </w:pPr>
      <w:r>
        <w:t xml:space="preserve">☐   </w:t>
      </w:r>
      <w:r>
        <w:t xml:space="preserve">T0 templates built, covering the single-attribute-fix rule set</w:t>
      </w:r>
    </w:p>
    <w:p>
      <w:pPr>
        <w:spacing w:after="90"/>
        <w:ind w:left="300"/>
      </w:pPr>
      <w:r>
        <w:t xml:space="preserve">☐   </w:t>
      </w:r>
      <w:r>
        <w:t xml:space="preserve">generate() and match() functions committed with frozen signatures</w:t>
      </w:r>
    </w:p>
    <w:p>
      <w:r>
        <w:br w:type="page"/>
      </w:r>
    </w:p>
    <w:p>
      <w:pPr>
        <w:pStyle w:val="Heading1"/>
        <w:spacing w:after="200" w:before="420"/>
      </w:pPr>
      <w:r>
        <w:t xml:space="preserve">Phase 6: ML Track, Part 2 — M2 Calibration Model &amp; Conformal Threshold</w:t>
      </w:r>
    </w:p>
    <w:p>
      <w:pPr>
        <w:spacing w:after="80"/>
      </w:pPr>
      <w:r>
        <w:rPr>
          <w:b/>
          <w:bCs/>
        </w:rPr>
        <w:t xml:space="preserve">Weeks:  </w:t>
      </w:r>
      <w:r>
        <w:t xml:space="preserve">Weeks 11–13 (overlaps the tail of Phase 5)</w:t>
      </w:r>
    </w:p>
    <w:p>
      <w:pPr>
        <w:spacing w:after="80"/>
      </w:pPr>
      <w:r>
        <w:rPr>
          <w:b/>
          <w:bCs/>
        </w:rPr>
        <w:t xml:space="preserve">Owner:  </w:t>
      </w:r>
      <w:r>
        <w:t xml:space="preserve">Role C</w:t>
      </w:r>
    </w:p>
    <w:p>
      <w:pPr>
        <w:spacing w:after="80"/>
      </w:pPr>
      <w:r>
        <w:rPr>
          <w:b/>
          <w:bCs/>
        </w:rPr>
        <w:t xml:space="preserve">Depends On:  </w:t>
      </w:r>
      <w:r>
        <w:t xml:space="preserve">Phase 5 (M1 producing verified candidates to compute features from); Phase 4 (verification gate results as a labeling input).</w:t>
      </w:r>
    </w:p>
    <w:p>
      <w:pPr>
        <w:pStyle w:val="Heading2"/>
        <w:spacing w:after="140" w:before="260"/>
      </w:pPr>
      <w:r>
        <w:t xml:space="preserve">Objective / Deliverable</w:t>
      </w:r>
    </w:p>
    <w:p>
      <w:pPr>
        <w:spacing w:after="150"/>
      </w:pPr>
      <w:r>
        <w:t xml:space="preserve">A calibrated confidence model M2 that turns verification-gate results plus per-candidate features into a genuine probability, and a conformal-risk-controlled threshold τ* that gives the auto-apply gate a statistically defensible number instead of a hand-picked cutoff.</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scikit-learn or LightGBM</w:t>
            </w:r>
          </w:p>
        </w:tc>
        <w:tc>
          <w:tcPr>
            <w:tcW w:type="dxa" w:w="3450"/>
            <w:tcMar>
              <w:top w:type="dxa" w:w="50"/>
              <w:left w:type="dxa" w:w="90"/>
              <w:bottom w:type="dxa" w:w="50"/>
              <w:right w:type="dxa" w:w="90"/>
            </w:tcMar>
          </w:tcPr>
          <w:p>
            <w:r>
              <w:rPr>
                <w:sz w:val="19"/>
                <w:szCs w:val="19"/>
              </w:rPr>
              <w:t xml:space="preserve">Gradient-boosted trees or logistic regression is enough here, since the engineered features already carry most of the signal — no need for a heavier model</w:t>
            </w:r>
          </w:p>
        </w:tc>
        <w:tc>
          <w:tcPr>
            <w:tcW w:type="dxa" w:w="1950"/>
            <w:tcMar>
              <w:top w:type="dxa" w:w="50"/>
              <w:left w:type="dxa" w:w="90"/>
              <w:bottom w:type="dxa" w:w="50"/>
              <w:right w:type="dxa" w:w="90"/>
            </w:tcMar>
          </w:tcPr>
          <w:p>
            <w:r>
              <w:rPr>
                <w:sz w:val="19"/>
                <w:szCs w:val="19"/>
              </w:rPr>
              <w:t xml:space="preserve">pip install scikit-learn lightgbm</w:t>
            </w:r>
          </w:p>
        </w:tc>
        <w:tc>
          <w:tcPr>
            <w:tcW w:type="dxa" w:w="2200"/>
            <w:tcMar>
              <w:top w:type="dxa" w:w="50"/>
              <w:left w:type="dxa" w:w="90"/>
              <w:bottom w:type="dxa" w:w="50"/>
              <w:right w:type="dxa" w:w="90"/>
            </w:tcMar>
          </w:tcPr>
          <w:p>
            <w:r>
              <w:rPr>
                <w:sz w:val="19"/>
                <w:szCs w:val="19"/>
              </w:rPr>
              <w:t xml:space="preserve">scikit-learn's own ‘Probability Calibration’ example page, before implementing isotonic calibration</w:t>
            </w:r>
          </w:p>
        </w:tc>
      </w:tr>
      <w:tr>
        <w:tc>
          <w:tcPr>
            <w:tcW w:type="dxa" w:w="1750"/>
            <w:tcMar>
              <w:top w:type="dxa" w:w="50"/>
              <w:left w:type="dxa" w:w="90"/>
              <w:bottom w:type="dxa" w:w="50"/>
              <w:right w:type="dxa" w:w="90"/>
            </w:tcMar>
          </w:tcPr>
          <w:p>
            <w:r>
              <w:rPr>
                <w:sz w:val="19"/>
                <w:szCs w:val="19"/>
              </w:rPr>
              <w:t xml:space="preserve">mapie, or a hand-rolled implementation</w:t>
            </w:r>
          </w:p>
        </w:tc>
        <w:tc>
          <w:tcPr>
            <w:tcW w:type="dxa" w:w="3450"/>
            <w:tcMar>
              <w:top w:type="dxa" w:w="50"/>
              <w:left w:type="dxa" w:w="90"/>
              <w:bottom w:type="dxa" w:w="50"/>
              <w:right w:type="dxa" w:w="90"/>
            </w:tcMar>
          </w:tcPr>
          <w:p>
            <w:r>
              <w:rPr>
                <w:sz w:val="19"/>
                <w:szCs w:val="19"/>
              </w:rPr>
              <w:t xml:space="preserve">Implements the finite-sample conformal-risk-control threshold-selection recipe</w:t>
            </w:r>
          </w:p>
        </w:tc>
        <w:tc>
          <w:tcPr>
            <w:tcW w:type="dxa" w:w="1950"/>
            <w:tcMar>
              <w:top w:type="dxa" w:w="50"/>
              <w:left w:type="dxa" w:w="90"/>
              <w:bottom w:type="dxa" w:w="50"/>
              <w:right w:type="dxa" w:w="90"/>
            </w:tcMar>
          </w:tcPr>
          <w:p>
            <w:r>
              <w:rPr>
                <w:sz w:val="19"/>
                <w:szCs w:val="19"/>
              </w:rPr>
              <w:t xml:space="preserve">pip install mapie</w:t>
            </w:r>
          </w:p>
        </w:tc>
        <w:tc>
          <w:tcPr>
            <w:tcW w:type="dxa" w:w="2200"/>
            <w:tcMar>
              <w:top w:type="dxa" w:w="50"/>
              <w:left w:type="dxa" w:w="90"/>
              <w:bottom w:type="dxa" w:w="50"/>
              <w:right w:type="dxa" w:w="90"/>
            </w:tcMar>
          </w:tcPr>
          <w:p>
            <w:r>
              <w:rPr>
                <w:sz w:val="19"/>
                <w:szCs w:val="19"/>
              </w:rPr>
              <w:t xml:space="preserve">Read the conformal-risk-control paper's algorithm box once, fully, before implementing — getting the guarantee statement wrong is worse than a slightly less elegant implementation</w:t>
            </w:r>
          </w:p>
        </w:tc>
      </w:tr>
    </w:tbl>
    <w:p>
      <w:pPr>
        <w:pStyle w:val="Heading2"/>
        <w:spacing w:after="140" w:before="260"/>
      </w:pPr>
      <w:r>
        <w:t xml:space="preserve">Step-by-Step Procedure</w:t>
      </w:r>
    </w:p>
    <w:p>
      <w:pPr>
        <w:pStyle w:val="ListParagraph"/>
        <w:numPr>
          <w:ilvl w:val="0"/>
          <w:numId w:val="9"/>
        </w:numPr>
        <w:spacing w:after="110"/>
      </w:pPr>
      <w:r>
        <w:t xml:space="preserve">Read the M2-training and conformal-risk-control sections of the ARGUS v3 document fully before writing code — understand why M2's labels must come from a source independent of the gate's own pass/fail, or the model becomes circular.</w:t>
      </w:r>
    </w:p>
    <w:p>
      <w:pPr>
        <w:pStyle w:val="ListParagraph"/>
        <w:numPr>
          <w:ilvl w:val="0"/>
          <w:numId w:val="9"/>
        </w:numPr>
        <w:spacing w:after="110"/>
      </w:pPr>
      <w:r>
        <w:t xml:space="preserve">Compute the feature set per candidate patch, all local and free: each Rego check's pass margin, the risk-regression delta magnitude, which tier produced the patch, agreement rate among sampled candidates, generator log-probability statistics, patch size, target-resource graph centrality, and rule family.</w:t>
      </w:r>
    </w:p>
    <w:p>
      <w:pPr>
        <w:pStyle w:val="ListParagraph"/>
        <w:numPr>
          <w:ilvl w:val="0"/>
          <w:numId w:val="9"/>
        </w:numPr>
        <w:spacing w:after="110"/>
      </w:pPr>
      <w:r>
        <w:t xml:space="preserve">Build the label source: reuse the mutation engine's known ground truth (Phase 5) plus the hidden checks from Phase 5's Step 10 as an oracle, supplemented by a small round of human review on a held-out sample if time allows.</w:t>
      </w:r>
    </w:p>
    <w:p>
      <w:pPr>
        <w:pStyle w:val="ListParagraph"/>
        <w:numPr>
          <w:ilvl w:val="0"/>
          <w:numId w:val="9"/>
        </w:numPr>
        <w:spacing w:after="110"/>
      </w:pPr>
      <w:r>
        <w:t xml:space="preserve">Train a LightGBM or logistic-regression model on (features → correct/incorrect), then apply isotonic calibration so raw scores become genuine probabilities. Plot a reliability diagram immediately as your first sanity check, not only at evaluation time.</w:t>
      </w:r>
    </w:p>
    <w:p>
      <w:pPr>
        <w:pStyle w:val="ListParagraph"/>
        <w:numPr>
          <w:ilvl w:val="0"/>
          <w:numId w:val="9"/>
        </w:numPr>
        <w:spacing w:after="110"/>
      </w:pPr>
      <w:r>
        <w:t xml:space="preserve">Using a held-out calibration split, compute the conformal threshold τ* using the finite-sample recipe from the design document — implement it directly rather than trusting a library default blindly, since the precise guarantee statement matters for the paper.</w:t>
      </w:r>
    </w:p>
    <w:p>
      <w:pPr>
        <w:pStyle w:val="ListParagraph"/>
        <w:numPr>
          <w:ilvl w:val="0"/>
          <w:numId w:val="9"/>
        </w:numPr>
        <w:spacing w:after="110"/>
      </w:pPr>
      <w:r>
        <w:t xml:space="preserve">Combine with the Bayes-cost cutoff (p̂ &gt; 1 − c_esc/c_FA): the deployed rule is auto-apply only if both thresholds are cleared, whichever is stricter.</w:t>
      </w:r>
    </w:p>
    <w:p>
      <w:pPr>
        <w:pStyle w:val="ListParagraph"/>
        <w:numPr>
          <w:ilvl w:val="0"/>
          <w:numId w:val="9"/>
        </w:numPr>
        <w:spacing w:after="110"/>
      </w:pPr>
      <w:r>
        <w:t xml:space="preserve">Wire the cost ratio (c_FA, c_esc) as an externally configurable value — this becomes the dashboard's Bayes-threshold slider in Phase 8.</w:t>
      </w:r>
    </w:p>
    <w:p>
      <w:pPr>
        <w:pStyle w:val="ListParagraph"/>
        <w:numPr>
          <w:ilvl w:val="0"/>
          <w:numId w:val="9"/>
        </w:numPr>
        <w:spacing w:after="110"/>
      </w:pPr>
      <w:r>
        <w:t xml:space="preserve">Commit ml/train_m2/ (training script, calibration script, conformal-threshold computation) and the reliability-diagram notebook.</w:t>
      </w:r>
    </w:p>
    <w:p>
      <w:pPr>
        <w:pStyle w:val="Heading2"/>
        <w:spacing w:after="140" w:before="260"/>
      </w:pPr>
      <w:r>
        <w:t xml:space="preserve">Integration Checkpoint</w:t>
      </w:r>
    </w:p>
    <w:p>
      <w:pPr>
        <w:spacing w:after="150"/>
      </w:pPr>
      <w:r>
        <w:t xml:space="preserve">ml/train_m2/confidence(features) -&gt; p_hat and a single stored value tau_star are what Phase 7's auto-apply decision function consumes directly. Freeze the feature-vector shape now — Phase 7 must compute exactly the same features at inference time that this phase computed at training time, or the model silently degrades.</w:t>
      </w:r>
    </w:p>
    <w:p>
      <w:pPr>
        <w:pStyle w:val="Heading2"/>
        <w:spacing w:after="140" w:before="260"/>
      </w:pPr>
      <w:r>
        <w:t xml:space="preserve">Phase Checklist (Definition of Done — tick before moving on)</w:t>
      </w:r>
    </w:p>
    <w:p>
      <w:pPr>
        <w:spacing w:after="90"/>
        <w:ind w:left="300"/>
      </w:pPr>
      <w:r>
        <w:t xml:space="preserve">☐   </w:t>
      </w:r>
      <w:r>
        <w:t xml:space="preserve">Feature set defined and computed reproducibly for both training and inference</w:t>
      </w:r>
    </w:p>
    <w:p>
      <w:pPr>
        <w:spacing w:after="90"/>
        <w:ind w:left="300"/>
      </w:pPr>
      <w:r>
        <w:t xml:space="preserve">☐   </w:t>
      </w:r>
      <w:r>
        <w:t xml:space="preserve">Labels sourced independently of the gate's own pass/fail</w:t>
      </w:r>
    </w:p>
    <w:p>
      <w:pPr>
        <w:spacing w:after="90"/>
        <w:ind w:left="300"/>
      </w:pPr>
      <w:r>
        <w:t xml:space="preserve">☐   </w:t>
      </w:r>
      <w:r>
        <w:t xml:space="preserve">M2 trained, isotonic-calibrated, reliability diagram plotted</w:t>
      </w:r>
    </w:p>
    <w:p>
      <w:pPr>
        <w:spacing w:after="90"/>
        <w:ind w:left="300"/>
      </w:pPr>
      <w:r>
        <w:t xml:space="preserve">☐   </w:t>
      </w:r>
      <w:r>
        <w:t xml:space="preserve">Conformal threshold τ* computed on a genuinely held-out calibration split</w:t>
      </w:r>
    </w:p>
    <w:p>
      <w:pPr>
        <w:spacing w:after="90"/>
        <w:ind w:left="300"/>
      </w:pPr>
      <w:r>
        <w:t xml:space="preserve">☐   </w:t>
      </w:r>
      <w:r>
        <w:t xml:space="preserve">Combined Bayes-cost + conformal decision rule implemented and configurable</w:t>
      </w:r>
    </w:p>
    <w:p>
      <w:pPr>
        <w:spacing w:after="90"/>
        <w:ind w:left="300"/>
      </w:pPr>
      <w:r>
        <w:t xml:space="preserve">☐   </w:t>
      </w:r>
      <w:r>
        <w:t xml:space="preserve">confidence() function and tau_star committed with a frozen output shape</w:t>
      </w:r>
    </w:p>
    <w:p>
      <w:r>
        <w:br w:type="page"/>
      </w:r>
    </w:p>
    <w:p>
      <w:pPr>
        <w:pStyle w:val="Heading1"/>
        <w:spacing w:after="200" w:before="420"/>
      </w:pPr>
      <w:r>
        <w:t xml:space="preserve">Phase 7: Verification Gate, Tiered Pipeline (T0→T3) &amp; Auto-Apply Decision — Full Backend Assembly</w:t>
      </w:r>
    </w:p>
    <w:p>
      <w:pPr>
        <w:spacing w:after="80"/>
      </w:pPr>
      <w:r>
        <w:rPr>
          <w:b/>
          <w:bCs/>
        </w:rPr>
        <w:t xml:space="preserve">Weeks:  </w:t>
      </w:r>
      <w:r>
        <w:t xml:space="preserve">Weeks 13–15</w:t>
      </w:r>
    </w:p>
    <w:p>
      <w:pPr>
        <w:spacing w:after="80"/>
      </w:pPr>
      <w:r>
        <w:rPr>
          <w:b/>
          <w:bCs/>
        </w:rPr>
        <w:t xml:space="preserve">Owner:  </w:t>
      </w:r>
      <w:r>
        <w:t xml:space="preserve">Role B leads the gate; Role C wires the tiers; Role D starts the FastAPI layer around all of it</w:t>
      </w:r>
    </w:p>
    <w:p>
      <w:pPr>
        <w:spacing w:after="80"/>
      </w:pPr>
      <w:r>
        <w:rPr>
          <w:b/>
          <w:bCs/>
        </w:rPr>
        <w:t xml:space="preserve">Depends On:  </w:t>
      </w:r>
      <w:r>
        <w:t xml:space="preserve">Phase 2 (risk re-scoring), Phase 3 (prioritization), Phase 4 (airlock + Rego), Phase 5 (T0/T1 generation), Phase 6 (M2 + conformal threshold). This is where every previous track's output is wired together for the first time — budget real integration time, not just glue-code time.</w:t>
      </w:r>
    </w:p>
    <w:p>
      <w:pPr>
        <w:pStyle w:val="Heading2"/>
        <w:spacing w:after="140" w:before="260"/>
      </w:pPr>
      <w:r>
        <w:t xml:space="preserve">Objective / Deliverable</w:t>
      </w:r>
    </w:p>
    <w:p>
      <w:pPr>
        <w:spacing w:after="150"/>
      </w:pPr>
      <w:r>
        <w:t xml:space="preserve">One working, end-to-end function that takes a finding, runs it through the airlock, T0→T1→(optional T2)→rehydrate, the four-part verification gate, M2's confidence score, and the combined auto-apply decision — landing in either an auto-applied state or the human approval queue, with a full privacy receipt and audit-log entry either way.</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FastAPI + uvicorn</w:t>
            </w:r>
          </w:p>
        </w:tc>
        <w:tc>
          <w:tcPr>
            <w:tcW w:type="dxa" w:w="3450"/>
            <w:tcMar>
              <w:top w:type="dxa" w:w="50"/>
              <w:left w:type="dxa" w:w="90"/>
              <w:bottom w:type="dxa" w:w="50"/>
              <w:right w:type="dxa" w:w="90"/>
            </w:tcMar>
          </w:tcPr>
          <w:p>
            <w:r>
              <w:rPr>
                <w:sz w:val="19"/>
                <w:szCs w:val="19"/>
              </w:rPr>
              <w:t xml:space="preserve">The backend framework every dashboard endpoint (Phase 8) and this pipeline itself is exposed through</w:t>
            </w:r>
          </w:p>
        </w:tc>
        <w:tc>
          <w:tcPr>
            <w:tcW w:type="dxa" w:w="1950"/>
            <w:tcMar>
              <w:top w:type="dxa" w:w="50"/>
              <w:left w:type="dxa" w:w="90"/>
              <w:bottom w:type="dxa" w:w="50"/>
              <w:right w:type="dxa" w:w="90"/>
            </w:tcMar>
          </w:tcPr>
          <w:p>
            <w:r>
              <w:rPr>
                <w:sz w:val="19"/>
                <w:szCs w:val="19"/>
              </w:rPr>
              <w:t xml:space="preserve">pip install fastapi uvicorn</w:t>
            </w:r>
          </w:p>
        </w:tc>
        <w:tc>
          <w:tcPr>
            <w:tcW w:type="dxa" w:w="2200"/>
            <w:tcMar>
              <w:top w:type="dxa" w:w="50"/>
              <w:left w:type="dxa" w:w="90"/>
              <w:bottom w:type="dxa" w:w="50"/>
              <w:right w:type="dxa" w:w="90"/>
            </w:tcMar>
          </w:tcPr>
          <w:p>
            <w:r>
              <w:rPr>
                <w:sz w:val="19"/>
                <w:szCs w:val="19"/>
              </w:rPr>
              <w:t xml:space="preserve">FastAPI's own official tutorial — ‘First Steps’ through ‘Path Parameters’ is enough before wiring real endpoints</w:t>
            </w:r>
          </w:p>
        </w:tc>
      </w:tr>
      <w:tr>
        <w:tc>
          <w:tcPr>
            <w:tcW w:type="dxa" w:w="1750"/>
            <w:tcMar>
              <w:top w:type="dxa" w:w="50"/>
              <w:left w:type="dxa" w:w="90"/>
              <w:bottom w:type="dxa" w:w="50"/>
              <w:right w:type="dxa" w:w="90"/>
            </w:tcMar>
          </w:tcPr>
          <w:p>
            <w:r>
              <w:rPr>
                <w:sz w:val="19"/>
                <w:szCs w:val="19"/>
              </w:rPr>
              <w:t xml:space="preserve">SQLite (dev), optionally Postgres later</w:t>
            </w:r>
          </w:p>
        </w:tc>
        <w:tc>
          <w:tcPr>
            <w:tcW w:type="dxa" w:w="3450"/>
            <w:tcMar>
              <w:top w:type="dxa" w:w="50"/>
              <w:left w:type="dxa" w:w="90"/>
              <w:bottom w:type="dxa" w:w="50"/>
              <w:right w:type="dxa" w:w="90"/>
            </w:tcMar>
          </w:tcPr>
          <w:p>
            <w:r>
              <w:rPr>
                <w:sz w:val="19"/>
                <w:szCs w:val="19"/>
              </w:rPr>
              <w:t xml:space="preserve">Persists findings, the audit log, and the approval queue</w:t>
            </w:r>
          </w:p>
        </w:tc>
        <w:tc>
          <w:tcPr>
            <w:tcW w:type="dxa" w:w="1950"/>
            <w:tcMar>
              <w:top w:type="dxa" w:w="50"/>
              <w:left w:type="dxa" w:w="90"/>
              <w:bottom w:type="dxa" w:w="50"/>
              <w:right w:type="dxa" w:w="90"/>
            </w:tcMar>
          </w:tcPr>
          <w:p>
            <w:r>
              <w:rPr>
                <w:sz w:val="19"/>
                <w:szCs w:val="19"/>
              </w:rPr>
              <w:t xml:space="preserve">Built into Python; pip install psycopg2-binary if you move to Postgres</w:t>
            </w:r>
          </w:p>
        </w:tc>
        <w:tc>
          <w:tcPr>
            <w:tcW w:type="dxa" w:w="2200"/>
            <w:tcMar>
              <w:top w:type="dxa" w:w="50"/>
              <w:left w:type="dxa" w:w="90"/>
              <w:bottom w:type="dxa" w:w="50"/>
              <w:right w:type="dxa" w:w="90"/>
            </w:tcMar>
          </w:tcPr>
          <w:p>
            <w:r>
              <w:rPr>
                <w:sz w:val="19"/>
                <w:szCs w:val="19"/>
              </w:rPr>
              <w:t xml:space="preserve">Skip a full ORM tutorial for now if using raw sqlite3; only add SQLAlchemy if the schema outgrows hand-written SQL</w:t>
            </w:r>
          </w:p>
        </w:tc>
      </w:tr>
      <w:tr>
        <w:tc>
          <w:tcPr>
            <w:tcW w:type="dxa" w:w="1750"/>
            <w:tcMar>
              <w:top w:type="dxa" w:w="50"/>
              <w:left w:type="dxa" w:w="90"/>
              <w:bottom w:type="dxa" w:w="50"/>
              <w:right w:type="dxa" w:w="90"/>
            </w:tcMar>
          </w:tcPr>
          <w:p>
            <w:r>
              <w:rPr>
                <w:sz w:val="19"/>
                <w:szCs w:val="19"/>
              </w:rPr>
              <w:t xml:space="preserve">pytest</w:t>
            </w:r>
          </w:p>
        </w:tc>
        <w:tc>
          <w:tcPr>
            <w:tcW w:type="dxa" w:w="3450"/>
            <w:tcMar>
              <w:top w:type="dxa" w:w="50"/>
              <w:left w:type="dxa" w:w="90"/>
              <w:bottom w:type="dxa" w:w="50"/>
              <w:right w:type="dxa" w:w="90"/>
            </w:tcMar>
          </w:tcPr>
          <w:p>
            <w:r>
              <w:rPr>
                <w:sz w:val="19"/>
                <w:szCs w:val="19"/>
              </w:rPr>
              <w:t xml:space="preserve">This phase is the most likely to break silently when one track's output shape drifts from what another expects — write integration tests here, not just unit tests</w:t>
            </w:r>
          </w:p>
        </w:tc>
        <w:tc>
          <w:tcPr>
            <w:tcW w:type="dxa" w:w="1950"/>
            <w:tcMar>
              <w:top w:type="dxa" w:w="50"/>
              <w:left w:type="dxa" w:w="90"/>
              <w:bottom w:type="dxa" w:w="50"/>
              <w:right w:type="dxa" w:w="90"/>
            </w:tcMar>
          </w:tcPr>
          <w:p>
            <w:r>
              <w:rPr>
                <w:sz w:val="19"/>
                <w:szCs w:val="19"/>
              </w:rPr>
              <w:t xml:space="preserve">pip install pytest</w:t>
            </w:r>
          </w:p>
        </w:tc>
        <w:tc>
          <w:tcPr>
            <w:tcW w:type="dxa" w:w="2200"/>
            <w:tcMar>
              <w:top w:type="dxa" w:w="50"/>
              <w:left w:type="dxa" w:w="90"/>
              <w:bottom w:type="dxa" w:w="50"/>
              <w:right w:type="dxa" w:w="90"/>
            </w:tcMar>
          </w:tcPr>
          <w:p>
            <w:r>
              <w:rPr>
                <w:sz w:val="19"/>
                <w:szCs w:val="19"/>
              </w:rPr>
              <w:t xml:space="preserve">—</w:t>
            </w:r>
          </w:p>
        </w:tc>
      </w:tr>
    </w:tbl>
    <w:p>
      <w:pPr>
        <w:pStyle w:val="Heading2"/>
        <w:spacing w:after="140" w:before="260"/>
      </w:pPr>
      <w:r>
        <w:t xml:space="preserve">Step-by-Step Procedure</w:t>
      </w:r>
    </w:p>
    <w:p>
      <w:pPr>
        <w:pStyle w:val="ListParagraph"/>
        <w:numPr>
          <w:ilvl w:val="0"/>
          <w:numId w:val="10"/>
        </w:numPr>
        <w:spacing w:after="110"/>
      </w:pPr>
      <w:r>
        <w:t xml:space="preserve">Before writing any glue code, hold a team sync where Roles A, B, and C each read their function-signature commitments out loud (from the Integration Checkpoints of Phases 2–6) and confirm nothing has silently changed. This is the single highest-leverage 30 minutes in the whole project for avoiding a late collapse.</w:t>
      </w:r>
    </w:p>
    <w:p>
      <w:pPr>
        <w:pStyle w:val="ListParagraph"/>
        <w:numPr>
          <w:ilvl w:val="0"/>
          <w:numId w:val="10"/>
        </w:numPr>
        <w:spacing w:after="110"/>
      </w:pPr>
      <w:r>
        <w:t xml:space="preserve">Implement the Patch-IR compiler: a deterministic function turning a validated Patch-IR object into the actual Terraform diff or boto3 call, plus its trivial inverse for rollback. Build and test this before wiring the tiers, since every tier's output funnels through it.</w:t>
      </w:r>
    </w:p>
    <w:p>
      <w:pPr>
        <w:pStyle w:val="ListParagraph"/>
        <w:numPr>
          <w:ilvl w:val="0"/>
          <w:numId w:val="10"/>
        </w:numPr>
        <w:spacing w:after="110"/>
      </w:pPr>
      <w:r>
        <w:t xml:space="preserve">Assemble the tiered pipeline in exact order: finding → run_airlock() (Phase 4) → templates.match() (T0, Phase 5) → on miss, local_model.generate() sampling N candidates (T1, Phase 5) → for each candidate, rehydrate via the vault (Phase 4) → compile to Terraform/boto3 (previous step) → verification gate.</w:t>
      </w:r>
    </w:p>
    <w:p>
      <w:pPr>
        <w:pStyle w:val="ListParagraph"/>
        <w:numPr>
          <w:ilvl w:val="0"/>
          <w:numId w:val="10"/>
        </w:numPr>
        <w:spacing w:after="110"/>
      </w:pPr>
      <w:r>
        <w:t xml:space="preserve">Build the verification gate as one function with four checks: (a) both Rego libraries against the simulated post-patch state, (b) re-run Phase 2's score_graph() on the simulated post-patch graph and confirm risk did not increase anywhere and decreased for the target, (c) intent preservation — no resource deletion, no removal of an access edge shown in active use, (d) no unauthorized principal introduced — reject any patch adding an IAM principal or ARN absent from the current graph.</w:t>
      </w:r>
    </w:p>
    <w:p>
      <w:pPr>
        <w:pStyle w:val="ListParagraph"/>
        <w:numPr>
          <w:ilvl w:val="0"/>
          <w:numId w:val="10"/>
        </w:numPr>
        <w:spacing w:after="110"/>
      </w:pPr>
      <w:r>
        <w:t xml:space="preserve">On gate failure for every T1 candidate, and only if a deployer has explicitly opted in, forward the sanitized record to T2 (a remote LLM). Build this as a feature flag defaulting to OFF, and write a unit test that specifically asserts no network call happens unless the flag is explicitly true.</w:t>
      </w:r>
    </w:p>
    <w:p>
      <w:pPr>
        <w:pStyle w:val="ListParagraph"/>
        <w:numPr>
          <w:ilvl w:val="0"/>
          <w:numId w:val="10"/>
        </w:numPr>
        <w:spacing w:after="110"/>
      </w:pPr>
      <w:r>
        <w:t xml:space="preserve">On gate pass, compute M2's confidence using exactly the same feature computation used at training time, then apply the combined Bayes-cost plus conformal decision.</w:t>
      </w:r>
    </w:p>
    <w:p>
      <w:pPr>
        <w:pStyle w:val="ListParagraph"/>
        <w:numPr>
          <w:ilvl w:val="0"/>
          <w:numId w:val="10"/>
        </w:numPr>
        <w:spacing w:after="110"/>
      </w:pPr>
      <w:r>
        <w:t xml:space="preserve">Route the result: auto-apply (write to the audit log, mark applied, keep the Terraform-diff rollback path available) or human approval queue — T3 (write to the queue table with the plain-language diff, risk-score delta, and privacy receipt attached).</w:t>
      </w:r>
    </w:p>
    <w:p>
      <w:pPr>
        <w:pStyle w:val="ListParagraph"/>
        <w:numPr>
          <w:ilvl w:val="0"/>
          <w:numId w:val="10"/>
        </w:numPr>
        <w:spacing w:after="110"/>
      </w:pPr>
      <w:r>
        <w:t xml:space="preserve">Write the privacy receipt for every finding, regardless of tier or outcome. This is not optional even for auto-applied patches, since Phase 8's Privacy Receipt Viewer depends on every finding having one.</w:t>
      </w:r>
    </w:p>
    <w:p>
      <w:pPr>
        <w:pStyle w:val="ListParagraph"/>
        <w:numPr>
          <w:ilvl w:val="0"/>
          <w:numId w:val="10"/>
        </w:numPr>
        <w:spacing w:after="110"/>
      </w:pPr>
      <w:r>
        <w:t xml:space="preserve">Wrap the whole pipeline in a single FastAPI endpoint, e.g. POST /findings/{id}/remediate, plus supporting endpoints for listing findings, the approval queue, and the audit log. Test every endpoint manually in the shared Postman collection from Phase 0 before any frontend work touches it.</w:t>
      </w:r>
    </w:p>
    <w:p>
      <w:pPr>
        <w:pStyle w:val="ListParagraph"/>
        <w:numPr>
          <w:ilvl w:val="0"/>
          <w:numId w:val="10"/>
        </w:numPr>
        <w:spacing w:after="110"/>
      </w:pPr>
      <w:r>
        <w:t xml:space="preserve">Write pytest integration tests that run a handful of real CloudGoat findings end to end through the full pipeline and assert a sane final state — auto-applied, queued, or escalated, never silently dropped.</w:t>
      </w:r>
    </w:p>
    <w:p>
      <w:pPr>
        <w:pStyle w:val="ListParagraph"/>
        <w:numPr>
          <w:ilvl w:val="0"/>
          <w:numId w:val="10"/>
        </w:numPr>
        <w:spacing w:after="110"/>
      </w:pPr>
      <w:r>
        <w:t xml:space="preserve">Commit the assembled pipeline, the FastAPI app, and the integration tests.</w:t>
      </w:r>
    </w:p>
    <w:p>
      <w:pPr>
        <w:pStyle w:val="Heading2"/>
        <w:spacing w:after="140" w:before="260"/>
      </w:pPr>
      <w:r>
        <w:t xml:space="preserve">Integration Checkpoint</w:t>
      </w:r>
    </w:p>
    <w:p>
      <w:pPr>
        <w:spacing w:after="150"/>
      </w:pPr>
      <w:r>
        <w:t xml:space="preserve">POST /findings/{id}/remediate and the read endpoints (GET /findings, GET /approval-queue, GET /audit-log) are the exact contract Phase 8's dashboard consumes. Match response field names to the dashboard's existing mock-object shapes (iamFindings, iamRem, etc.) from the start, so the frontend swap is mechanical rather than a rewrite.</w:t>
      </w:r>
    </w:p>
    <w:p>
      <w:pPr>
        <w:pStyle w:val="Heading2"/>
        <w:spacing w:after="140" w:before="260"/>
      </w:pPr>
      <w:r>
        <w:t xml:space="preserve">Phase Checklist (Definition of Done — tick before moving on)</w:t>
      </w:r>
    </w:p>
    <w:p>
      <w:pPr>
        <w:spacing w:after="90"/>
        <w:ind w:left="300"/>
      </w:pPr>
      <w:r>
        <w:t xml:space="preserve">☐   </w:t>
      </w:r>
      <w:r>
        <w:t xml:space="preserve">Team sync held confirming all upstream function signatures are unchanged</w:t>
      </w:r>
    </w:p>
    <w:p>
      <w:pPr>
        <w:spacing w:after="90"/>
        <w:ind w:left="300"/>
      </w:pPr>
      <w:r>
        <w:t xml:space="preserve">☐   </w:t>
      </w:r>
      <w:r>
        <w:t xml:space="preserve">Patch-IR compiler and its inverse built and tested</w:t>
      </w:r>
    </w:p>
    <w:p>
      <w:pPr>
        <w:spacing w:after="90"/>
        <w:ind w:left="300"/>
      </w:pPr>
      <w:r>
        <w:t xml:space="preserve">☐   </w:t>
      </w:r>
      <w:r>
        <w:t xml:space="preserve">Full T0→T1→(T2 opt-in, off by default)→gate→M2→decision pipeline runs end to end on real CloudGoat findings</w:t>
      </w:r>
    </w:p>
    <w:p>
      <w:pPr>
        <w:spacing w:after="90"/>
        <w:ind w:left="300"/>
      </w:pPr>
      <w:r>
        <w:t xml:space="preserve">☐   </w:t>
      </w:r>
      <w:r>
        <w:t xml:space="preserve">All four gate checks implemented, including intent-preservation and no-new-principal</w:t>
      </w:r>
    </w:p>
    <w:p>
      <w:pPr>
        <w:spacing w:after="90"/>
        <w:ind w:left="300"/>
      </w:pPr>
      <w:r>
        <w:t xml:space="preserve">☐   </w:t>
      </w:r>
      <w:r>
        <w:t xml:space="preserve">T2's off-by-default behavior is itself unit-tested</w:t>
      </w:r>
    </w:p>
    <w:p>
      <w:pPr>
        <w:spacing w:after="90"/>
        <w:ind w:left="300"/>
      </w:pPr>
      <w:r>
        <w:t xml:space="preserve">☐   </w:t>
      </w:r>
      <w:r>
        <w:t xml:space="preserve">Privacy receipt generated for every finding, every tier, every outcome</w:t>
      </w:r>
    </w:p>
    <w:p>
      <w:pPr>
        <w:spacing w:after="90"/>
        <w:ind w:left="300"/>
      </w:pPr>
      <w:r>
        <w:t xml:space="preserve">☐   </w:t>
      </w:r>
      <w:r>
        <w:t xml:space="preserve">FastAPI endpoints built, tested manually in Postman, and documented in the shared collection</w:t>
      </w:r>
    </w:p>
    <w:p>
      <w:pPr>
        <w:spacing w:after="90"/>
        <w:ind w:left="300"/>
      </w:pPr>
      <w:r>
        <w:t xml:space="preserve">☐   </w:t>
      </w:r>
      <w:r>
        <w:t xml:space="preserve">Integration tests pass on a representative sample of real findings</w:t>
      </w:r>
    </w:p>
    <w:p>
      <w:r>
        <w:br w:type="page"/>
      </w:r>
    </w:p>
    <w:p>
      <w:pPr>
        <w:pStyle w:val="Heading1"/>
        <w:spacing w:after="200" w:before="420"/>
      </w:pPr>
      <w:r>
        <w:t xml:space="preserve">Phase 8: Dashboard — Backend Consumption, Real-Data Migration &amp; Privacy Receipt Viewer</w:t>
      </w:r>
    </w:p>
    <w:p>
      <w:pPr>
        <w:spacing w:after="80"/>
      </w:pPr>
      <w:r>
        <w:rPr>
          <w:b/>
          <w:bCs/>
        </w:rPr>
        <w:t xml:space="preserve">Weeks:  </w:t>
      </w:r>
      <w:r>
        <w:t xml:space="preserve">Weeks 12–16 (starts as soon as Phase 7's earliest endpoints exist; migrate page-by-page as endpoints come online)</w:t>
      </w:r>
    </w:p>
    <w:p>
      <w:pPr>
        <w:spacing w:after="80"/>
      </w:pPr>
      <w:r>
        <w:rPr>
          <w:b/>
          <w:bCs/>
        </w:rPr>
        <w:t xml:space="preserve">Owner:  </w:t>
      </w:r>
      <w:r>
        <w:t xml:space="preserve">Role D (plus a dedicated Dashboard/UX member if the team has five people)</w:t>
      </w:r>
    </w:p>
    <w:p>
      <w:pPr>
        <w:spacing w:after="80"/>
      </w:pPr>
      <w:r>
        <w:rPr>
          <w:b/>
          <w:bCs/>
        </w:rPr>
        <w:t xml:space="preserve">Depends On:  </w:t>
      </w:r>
      <w:r>
        <w:t xml:space="preserve">Phase 7 (FastAPI endpoints, built incrementally); Phase 3 (prioritization output for the three-bar budget panel); Phase 4 (privacy receipts).</w:t>
      </w:r>
    </w:p>
    <w:p>
      <w:pPr>
        <w:pStyle w:val="Heading2"/>
        <w:spacing w:after="140" w:before="260"/>
      </w:pPr>
      <w:r>
        <w:t xml:space="preserve">Objective / Deliverable</w:t>
      </w:r>
    </w:p>
    <w:p>
      <w:pPr>
        <w:spacing w:after="150"/>
      </w:pPr>
      <w:r>
        <w:t xml:space="preserve">The existing React dashboard (built against mock data) is migrated page-by-page to real backend data, the Attack Graph page moves from hand-positioned SVG to a real force-directed Cytoscape.js layout, empty and loading states are designed rather than left to chance, and a new Privacy Receipt Viewer panel is added.</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Vite + React 19</w:t>
            </w:r>
          </w:p>
        </w:tc>
        <w:tc>
          <w:tcPr>
            <w:tcW w:type="dxa" w:w="3450"/>
            <w:tcMar>
              <w:top w:type="dxa" w:w="50"/>
              <w:left w:type="dxa" w:w="90"/>
              <w:bottom w:type="dxa" w:w="50"/>
              <w:right w:type="dxa" w:w="90"/>
            </w:tcMar>
          </w:tcPr>
          <w:p>
            <w:r>
              <w:rPr>
                <w:sz w:val="19"/>
                <w:szCs w:val="19"/>
              </w:rPr>
              <w:t xml:space="preserve">The existing dashboard's stack, already built against mock data</w:t>
            </w:r>
          </w:p>
        </w:tc>
        <w:tc>
          <w:tcPr>
            <w:tcW w:type="dxa" w:w="1950"/>
            <w:tcMar>
              <w:top w:type="dxa" w:w="50"/>
              <w:left w:type="dxa" w:w="90"/>
              <w:bottom w:type="dxa" w:w="50"/>
              <w:right w:type="dxa" w:w="90"/>
            </w:tcMar>
          </w:tcPr>
          <w:p>
            <w:r>
              <w:rPr>
                <w:sz w:val="19"/>
                <w:szCs w:val="19"/>
              </w:rPr>
              <w:t xml:space="preserve">npm create vite@latest (already done if the dashboard exists)</w:t>
            </w:r>
          </w:p>
        </w:tc>
        <w:tc>
          <w:tcPr>
            <w:tcW w:type="dxa" w:w="2200"/>
            <w:tcMar>
              <w:top w:type="dxa" w:w="50"/>
              <w:left w:type="dxa" w:w="90"/>
              <w:bottom w:type="dxa" w:w="50"/>
              <w:right w:type="dxa" w:w="90"/>
            </w:tcMar>
          </w:tcPr>
          <w:p>
            <w:r>
              <w:rPr>
                <w:sz w:val="19"/>
                <w:szCs w:val="19"/>
              </w:rPr>
              <w:t xml:space="preserve">Vite's own ‘Getting Started’ if anyone has not used it before</w:t>
            </w:r>
          </w:p>
        </w:tc>
      </w:tr>
      <w:tr>
        <w:tc>
          <w:tcPr>
            <w:tcW w:type="dxa" w:w="1750"/>
            <w:tcMar>
              <w:top w:type="dxa" w:w="50"/>
              <w:left w:type="dxa" w:w="90"/>
              <w:bottom w:type="dxa" w:w="50"/>
              <w:right w:type="dxa" w:w="90"/>
            </w:tcMar>
          </w:tcPr>
          <w:p>
            <w:r>
              <w:rPr>
                <w:sz w:val="19"/>
                <w:szCs w:val="19"/>
              </w:rPr>
              <w:t xml:space="preserve">Tailwind CSS v4</w:t>
            </w:r>
          </w:p>
        </w:tc>
        <w:tc>
          <w:tcPr>
            <w:tcW w:type="dxa" w:w="3450"/>
            <w:tcMar>
              <w:top w:type="dxa" w:w="50"/>
              <w:left w:type="dxa" w:w="90"/>
              <w:bottom w:type="dxa" w:w="50"/>
              <w:right w:type="dxa" w:w="90"/>
            </w:tcMar>
          </w:tcPr>
          <w:p>
            <w:r>
              <w:rPr>
                <w:sz w:val="19"/>
                <w:szCs w:val="19"/>
              </w:rPr>
              <w:t xml:space="preserve">The existing visual design system (executive card styling, color tokens) is already built this way — keep it, do not re-skin it</w:t>
            </w:r>
          </w:p>
        </w:tc>
        <w:tc>
          <w:tcPr>
            <w:tcW w:type="dxa" w:w="1950"/>
            <w:tcMar>
              <w:top w:type="dxa" w:w="50"/>
              <w:left w:type="dxa" w:w="90"/>
              <w:bottom w:type="dxa" w:w="50"/>
              <w:right w:type="dxa" w:w="90"/>
            </w:tcMar>
          </w:tcPr>
          <w:p>
            <w:r>
              <w:rPr>
                <w:sz w:val="19"/>
                <w:szCs w:val="19"/>
              </w:rPr>
              <w:t xml:space="preserve">Already in the project's package.json</w:t>
            </w:r>
          </w:p>
        </w:tc>
        <w:tc>
          <w:tcPr>
            <w:tcW w:type="dxa" w:w="22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Cytoscape.js + react-cytoscapejs</w:t>
            </w:r>
          </w:p>
        </w:tc>
        <w:tc>
          <w:tcPr>
            <w:tcW w:type="dxa" w:w="3450"/>
            <w:tcMar>
              <w:top w:type="dxa" w:w="50"/>
              <w:left w:type="dxa" w:w="90"/>
              <w:bottom w:type="dxa" w:w="50"/>
              <w:right w:type="dxa" w:w="90"/>
            </w:tcMar>
          </w:tcPr>
          <w:p>
            <w:r>
              <w:rPr>
                <w:sz w:val="19"/>
                <w:szCs w:val="19"/>
              </w:rPr>
              <w:t xml:space="preserve">A real force-directed layout that scales to an arbitrary real graph shape, unlike hand-positioned SVG</w:t>
            </w:r>
          </w:p>
        </w:tc>
        <w:tc>
          <w:tcPr>
            <w:tcW w:type="dxa" w:w="1950"/>
            <w:tcMar>
              <w:top w:type="dxa" w:w="50"/>
              <w:left w:type="dxa" w:w="90"/>
              <w:bottom w:type="dxa" w:w="50"/>
              <w:right w:type="dxa" w:w="90"/>
            </w:tcMar>
          </w:tcPr>
          <w:p>
            <w:r>
              <w:rPr>
                <w:sz w:val="19"/>
                <w:szCs w:val="19"/>
              </w:rPr>
              <w:t xml:space="preserve">npm install cytoscape react-cytoscapejs</w:t>
            </w:r>
          </w:p>
        </w:tc>
        <w:tc>
          <w:tcPr>
            <w:tcW w:type="dxa" w:w="2200"/>
            <w:tcMar>
              <w:top w:type="dxa" w:w="50"/>
              <w:left w:type="dxa" w:w="90"/>
              <w:bottom w:type="dxa" w:w="50"/>
              <w:right w:type="dxa" w:w="90"/>
            </w:tcMar>
          </w:tcPr>
          <w:p>
            <w:r>
              <w:rPr>
                <w:sz w:val="19"/>
                <w:szCs w:val="19"/>
              </w:rPr>
              <w:t xml:space="preserve">Cytoscape.js's own ‘Layouts’ doc, specifically the cose or fcose layout, before wiring in real graph data</w:t>
            </w:r>
          </w:p>
        </w:tc>
      </w:tr>
      <w:tr>
        <w:tc>
          <w:tcPr>
            <w:tcW w:type="dxa" w:w="1750"/>
            <w:tcMar>
              <w:top w:type="dxa" w:w="50"/>
              <w:left w:type="dxa" w:w="90"/>
              <w:bottom w:type="dxa" w:w="50"/>
              <w:right w:type="dxa" w:w="90"/>
            </w:tcMar>
          </w:tcPr>
          <w:p>
            <w:r>
              <w:rPr>
                <w:sz w:val="19"/>
                <w:szCs w:val="19"/>
              </w:rPr>
              <w:t xml:space="preserve">Recharts</w:t>
            </w:r>
          </w:p>
        </w:tc>
        <w:tc>
          <w:tcPr>
            <w:tcW w:type="dxa" w:w="3450"/>
            <w:tcMar>
              <w:top w:type="dxa" w:w="50"/>
              <w:left w:type="dxa" w:w="90"/>
              <w:bottom w:type="dxa" w:w="50"/>
              <w:right w:type="dxa" w:w="90"/>
            </w:tcMar>
          </w:tcPr>
          <w:p>
            <w:r>
              <w:rPr>
                <w:sz w:val="19"/>
                <w:szCs w:val="19"/>
              </w:rPr>
              <w:t xml:space="preserve">The Stackelberg-vs-interdiction-vs-naive three-bar comparison panel and risk-trend charts</w:t>
            </w:r>
          </w:p>
        </w:tc>
        <w:tc>
          <w:tcPr>
            <w:tcW w:type="dxa" w:w="1950"/>
            <w:tcMar>
              <w:top w:type="dxa" w:w="50"/>
              <w:left w:type="dxa" w:w="90"/>
              <w:bottom w:type="dxa" w:w="50"/>
              <w:right w:type="dxa" w:w="90"/>
            </w:tcMar>
          </w:tcPr>
          <w:p>
            <w:r>
              <w:rPr>
                <w:sz w:val="19"/>
                <w:szCs w:val="19"/>
              </w:rPr>
              <w:t xml:space="preserve">npm install recharts</w:t>
            </w:r>
          </w:p>
        </w:tc>
        <w:tc>
          <w:tcPr>
            <w:tcW w:type="dxa" w:w="2200"/>
            <w:tcMar>
              <w:top w:type="dxa" w:w="50"/>
              <w:left w:type="dxa" w:w="90"/>
              <w:bottom w:type="dxa" w:w="50"/>
              <w:right w:type="dxa" w:w="90"/>
            </w:tcMar>
          </w:tcPr>
          <w:p>
            <w:r>
              <w:rPr>
                <w:sz w:val="19"/>
                <w:szCs w:val="19"/>
              </w:rPr>
              <w:t xml:space="preserve">Recharts' own bar-chart example is enough</w:t>
            </w:r>
          </w:p>
        </w:tc>
      </w:tr>
      <w:tr>
        <w:tc>
          <w:tcPr>
            <w:tcW w:type="dxa" w:w="1750"/>
            <w:tcMar>
              <w:top w:type="dxa" w:w="50"/>
              <w:left w:type="dxa" w:w="90"/>
              <w:bottom w:type="dxa" w:w="50"/>
              <w:right w:type="dxa" w:w="90"/>
            </w:tcMar>
          </w:tcPr>
          <w:p>
            <w:r>
              <w:rPr>
                <w:sz w:val="19"/>
                <w:szCs w:val="19"/>
              </w:rPr>
              <w:t xml:space="preserve">Framer Motion, Lucide React</w:t>
            </w:r>
          </w:p>
        </w:tc>
        <w:tc>
          <w:tcPr>
            <w:tcW w:type="dxa" w:w="3450"/>
            <w:tcMar>
              <w:top w:type="dxa" w:w="50"/>
              <w:left w:type="dxa" w:w="90"/>
              <w:bottom w:type="dxa" w:w="50"/>
              <w:right w:type="dxa" w:w="90"/>
            </w:tcMar>
          </w:tcPr>
          <w:p>
            <w:r>
              <w:rPr>
                <w:sz w:val="19"/>
                <w:szCs w:val="19"/>
              </w:rPr>
              <w:t xml:space="preserve">Existing animation and icon polish, already in use</w:t>
            </w:r>
          </w:p>
        </w:tc>
        <w:tc>
          <w:tcPr>
            <w:tcW w:type="dxa" w:w="1950"/>
            <w:tcMar>
              <w:top w:type="dxa" w:w="50"/>
              <w:left w:type="dxa" w:w="90"/>
              <w:bottom w:type="dxa" w:w="50"/>
              <w:right w:type="dxa" w:w="90"/>
            </w:tcMar>
          </w:tcPr>
          <w:p>
            <w:r>
              <w:rPr>
                <w:sz w:val="19"/>
                <w:szCs w:val="19"/>
              </w:rPr>
              <w:t xml:space="preserve">Already installed</w:t>
            </w:r>
          </w:p>
        </w:tc>
        <w:tc>
          <w:tcPr>
            <w:tcW w:type="dxa" w:w="2200"/>
            <w:tcMar>
              <w:top w:type="dxa" w:w="50"/>
              <w:left w:type="dxa" w:w="90"/>
              <w:bottom w:type="dxa" w:w="50"/>
              <w:right w:type="dxa" w:w="90"/>
            </w:tcMar>
          </w:tcPr>
          <w:p>
            <w:r>
              <w:rPr>
                <w:sz w:val="19"/>
                <w:szCs w:val="19"/>
              </w:rPr>
              <w:t xml:space="preserve">—</w:t>
            </w:r>
          </w:p>
        </w:tc>
      </w:tr>
    </w:tbl>
    <w:p>
      <w:pPr>
        <w:pStyle w:val="Heading2"/>
        <w:spacing w:after="140" w:before="260"/>
      </w:pPr>
      <w:r>
        <w:t xml:space="preserve">Step-by-Step Procedure</w:t>
      </w:r>
    </w:p>
    <w:p>
      <w:pPr>
        <w:pStyle w:val="ListParagraph"/>
        <w:numPr>
          <w:ilvl w:val="0"/>
          <w:numId w:val="11"/>
        </w:numPr>
        <w:spacing w:after="110"/>
      </w:pPr>
      <w:r>
        <w:t xml:space="preserve">For each existing mock-data function (getGraphData, getFindings, getComplianceScore, getRemediationQueue, etc.), swap its implementation to call the matching Phase 7 FastAPI endpoint via fetch(), behind a single env-flag toggle (VITE_USE_MOCK_DATA=true/false) so the change is reviewable and reversible one page at a time.</w:t>
      </w:r>
    </w:p>
    <w:p>
      <w:pPr>
        <w:pStyle w:val="ListParagraph"/>
        <w:numPr>
          <w:ilvl w:val="0"/>
          <w:numId w:val="11"/>
        </w:numPr>
        <w:spacing w:after="110"/>
      </w:pPr>
      <w:r>
        <w:t xml:space="preserve">Migrate the Overview and Findings pages first (simplest data shapes), then the DPDP Compliance page (needs Phase 4's Rego results), then the Remediation Kanban (needs Phase 7's queue) — leaving the Attack Graph page for its own dedicated step below.</w:t>
      </w:r>
    </w:p>
    <w:p>
      <w:pPr>
        <w:pStyle w:val="ListParagraph"/>
        <w:numPr>
          <w:ilvl w:val="0"/>
          <w:numId w:val="11"/>
        </w:numPr>
        <w:spacing w:after="110"/>
      </w:pPr>
      <w:r>
        <w:t xml:space="preserve">Replace AttackGraphPage's hand-positioned SVG with react-cytoscapejs, feeding it real node/edge data shaped per graph/schema.md. Pick a force-directed layout (cose-bilkent or fcose) and tune clustering and zoom-to-fit for a real-scale graph, which will have far more nodes than the two hardcoded demo scenarios ever did.</w:t>
      </w:r>
    </w:p>
    <w:p>
      <w:pPr>
        <w:pStyle w:val="ListParagraph"/>
        <w:numPr>
          <w:ilvl w:val="0"/>
          <w:numId w:val="11"/>
        </w:numPr>
        <w:spacing w:after="110"/>
      </w:pPr>
      <w:r>
        <w:t xml:space="preserve">Design node-label truncation and a click-to-expand detail panel, since real resource names and ARNs are longer than demo placeholders.</w:t>
      </w:r>
    </w:p>
    <w:p>
      <w:pPr>
        <w:pStyle w:val="ListParagraph"/>
        <w:numPr>
          <w:ilvl w:val="0"/>
          <w:numId w:val="11"/>
        </w:numPr>
        <w:spacing w:after="110"/>
      </w:pPr>
      <w:r>
        <w:t xml:space="preserve">Explicitly design and build empty states (zero findings, mid-ingestion, no approval-queue items) and loading states (skeleton loaders during fetch()) for every page — a blank white panel reads as ‘broken’ to a judge, not ‘all clear,’ so this is graded UX work, not an afterthought.</w:t>
      </w:r>
    </w:p>
    <w:p>
      <w:pPr>
        <w:pStyle w:val="ListParagraph"/>
        <w:numPr>
          <w:ilvl w:val="0"/>
          <w:numId w:val="11"/>
        </w:numPr>
        <w:spacing w:after="110"/>
      </w:pPr>
      <w:r>
        <w:t xml:space="preserve">Build the new Privacy Receipt Viewer panel: a per-finding drill-down rendering the projected fields, tier used, and scrub/leak-check result, with a clearly visible ‘left this machine: yes/no’ indicator that is false for every finding unless T2 fired. This is the single highest-value addition for the compliance persona and the least expensive to build, since it is a direct rendering of data the airlock already logs.</w:t>
      </w:r>
    </w:p>
    <w:p>
      <w:pPr>
        <w:pStyle w:val="ListParagraph"/>
        <w:numPr>
          <w:ilvl w:val="0"/>
          <w:numId w:val="11"/>
        </w:numPr>
        <w:spacing w:after="110"/>
      </w:pPr>
      <w:r>
        <w:t xml:space="preserve">Update the Budget-Allocation panel to show three bars (naive, Stackelberg-baseline, interdiction MILP) sourced from Phase 3's comparison notebook output.</w:t>
      </w:r>
    </w:p>
    <w:p>
      <w:pPr>
        <w:pStyle w:val="ListParagraph"/>
        <w:numPr>
          <w:ilvl w:val="0"/>
          <w:numId w:val="11"/>
        </w:numPr>
        <w:spacing w:after="110"/>
      </w:pPr>
      <w:r>
        <w:t xml:space="preserve">If attempting the Ask-ARGUS chat panel (stretch), wire it to a real RAG-grounded call and design explicitly for graceful degradation: if retrieval context does not contain a good answer, the chat must say so rather than fabricate a DPDP rule citation.</w:t>
      </w:r>
    </w:p>
    <w:p>
      <w:pPr>
        <w:pStyle w:val="ListParagraph"/>
        <w:numPr>
          <w:ilvl w:val="0"/>
          <w:numId w:val="11"/>
        </w:numPr>
        <w:spacing w:after="110"/>
      </w:pPr>
      <w:r>
        <w:t xml:space="preserve">Run the existing Puppeteer screenshot script against the now-real dashboard to capture clean, consistent screenshots for the report and poster.</w:t>
      </w:r>
    </w:p>
    <w:p>
      <w:pPr>
        <w:pStyle w:val="ListParagraph"/>
        <w:numPr>
          <w:ilvl w:val="0"/>
          <w:numId w:val="11"/>
        </w:numPr>
        <w:spacing w:after="110"/>
      </w:pPr>
      <w:r>
        <w:t xml:space="preserve">Commit the migrated dashboard and open a PR reviewed by at least one backend-track member, since this is the phase most likely to surface a response-shape mismatch.</w:t>
      </w:r>
    </w:p>
    <w:p>
      <w:pPr>
        <w:pStyle w:val="Heading2"/>
        <w:spacing w:after="140" w:before="260"/>
      </w:pPr>
      <w:r>
        <w:t xml:space="preserve">Integration Checkpoint</w:t>
      </w:r>
    </w:p>
    <w:p>
      <w:pPr>
        <w:spacing w:after="150"/>
      </w:pPr>
      <w:r>
        <w:t xml:space="preserve">Once this phase is done, VITE_USE_MOCK_DATA=false in the deployed .env is the actual demo configuration. Confirm this explicitly before Phase 9 — it is an easy thing to leave flipped the wrong way on demo day.</w:t>
      </w:r>
    </w:p>
    <w:p>
      <w:pPr>
        <w:pStyle w:val="Heading2"/>
        <w:spacing w:after="140" w:before="260"/>
      </w:pPr>
      <w:r>
        <w:t xml:space="preserve">Phase Checklist (Definition of Done — tick before moving on)</w:t>
      </w:r>
    </w:p>
    <w:p>
      <w:pPr>
        <w:spacing w:after="90"/>
        <w:ind w:left="300"/>
      </w:pPr>
      <w:r>
        <w:t xml:space="preserve">☐   </w:t>
      </w:r>
      <w:r>
        <w:t xml:space="preserve">Every dashboard page reads from Phase 7's real endpoints behind a reviewable toggle</w:t>
      </w:r>
    </w:p>
    <w:p>
      <w:pPr>
        <w:spacing w:after="90"/>
        <w:ind w:left="300"/>
      </w:pPr>
      <w:r>
        <w:t xml:space="preserve">☐   </w:t>
      </w:r>
      <w:r>
        <w:t xml:space="preserve">Attack Graph page migrated to Cytoscape.js with a real force-directed layout</w:t>
      </w:r>
    </w:p>
    <w:p>
      <w:pPr>
        <w:spacing w:after="90"/>
        <w:ind w:left="300"/>
      </w:pPr>
      <w:r>
        <w:t xml:space="preserve">☐   </w:t>
      </w:r>
      <w:r>
        <w:t xml:space="preserve">Empty and loading states designed and demoed for every page</w:t>
      </w:r>
    </w:p>
    <w:p>
      <w:pPr>
        <w:spacing w:after="90"/>
        <w:ind w:left="300"/>
      </w:pPr>
      <w:r>
        <w:t xml:space="preserve">☐   </w:t>
      </w:r>
      <w:r>
        <w:t xml:space="preserve">Privacy Receipt Viewer built and showing real per-finding data</w:t>
      </w:r>
    </w:p>
    <w:p>
      <w:pPr>
        <w:spacing w:after="90"/>
        <w:ind w:left="300"/>
      </w:pPr>
      <w:r>
        <w:t xml:space="preserve">☐   </w:t>
      </w:r>
      <w:r>
        <w:t xml:space="preserve">Three-bar budget-allocation panel wired to Phase 3's real comparison data</w:t>
      </w:r>
    </w:p>
    <w:p>
      <w:pPr>
        <w:spacing w:after="90"/>
        <w:ind w:left="300"/>
      </w:pPr>
      <w:r>
        <w:t xml:space="preserve">☐   </w:t>
      </w:r>
      <w:r>
        <w:t xml:space="preserve">Ask-ARGUS chat (if attempted) fails gracefully rather than fabricating an answer</w:t>
      </w:r>
    </w:p>
    <w:p>
      <w:pPr>
        <w:spacing w:after="90"/>
        <w:ind w:left="300"/>
      </w:pPr>
      <w:r>
        <w:t xml:space="preserve">☐   </w:t>
      </w:r>
      <w:r>
        <w:t xml:space="preserve">Screenshots captured via the Puppeteer script for report and poster use</w:t>
      </w:r>
    </w:p>
    <w:p>
      <w:r>
        <w:br w:type="page"/>
      </w:r>
    </w:p>
    <w:p>
      <w:pPr>
        <w:pStyle w:val="Heading1"/>
        <w:spacing w:after="200" w:before="420"/>
      </w:pPr>
      <w:r>
        <w:t xml:space="preserve">Phase 9: End-to-End System Integration &amp; Testing</w:t>
      </w:r>
    </w:p>
    <w:p>
      <w:pPr>
        <w:spacing w:after="80"/>
      </w:pPr>
      <w:r>
        <w:rPr>
          <w:b/>
          <w:bCs/>
        </w:rPr>
        <w:t xml:space="preserve">Weeks:  </w:t>
      </w:r>
      <w:r>
        <w:t xml:space="preserve">Week 16</w:t>
      </w:r>
    </w:p>
    <w:p>
      <w:pPr>
        <w:spacing w:after="80"/>
      </w:pPr>
      <w:r>
        <w:rPr>
          <w:b/>
          <w:bCs/>
        </w:rPr>
        <w:t xml:space="preserve">Owner:  </w:t>
      </w:r>
      <w:r>
        <w:t xml:space="preserve">Whole team</w:t>
      </w:r>
    </w:p>
    <w:p>
      <w:pPr>
        <w:spacing w:after="80"/>
      </w:pPr>
      <w:r>
        <w:rPr>
          <w:b/>
          <w:bCs/>
        </w:rPr>
        <w:t xml:space="preserve">Depends On:  </w:t>
      </w:r>
      <w:r>
        <w:t xml:space="preserve">Phases 2–8 all functionally complete.</w:t>
      </w:r>
    </w:p>
    <w:p>
      <w:pPr>
        <w:pStyle w:val="Heading2"/>
        <w:spacing w:after="140" w:before="260"/>
      </w:pPr>
      <w:r>
        <w:t xml:space="preserve">Objective / Deliverable</w:t>
      </w:r>
    </w:p>
    <w:p>
      <w:pPr>
        <w:spacing w:after="150"/>
      </w:pPr>
      <w:r>
        <w:t xml:space="preserve">The full loop — ingestion, risk scoring, prioritization, tiered remediation, verification gate, auto-apply or queue, dashboard — runs against the live CloudGoat account without manual intervention, end to end, at least three times, reproducibly.</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Everything from Phases 1–8, run together for the first time</w:t>
            </w:r>
          </w:p>
        </w:tc>
        <w:tc>
          <w:tcPr>
            <w:tcW w:type="dxa" w:w="3450"/>
            <w:tcMar>
              <w:top w:type="dxa" w:w="50"/>
              <w:left w:type="dxa" w:w="90"/>
              <w:bottom w:type="dxa" w:w="50"/>
              <w:right w:type="dxa" w:w="90"/>
            </w:tcMar>
          </w:tcPr>
          <w:p>
            <w:r>
              <w:rPr>
                <w:sz w:val="19"/>
                <w:szCs w:val="19"/>
              </w:rPr>
              <w:t xml:space="preserve">This phase is about process, not new libraries</w:t>
            </w:r>
          </w:p>
        </w:tc>
        <w:tc>
          <w:tcPr>
            <w:tcW w:type="dxa" w:w="1950"/>
            <w:tcMar>
              <w:top w:type="dxa" w:w="50"/>
              <w:left w:type="dxa" w:w="90"/>
              <w:bottom w:type="dxa" w:w="50"/>
              <w:right w:type="dxa" w:w="90"/>
            </w:tcMar>
          </w:tcPr>
          <w:p>
            <w:r>
              <w:rPr>
                <w:sz w:val="19"/>
                <w:szCs w:val="19"/>
              </w:rPr>
              <w:t xml:space="preserve">—</w:t>
            </w:r>
          </w:p>
        </w:tc>
        <w:tc>
          <w:tcPr>
            <w:tcW w:type="dxa" w:w="22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docker compose up (from Phase 0's skeleton)</w:t>
            </w:r>
          </w:p>
        </w:tc>
        <w:tc>
          <w:tcPr>
            <w:tcW w:type="dxa" w:w="3450"/>
            <w:tcMar>
              <w:top w:type="dxa" w:w="50"/>
              <w:left w:type="dxa" w:w="90"/>
              <w:bottom w:type="dxa" w:w="50"/>
              <w:right w:type="dxa" w:w="90"/>
            </w:tcMar>
          </w:tcPr>
          <w:p>
            <w:r>
              <w:rPr>
                <w:sz w:val="19"/>
                <w:szCs w:val="19"/>
              </w:rPr>
              <w:t xml:space="preserve">The whole point of setting this up on Day 1 was so this exact moment does not require anyone to remember seven separate install commands</w:t>
            </w:r>
          </w:p>
        </w:tc>
        <w:tc>
          <w:tcPr>
            <w:tcW w:type="dxa" w:w="1950"/>
            <w:tcMar>
              <w:top w:type="dxa" w:w="50"/>
              <w:left w:type="dxa" w:w="90"/>
              <w:bottom w:type="dxa" w:w="50"/>
              <w:right w:type="dxa" w:w="90"/>
            </w:tcMar>
          </w:tcPr>
          <w:p>
            <w:r>
              <w:rPr>
                <w:sz w:val="19"/>
                <w:szCs w:val="19"/>
              </w:rPr>
              <w:t xml:space="preserve">Already in the repo</w:t>
            </w:r>
          </w:p>
        </w:tc>
        <w:tc>
          <w:tcPr>
            <w:tcW w:type="dxa" w:w="22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GitHub Issues / the Kanban board</w:t>
            </w:r>
          </w:p>
        </w:tc>
        <w:tc>
          <w:tcPr>
            <w:tcW w:type="dxa" w:w="3450"/>
            <w:tcMar>
              <w:top w:type="dxa" w:w="50"/>
              <w:left w:type="dxa" w:w="90"/>
              <w:bottom w:type="dxa" w:w="50"/>
              <w:right w:type="dxa" w:w="90"/>
            </w:tcMar>
          </w:tcPr>
          <w:p>
            <w:r>
              <w:rPr>
                <w:sz w:val="19"/>
                <w:szCs w:val="19"/>
              </w:rPr>
              <w:t xml:space="preserve">Every integration bug found here gets logged immediately, not fixed silently and forgotten — some are worth reporting as Honest Limitations in the paper</w:t>
            </w:r>
          </w:p>
        </w:tc>
        <w:tc>
          <w:tcPr>
            <w:tcW w:type="dxa" w:w="1950"/>
            <w:tcMar>
              <w:top w:type="dxa" w:w="50"/>
              <w:left w:type="dxa" w:w="90"/>
              <w:bottom w:type="dxa" w:w="50"/>
              <w:right w:type="dxa" w:w="90"/>
            </w:tcMar>
          </w:tcPr>
          <w:p>
            <w:r>
              <w:rPr>
                <w:sz w:val="19"/>
                <w:szCs w:val="19"/>
              </w:rPr>
              <w:t xml:space="preserve">Already set up in Phase 0</w:t>
            </w:r>
          </w:p>
        </w:tc>
        <w:tc>
          <w:tcPr>
            <w:tcW w:type="dxa" w:w="2200"/>
            <w:tcMar>
              <w:top w:type="dxa" w:w="50"/>
              <w:left w:type="dxa" w:w="90"/>
              <w:bottom w:type="dxa" w:w="50"/>
              <w:right w:type="dxa" w:w="90"/>
            </w:tcMar>
          </w:tcPr>
          <w:p>
            <w:r>
              <w:rPr>
                <w:sz w:val="19"/>
                <w:szCs w:val="19"/>
              </w:rPr>
              <w:t xml:space="preserve">—</w:t>
            </w:r>
          </w:p>
        </w:tc>
      </w:tr>
    </w:tbl>
    <w:p>
      <w:pPr>
        <w:pStyle w:val="Heading2"/>
        <w:spacing w:after="140" w:before="260"/>
      </w:pPr>
      <w:r>
        <w:t xml:space="preserve">Step-by-Step Procedure</w:t>
      </w:r>
    </w:p>
    <w:p>
      <w:pPr>
        <w:pStyle w:val="ListParagraph"/>
        <w:numPr>
          <w:ilvl w:val="0"/>
          <w:numId w:val="12"/>
        </w:numPr>
        <w:spacing w:after="110"/>
      </w:pPr>
      <w:r>
        <w:t xml:space="preserve">On a clean machine (or a fresh clone into a new folder), run docker compose up and confirm every service starts without manual patching — this is the real test of whether Phase 0's contracts held.</w:t>
      </w:r>
    </w:p>
    <w:p>
      <w:pPr>
        <w:pStyle w:val="ListParagraph"/>
        <w:numPr>
          <w:ilvl w:val="0"/>
          <w:numId w:val="12"/>
        </w:numPr>
        <w:spacing w:after="110"/>
      </w:pPr>
      <w:r>
        <w:t xml:space="preserve">Re-ingest the CloudGoat account from scratch (a fresh Cartography run), confirm the graph populates, and run the entire pipeline against it live, from the dashboard, without touching a terminal.</w:t>
      </w:r>
    </w:p>
    <w:p>
      <w:pPr>
        <w:pStyle w:val="ListParagraph"/>
        <w:numPr>
          <w:ilvl w:val="0"/>
          <w:numId w:val="12"/>
        </w:numPr>
        <w:spacing w:after="110"/>
      </w:pPr>
      <w:r>
        <w:t xml:space="preserve">Deliberately trigger each tier at least once: confirm at least one finding resolves via T0 (template), at least one via T1 (local model), and — if T2 is enabled for the test — confirm the opt-in flag genuinely gates it.</w:t>
      </w:r>
    </w:p>
    <w:p>
      <w:pPr>
        <w:pStyle w:val="ListParagraph"/>
        <w:numPr>
          <w:ilvl w:val="0"/>
          <w:numId w:val="12"/>
        </w:numPr>
        <w:spacing w:after="110"/>
      </w:pPr>
      <w:r>
        <w:t xml:space="preserve">Deliberately trigger at least one gate rejection (a finding you know the verifier should reject) and confirm it correctly lands in the human approval queue with a privacy receipt attached, not silently dropped.</w:t>
      </w:r>
    </w:p>
    <w:p>
      <w:pPr>
        <w:pStyle w:val="ListParagraph"/>
        <w:numPr>
          <w:ilvl w:val="0"/>
          <w:numId w:val="12"/>
        </w:numPr>
        <w:spacing w:after="110"/>
      </w:pPr>
      <w:r>
        <w:t xml:space="preserve">Deliberately push the generic-pass / DPDP-fail test case from Phase 4 through the full assembled pipeline (not just the isolated Rego test) to confirm the integration did not lose that behavior.</w:t>
      </w:r>
    </w:p>
    <w:p>
      <w:pPr>
        <w:pStyle w:val="ListParagraph"/>
        <w:numPr>
          <w:ilvl w:val="0"/>
          <w:numId w:val="12"/>
        </w:numPr>
        <w:spacing w:after="110"/>
      </w:pPr>
      <w:r>
        <w:t xml:space="preserve">Re-run the canary and injection tests from Phase 4 against the fully assembled pipeline, not just the isolated airlock module, to confirm no regression was introduced during Phase 7's wiring.</w:t>
      </w:r>
    </w:p>
    <w:p>
      <w:pPr>
        <w:pStyle w:val="ListParagraph"/>
        <w:numPr>
          <w:ilvl w:val="0"/>
          <w:numId w:val="12"/>
        </w:numPr>
        <w:spacing w:after="110"/>
      </w:pPr>
      <w:r>
        <w:t xml:space="preserve">Time the full loop end to end and note the number — it is useful for the demo script (‘here is a live run, it takes about N seconds’).</w:t>
      </w:r>
    </w:p>
    <w:p>
      <w:pPr>
        <w:pStyle w:val="ListParagraph"/>
        <w:numPr>
          <w:ilvl w:val="0"/>
          <w:numId w:val="12"/>
        </w:numPr>
        <w:spacing w:after="110"/>
      </w:pPr>
      <w:r>
        <w:t xml:space="preserve">Log every bug found as a GitHub Issue, triage severity together, and fix demo-blocking ones before Phase 10 begins. Note anything left unfixed as a stated limitation rather than hiding it.</w:t>
      </w:r>
    </w:p>
    <w:p>
      <w:pPr>
        <w:pStyle w:val="ListParagraph"/>
        <w:numPr>
          <w:ilvl w:val="0"/>
          <w:numId w:val="12"/>
        </w:numPr>
        <w:spacing w:after="110"/>
      </w:pPr>
      <w:r>
        <w:t xml:space="preserve">Repeat the full end-to-end run at least twice more on different days, ideally by different team members, to confirm reproducibility — a system that only worked once, for the person who built it, is not actually integrated yet.</w:t>
      </w:r>
    </w:p>
    <w:p>
      <w:pPr>
        <w:pStyle w:val="Heading2"/>
        <w:spacing w:after="140" w:before="260"/>
      </w:pPr>
      <w:r>
        <w:t xml:space="preserve">Integration Checkpoint</w:t>
      </w:r>
    </w:p>
    <w:p>
      <w:pPr>
        <w:spacing w:after="150"/>
      </w:pPr>
      <w:r>
        <w:t xml:space="preserve">This phase produces no new interface — its output is a confirmed, reproducible ‘green’ system state, which is the prerequisite for Phase 10's evaluation numbers to mean anything.</w:t>
      </w:r>
    </w:p>
    <w:p>
      <w:pPr>
        <w:pStyle w:val="Heading2"/>
        <w:spacing w:after="140" w:before="260"/>
      </w:pPr>
      <w:r>
        <w:t xml:space="preserve">Phase Checklist (Definition of Done — tick before moving on)</w:t>
      </w:r>
    </w:p>
    <w:p>
      <w:pPr>
        <w:spacing w:after="90"/>
        <w:ind w:left="300"/>
      </w:pPr>
      <w:r>
        <w:t xml:space="preserve">☐   </w:t>
      </w:r>
      <w:r>
        <w:t xml:space="preserve">Clean-machine docker compose up succeeds without manual patching</w:t>
      </w:r>
    </w:p>
    <w:p>
      <w:pPr>
        <w:spacing w:after="90"/>
        <w:ind w:left="300"/>
      </w:pPr>
      <w:r>
        <w:t xml:space="preserve">☐   </w:t>
      </w:r>
      <w:r>
        <w:t xml:space="preserve">Full pipeline runs end to end from the dashboard, live, at least three times, on different days</w:t>
      </w:r>
    </w:p>
    <w:p>
      <w:pPr>
        <w:spacing w:after="90"/>
        <w:ind w:left="300"/>
      </w:pPr>
      <w:r>
        <w:t xml:space="preserve">☐   </w:t>
      </w:r>
      <w:r>
        <w:t xml:space="preserve">All four tiers (T0, T1, T2-if-enabled, T3) each triggered and confirmed working at least once</w:t>
      </w:r>
    </w:p>
    <w:p>
      <w:pPr>
        <w:spacing w:after="90"/>
        <w:ind w:left="300"/>
      </w:pPr>
      <w:r>
        <w:t xml:space="preserve">☐   </w:t>
      </w:r>
      <w:r>
        <w:t xml:space="preserve">Generic-pass / DPDP-fail case confirmed through the full integrated pipeline</w:t>
      </w:r>
    </w:p>
    <w:p>
      <w:pPr>
        <w:spacing w:after="90"/>
        <w:ind w:left="300"/>
      </w:pPr>
      <w:r>
        <w:t xml:space="preserve">☐   </w:t>
      </w:r>
      <w:r>
        <w:t xml:space="preserve">Canary and injection tests re-run against the assembled system with zero regressions</w:t>
      </w:r>
    </w:p>
    <w:p>
      <w:pPr>
        <w:spacing w:after="90"/>
        <w:ind w:left="300"/>
      </w:pPr>
      <w:r>
        <w:t xml:space="preserve">☐   </w:t>
      </w:r>
      <w:r>
        <w:t xml:space="preserve">All found bugs logged; demo-blocking ones fixed; the remainder documented as limitations</w:t>
      </w:r>
    </w:p>
    <w:p>
      <w:r>
        <w:br w:type="page"/>
      </w:r>
    </w:p>
    <w:p>
      <w:pPr>
        <w:pStyle w:val="Heading1"/>
        <w:spacing w:after="200" w:before="420"/>
      </w:pPr>
      <w:r>
        <w:t xml:space="preserve">Phase 10: Evaluation &amp; Metrics Collection</w:t>
      </w:r>
    </w:p>
    <w:p>
      <w:pPr>
        <w:spacing w:after="80"/>
      </w:pPr>
      <w:r>
        <w:rPr>
          <w:b/>
          <w:bCs/>
        </w:rPr>
        <w:t xml:space="preserve">Weeks:  </w:t>
      </w:r>
      <w:r>
        <w:t xml:space="preserve">Weeks 16–17</w:t>
      </w:r>
    </w:p>
    <w:p>
      <w:pPr>
        <w:spacing w:after="80"/>
      </w:pPr>
      <w:r>
        <w:rPr>
          <w:b/>
          <w:bCs/>
        </w:rPr>
        <w:t xml:space="preserve">Owner:  </w:t>
      </w:r>
      <w:r>
        <w:t xml:space="preserve">Role D drives; every track reports its own metrics</w:t>
      </w:r>
    </w:p>
    <w:p>
      <w:pPr>
        <w:spacing w:after="80"/>
      </w:pPr>
      <w:r>
        <w:rPr>
          <w:b/>
          <w:bCs/>
        </w:rPr>
        <w:t xml:space="preserve">Depends On:  </w:t>
      </w:r>
      <w:r>
        <w:t xml:space="preserve">Phase 9 (a stable, reproducible system to measure).</w:t>
      </w:r>
    </w:p>
    <w:p>
      <w:pPr>
        <w:pStyle w:val="Heading2"/>
        <w:spacing w:after="140" w:before="260"/>
      </w:pPr>
      <w:r>
        <w:t xml:space="preserve">Objective / Deliverable</w:t>
      </w:r>
    </w:p>
    <w:p>
      <w:pPr>
        <w:spacing w:after="150"/>
      </w:pPr>
      <w:r>
        <w:t xml:space="preserve">Every metric named in the ARGUS v3 evaluation plan is computed and written up with real numbers from your own CloudGoat testbed — not estimated, not invented.</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Jupyter / spreadsheet</w:t>
            </w:r>
          </w:p>
        </w:tc>
        <w:tc>
          <w:tcPr>
            <w:tcW w:type="dxa" w:w="3450"/>
            <w:tcMar>
              <w:top w:type="dxa" w:w="50"/>
              <w:left w:type="dxa" w:w="90"/>
              <w:bottom w:type="dxa" w:w="50"/>
              <w:right w:type="dxa" w:w="90"/>
            </w:tcMar>
          </w:tcPr>
          <w:p>
            <w:r>
              <w:rPr>
                <w:sz w:val="19"/>
                <w:szCs w:val="19"/>
              </w:rPr>
              <w:t xml:space="preserve">Metric computation, the reliability diagram, canary-test tally, and similar — already installed since Phase 2/6</w:t>
            </w:r>
          </w:p>
        </w:tc>
        <w:tc>
          <w:tcPr>
            <w:tcW w:type="dxa" w:w="1950"/>
            <w:tcMar>
              <w:top w:type="dxa" w:w="50"/>
              <w:left w:type="dxa" w:w="90"/>
              <w:bottom w:type="dxa" w:w="50"/>
              <w:right w:type="dxa" w:w="90"/>
            </w:tcMar>
          </w:tcPr>
          <w:p>
            <w:r>
              <w:rPr>
                <w:sz w:val="19"/>
                <w:szCs w:val="19"/>
              </w:rPr>
              <w:t xml:space="preserve">—</w:t>
            </w:r>
          </w:p>
        </w:tc>
        <w:tc>
          <w:tcPr>
            <w:tcW w:type="dxa" w:w="22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Google Forms</w:t>
            </w:r>
          </w:p>
        </w:tc>
        <w:tc>
          <w:tcPr>
            <w:tcW w:type="dxa" w:w="3450"/>
            <w:tcMar>
              <w:top w:type="dxa" w:w="50"/>
              <w:left w:type="dxa" w:w="90"/>
              <w:bottom w:type="dxa" w:w="50"/>
              <w:right w:type="dxa" w:w="90"/>
            </w:tcMar>
          </w:tcPr>
          <w:p>
            <w:r>
              <w:rPr>
                <w:sz w:val="19"/>
                <w:szCs w:val="19"/>
              </w:rPr>
              <w:t xml:space="preserve">Distributing the System Usability Scale (SUS) questionnaire to mentors and outside testers after a hands-on demo session</w:t>
            </w:r>
          </w:p>
        </w:tc>
        <w:tc>
          <w:tcPr>
            <w:tcW w:type="dxa" w:w="1950"/>
            <w:tcMar>
              <w:top w:type="dxa" w:w="50"/>
              <w:left w:type="dxa" w:w="90"/>
              <w:bottom w:type="dxa" w:w="50"/>
              <w:right w:type="dxa" w:w="90"/>
            </w:tcMar>
          </w:tcPr>
          <w:p>
            <w:r>
              <w:rPr>
                <w:sz w:val="19"/>
                <w:szCs w:val="19"/>
              </w:rPr>
              <w:t xml:space="preserve">forms.google.com</w:t>
            </w:r>
          </w:p>
        </w:tc>
        <w:tc>
          <w:tcPr>
            <w:tcW w:type="dxa" w:w="2200"/>
            <w:tcMar>
              <w:top w:type="dxa" w:w="50"/>
              <w:left w:type="dxa" w:w="90"/>
              <w:bottom w:type="dxa" w:w="50"/>
              <w:right w:type="dxa" w:w="90"/>
            </w:tcMar>
          </w:tcPr>
          <w:p>
            <w:r>
              <w:rPr>
                <w:sz w:val="19"/>
                <w:szCs w:val="19"/>
              </w:rPr>
              <w:t xml:space="preserve">Search for the standard 10-question SUS wording before building the form — SUS is only a valid, comparable score if the exact standard questions are used</w:t>
            </w:r>
          </w:p>
        </w:tc>
      </w:tr>
    </w:tbl>
    <w:p>
      <w:pPr>
        <w:pStyle w:val="Heading2"/>
        <w:spacing w:after="140" w:before="260"/>
      </w:pPr>
      <w:r>
        <w:t xml:space="preserve">Step-by-Step Procedure</w:t>
      </w:r>
    </w:p>
    <w:p>
      <w:pPr>
        <w:pStyle w:val="ListParagraph"/>
        <w:numPr>
          <w:ilvl w:val="0"/>
          <w:numId w:val="13"/>
        </w:numPr>
        <w:spacing w:after="110"/>
      </w:pPr>
      <w:r>
        <w:t xml:space="preserve">Detection and risk-ranking: compute precision and recall against CloudGoat's known ground-truth attack paths.</w:t>
      </w:r>
    </w:p>
    <w:p>
      <w:pPr>
        <w:pStyle w:val="ListParagraph"/>
        <w:numPr>
          <w:ilvl w:val="0"/>
          <w:numId w:val="13"/>
        </w:numPr>
        <w:spacing w:after="110"/>
      </w:pPr>
      <w:r>
        <w:t xml:space="preserve">Prioritization: mean time-to-remediate the true top-k critical paths under budget, for naive, Stackelberg, and interdiction — on the synthetic testbed where the true optimum is knowable.</w:t>
      </w:r>
    </w:p>
    <w:p>
      <w:pPr>
        <w:pStyle w:val="ListParagraph"/>
        <w:numPr>
          <w:ilvl w:val="0"/>
          <w:numId w:val="13"/>
        </w:numPr>
        <w:spacing w:after="110"/>
      </w:pPr>
      <w:r>
        <w:t xml:space="preserve">Remediation-tier ladder: report pass rate and time-to-first-passing-candidate separately for T0 alone, zero-shot base model, SFT model, rejection-sampling model, and GRPO model if built — on the held-out, out-of-template test set from Phase 5, never on training data.</w:t>
      </w:r>
    </w:p>
    <w:p>
      <w:pPr>
        <w:pStyle w:val="ListParagraph"/>
        <w:numPr>
          <w:ilvl w:val="0"/>
          <w:numId w:val="13"/>
        </w:numPr>
        <w:spacing w:after="110"/>
      </w:pPr>
      <w:r>
        <w:t xml:space="preserve">Reward-hacking check: report the training-time vs. evaluation-time pass-rate gap explicitly, as planned in Phase 5.</w:t>
      </w:r>
    </w:p>
    <w:p>
      <w:pPr>
        <w:pStyle w:val="ListParagraph"/>
        <w:numPr>
          <w:ilvl w:val="0"/>
          <w:numId w:val="13"/>
        </w:numPr>
        <w:spacing w:after="110"/>
      </w:pPr>
      <w:r>
        <w:t xml:space="preserve">Confidence calibration: the reliability diagram for M2, and the empirically realized error rate among auto-applied patches at the deployed conformal threshold, compared against the target α.</w:t>
      </w:r>
    </w:p>
    <w:p>
      <w:pPr>
        <w:pStyle w:val="ListParagraph"/>
        <w:numPr>
          <w:ilvl w:val="0"/>
          <w:numId w:val="13"/>
        </w:numPr>
        <w:spacing w:after="110"/>
      </w:pPr>
      <w:r>
        <w:t xml:space="preserve">Privacy evaluation: the canary-test leak count per tier (target zero for T0/T1), the utility cost of privacy (T1's verification pass rate on the full unsanitized record, measured only, never in production, versus the airlock-projected record), and the injection-test attack success rate with quarantine on vs. off.</w:t>
      </w:r>
    </w:p>
    <w:p>
      <w:pPr>
        <w:pStyle w:val="ListParagraph"/>
        <w:numPr>
          <w:ilvl w:val="0"/>
          <w:numId w:val="13"/>
        </w:numPr>
        <w:spacing w:after="110"/>
      </w:pPr>
      <w:r>
        <w:t xml:space="preserve">DPDP scan accuracy: run the DPDP policy library against the deliberately misconfigured account and a clean one, and compare against a manual checklist pass.</w:t>
      </w:r>
    </w:p>
    <w:p>
      <w:pPr>
        <w:pStyle w:val="ListParagraph"/>
        <w:numPr>
          <w:ilvl w:val="0"/>
          <w:numId w:val="13"/>
        </w:numPr>
        <w:spacing w:after="110"/>
      </w:pPr>
      <w:r>
        <w:t xml:space="preserve">Verification gate rejection rate: report this explicitly — a gate that never rejects anything is not actually checking anything.</w:t>
      </w:r>
    </w:p>
    <w:p>
      <w:pPr>
        <w:pStyle w:val="ListParagraph"/>
        <w:numPr>
          <w:ilvl w:val="0"/>
          <w:numId w:val="13"/>
        </w:numPr>
        <w:spacing w:after="110"/>
      </w:pPr>
      <w:r>
        <w:t xml:space="preserve">Usability: run the SUS questionnaire with mentors and outside testers after a hands-on session and compute the standard SUS score.</w:t>
      </w:r>
    </w:p>
    <w:p>
      <w:pPr>
        <w:pStyle w:val="ListParagraph"/>
        <w:numPr>
          <w:ilvl w:val="0"/>
          <w:numId w:val="13"/>
        </w:numPr>
        <w:spacing w:after="110"/>
      </w:pPr>
      <w:r>
        <w:t xml:space="preserve">Assemble every number above into one results spreadsheet or notebook that the paper (Phase 11) draws from directly, with each number traceable to the exact test run that produced it.</w:t>
      </w:r>
    </w:p>
    <w:p>
      <w:pPr>
        <w:pStyle w:val="Heading2"/>
        <w:spacing w:after="140" w:before="260"/>
      </w:pPr>
      <w:r>
        <w:t xml:space="preserve">Integration Checkpoint</w:t>
      </w:r>
    </w:p>
    <w:p>
      <w:pPr>
        <w:spacing w:after="150"/>
      </w:pPr>
      <w:r>
        <w:t xml:space="preserve">This results notebook or spreadsheet is what Phase 11's paper, poster, and PPT all cite from. Freeze it once complete, rather than letting numbers drift between the report and the slides.</w:t>
      </w:r>
    </w:p>
    <w:p>
      <w:pPr>
        <w:pStyle w:val="Heading2"/>
        <w:spacing w:after="140" w:before="260"/>
      </w:pPr>
      <w:r>
        <w:t xml:space="preserve">Phase Checklist (Definition of Done — tick before moving on)</w:t>
      </w:r>
    </w:p>
    <w:p>
      <w:pPr>
        <w:spacing w:after="90"/>
        <w:ind w:left="300"/>
      </w:pPr>
      <w:r>
        <w:t xml:space="preserve">☐   </w:t>
      </w:r>
      <w:r>
        <w:t xml:space="preserve">Detection precision/recall computed</w:t>
      </w:r>
    </w:p>
    <w:p>
      <w:pPr>
        <w:spacing w:after="90"/>
        <w:ind w:left="300"/>
      </w:pPr>
      <w:r>
        <w:t xml:space="preserve">☐   </w:t>
      </w:r>
      <w:r>
        <w:t xml:space="preserve">Prioritization comparison (naive/Stackelberg/interdiction) computed with real numbers</w:t>
      </w:r>
    </w:p>
    <w:p>
      <w:pPr>
        <w:spacing w:after="90"/>
        <w:ind w:left="300"/>
      </w:pPr>
      <w:r>
        <w:t xml:space="preserve">☐   </w:t>
      </w:r>
      <w:r>
        <w:t xml:space="preserve">Full remediation-tier ladder reported on a genuinely held-out test set</w:t>
      </w:r>
    </w:p>
    <w:p>
      <w:pPr>
        <w:spacing w:after="90"/>
        <w:ind w:left="300"/>
      </w:pPr>
      <w:r>
        <w:t xml:space="preserve">☐   </w:t>
      </w:r>
      <w:r>
        <w:t xml:space="preserve">Reward-hacking gap reported</w:t>
      </w:r>
    </w:p>
    <w:p>
      <w:pPr>
        <w:spacing w:after="90"/>
        <w:ind w:left="300"/>
      </w:pPr>
      <w:r>
        <w:t xml:space="preserve">☐   </w:t>
      </w:r>
      <w:r>
        <w:t xml:space="preserve">M2 reliability diagram and realized-vs-target conformal error rate reported</w:t>
      </w:r>
    </w:p>
    <w:p>
      <w:pPr>
        <w:spacing w:after="90"/>
        <w:ind w:left="300"/>
      </w:pPr>
      <w:r>
        <w:t xml:space="preserve">☐   </w:t>
      </w:r>
      <w:r>
        <w:t xml:space="preserve">Canary, utility-cost, and injection privacy metrics all measured</w:t>
      </w:r>
    </w:p>
    <w:p>
      <w:pPr>
        <w:spacing w:after="90"/>
        <w:ind w:left="300"/>
      </w:pPr>
      <w:r>
        <w:t xml:space="preserve">☐   </w:t>
      </w:r>
      <w:r>
        <w:t xml:space="preserve">DPDP scan accuracy measured against a manual checklist</w:t>
      </w:r>
    </w:p>
    <w:p>
      <w:pPr>
        <w:spacing w:after="90"/>
        <w:ind w:left="300"/>
      </w:pPr>
      <w:r>
        <w:t xml:space="preserve">☐   </w:t>
      </w:r>
      <w:r>
        <w:t xml:space="preserve">Verification gate rejection rate reported</w:t>
      </w:r>
    </w:p>
    <w:p>
      <w:pPr>
        <w:spacing w:after="90"/>
        <w:ind w:left="300"/>
      </w:pPr>
      <w:r>
        <w:t xml:space="preserve">☐   </w:t>
      </w:r>
      <w:r>
        <w:t xml:space="preserve">SUS usability score collected and computed</w:t>
      </w:r>
    </w:p>
    <w:p>
      <w:pPr>
        <w:spacing w:after="90"/>
        <w:ind w:left="300"/>
      </w:pPr>
      <w:r>
        <w:t xml:space="preserve">☐   </w:t>
      </w:r>
      <w:r>
        <w:t xml:space="preserve">All numbers consolidated into one frozen results artifact</w:t>
      </w:r>
    </w:p>
    <w:p>
      <w:r>
        <w:br w:type="page"/>
      </w:r>
    </w:p>
    <w:p>
      <w:pPr>
        <w:pStyle w:val="Heading1"/>
        <w:spacing w:after="200" w:before="420"/>
      </w:pPr>
      <w:r>
        <w:t xml:space="preserve">Phase 11: Paper, Poster, PPT &amp; Patent Groundwork</w:t>
      </w:r>
    </w:p>
    <w:p>
      <w:pPr>
        <w:spacing w:after="80"/>
      </w:pPr>
      <w:r>
        <w:rPr>
          <w:b/>
          <w:bCs/>
        </w:rPr>
        <w:t xml:space="preserve">Weeks:  </w:t>
      </w:r>
      <w:r>
        <w:t xml:space="preserve">Weeks 17–18+</w:t>
      </w:r>
    </w:p>
    <w:p>
      <w:pPr>
        <w:spacing w:after="80"/>
      </w:pPr>
      <w:r>
        <w:rPr>
          <w:b/>
          <w:bCs/>
        </w:rPr>
        <w:t xml:space="preserve">Owner:  </w:t>
      </w:r>
      <w:r>
        <w:t xml:space="preserve">Role D drives the paper; the whole team contributes its own section</w:t>
      </w:r>
    </w:p>
    <w:p>
      <w:pPr>
        <w:spacing w:after="80"/>
      </w:pPr>
      <w:r>
        <w:rPr>
          <w:b/>
          <w:bCs/>
        </w:rPr>
        <w:t xml:space="preserve">Depends On:  </w:t>
      </w:r>
      <w:r>
        <w:t xml:space="preserve">Phase 10 (final numbers) and all prior phases (for the architecture and methodology sections).</w:t>
      </w:r>
    </w:p>
    <w:p>
      <w:pPr>
        <w:pStyle w:val="Heading2"/>
        <w:spacing w:after="140" w:before="260"/>
      </w:pPr>
      <w:r>
        <w:t xml:space="preserve">Objective / Deliverable</w:t>
      </w:r>
    </w:p>
    <w:p>
      <w:pPr>
        <w:spacing w:after="150"/>
      </w:pPr>
      <w:r>
        <w:t xml:space="preserve">An IEEE-format manuscript, submission-ready; a poster and PPT covering Problem, Architecture, Math, Results, Honest Limitations, and Novelty; and a documented conversation with the college's IPR cell.</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Overleaf (LaTeX, free)</w:t>
            </w:r>
          </w:p>
        </w:tc>
        <w:tc>
          <w:tcPr>
            <w:tcW w:type="dxa" w:w="3450"/>
            <w:tcMar>
              <w:top w:type="dxa" w:w="50"/>
              <w:left w:type="dxa" w:w="90"/>
              <w:bottom w:type="dxa" w:w="50"/>
              <w:right w:type="dxa" w:w="90"/>
            </w:tcMar>
          </w:tcPr>
          <w:p>
            <w:r>
              <w:rPr>
                <w:sz w:val="19"/>
                <w:szCs w:val="19"/>
              </w:rPr>
              <w:t xml:space="preserve">The standard for IEEE-format papers with proper citation management</w:t>
            </w:r>
          </w:p>
        </w:tc>
        <w:tc>
          <w:tcPr>
            <w:tcW w:type="dxa" w:w="1950"/>
            <w:tcMar>
              <w:top w:type="dxa" w:w="50"/>
              <w:left w:type="dxa" w:w="90"/>
              <w:bottom w:type="dxa" w:w="50"/>
              <w:right w:type="dxa" w:w="90"/>
            </w:tcMar>
          </w:tcPr>
          <w:p>
            <w:r>
              <w:rPr>
                <w:sz w:val="19"/>
                <w:szCs w:val="19"/>
              </w:rPr>
              <w:t xml:space="preserve">overleaf.com</w:t>
            </w:r>
          </w:p>
        </w:tc>
        <w:tc>
          <w:tcPr>
            <w:tcW w:type="dxa" w:w="2200"/>
            <w:tcMar>
              <w:top w:type="dxa" w:w="50"/>
              <w:left w:type="dxa" w:w="90"/>
              <w:bottom w:type="dxa" w:w="50"/>
              <w:right w:type="dxa" w:w="90"/>
            </w:tcMar>
          </w:tcPr>
          <w:p>
            <w:r>
              <w:rPr>
                <w:sz w:val="19"/>
                <w:szCs w:val="19"/>
              </w:rPr>
              <w:t xml:space="preserve">Use the official IEEE conference/journal template already in Overleaf's template gallery, rather than building LaTeX formatting from scratch</w:t>
            </w:r>
          </w:p>
        </w:tc>
      </w:tr>
      <w:tr>
        <w:tc>
          <w:tcPr>
            <w:tcW w:type="dxa" w:w="1750"/>
            <w:tcMar>
              <w:top w:type="dxa" w:w="50"/>
              <w:left w:type="dxa" w:w="90"/>
              <w:bottom w:type="dxa" w:w="50"/>
              <w:right w:type="dxa" w:w="90"/>
            </w:tcMar>
          </w:tcPr>
          <w:p>
            <w:r>
              <w:rPr>
                <w:sz w:val="19"/>
                <w:szCs w:val="19"/>
              </w:rPr>
              <w:t xml:space="preserve">Canva or PowerPoint</w:t>
            </w:r>
          </w:p>
        </w:tc>
        <w:tc>
          <w:tcPr>
            <w:tcW w:type="dxa" w:w="3450"/>
            <w:tcMar>
              <w:top w:type="dxa" w:w="50"/>
              <w:left w:type="dxa" w:w="90"/>
              <w:bottom w:type="dxa" w:w="50"/>
              <w:right w:type="dxa" w:w="90"/>
            </w:tcMar>
          </w:tcPr>
          <w:p>
            <w:r>
              <w:rPr>
                <w:sz w:val="19"/>
                <w:szCs w:val="19"/>
              </w:rPr>
              <w:t xml:space="preserve">Poster and PPT design — scored explicitly on Visual Appeal, Clarity, and Content</w:t>
            </w:r>
          </w:p>
        </w:tc>
        <w:tc>
          <w:tcPr>
            <w:tcW w:type="dxa" w:w="1950"/>
            <w:tcMar>
              <w:top w:type="dxa" w:w="50"/>
              <w:left w:type="dxa" w:w="90"/>
              <w:bottom w:type="dxa" w:w="50"/>
              <w:right w:type="dxa" w:w="90"/>
            </w:tcMar>
          </w:tcPr>
          <w:p>
            <w:r>
              <w:rPr>
                <w:sz w:val="19"/>
                <w:szCs w:val="19"/>
              </w:rPr>
              <w:t xml:space="preserve">canva.com, or your institution's Office license</w:t>
            </w:r>
          </w:p>
        </w:tc>
        <w:tc>
          <w:tcPr>
            <w:tcW w:type="dxa" w:w="2200"/>
            <w:tcMar>
              <w:top w:type="dxa" w:w="50"/>
              <w:left w:type="dxa" w:w="90"/>
              <w:bottom w:type="dxa" w:w="50"/>
              <w:right w:type="dxa" w:w="90"/>
            </w:tcMar>
          </w:tcPr>
          <w:p>
            <w:r>
              <w:rPr>
                <w:sz w:val="19"/>
                <w:szCs w:val="19"/>
              </w:rPr>
              <w:t xml:space="preserve">—</w:t>
            </w:r>
          </w:p>
        </w:tc>
      </w:tr>
      <w:tr>
        <w:tc>
          <w:tcPr>
            <w:tcW w:type="dxa" w:w="1750"/>
            <w:tcMar>
              <w:top w:type="dxa" w:w="50"/>
              <w:left w:type="dxa" w:w="90"/>
              <w:bottom w:type="dxa" w:w="50"/>
              <w:right w:type="dxa" w:w="90"/>
            </w:tcMar>
          </w:tcPr>
          <w:p>
            <w:r>
              <w:rPr>
                <w:sz w:val="19"/>
                <w:szCs w:val="19"/>
              </w:rPr>
              <w:t xml:space="preserve">draw.io / Mermaid</w:t>
            </w:r>
          </w:p>
        </w:tc>
        <w:tc>
          <w:tcPr>
            <w:tcW w:type="dxa" w:w="3450"/>
            <w:tcMar>
              <w:top w:type="dxa" w:w="50"/>
              <w:left w:type="dxa" w:w="90"/>
              <w:bottom w:type="dxa" w:w="50"/>
              <w:right w:type="dxa" w:w="90"/>
            </w:tcMar>
          </w:tcPr>
          <w:p>
            <w:r>
              <w:rPr>
                <w:sz w:val="19"/>
                <w:szCs w:val="19"/>
              </w:rPr>
              <w:t xml:space="preserve">Clean architecture diagrams for the paper and poster, satisfying the graded ‘Flow Chart’ rubric row</w:t>
            </w:r>
          </w:p>
        </w:tc>
        <w:tc>
          <w:tcPr>
            <w:tcW w:type="dxa" w:w="1950"/>
            <w:tcMar>
              <w:top w:type="dxa" w:w="50"/>
              <w:left w:type="dxa" w:w="90"/>
              <w:bottom w:type="dxa" w:w="50"/>
              <w:right w:type="dxa" w:w="90"/>
            </w:tcMar>
          </w:tcPr>
          <w:p>
            <w:r>
              <w:rPr>
                <w:sz w:val="19"/>
                <w:szCs w:val="19"/>
              </w:rPr>
              <w:t xml:space="preserve">app.diagrams.net, mermaid.live</w:t>
            </w:r>
          </w:p>
        </w:tc>
        <w:tc>
          <w:tcPr>
            <w:tcW w:type="dxa" w:w="2200"/>
            <w:tcMar>
              <w:top w:type="dxa" w:w="50"/>
              <w:left w:type="dxa" w:w="90"/>
              <w:bottom w:type="dxa" w:w="50"/>
              <w:right w:type="dxa" w:w="90"/>
            </w:tcMar>
          </w:tcPr>
          <w:p>
            <w:r>
              <w:rPr>
                <w:sz w:val="19"/>
                <w:szCs w:val="19"/>
              </w:rPr>
              <w:t xml:space="preserve">—</w:t>
            </w:r>
          </w:p>
        </w:tc>
      </w:tr>
    </w:tbl>
    <w:p>
      <w:pPr>
        <w:pStyle w:val="Heading2"/>
        <w:spacing w:after="140" w:before="260"/>
      </w:pPr>
      <w:r>
        <w:t xml:space="preserve">Step-by-Step Procedure</w:t>
      </w:r>
    </w:p>
    <w:p>
      <w:pPr>
        <w:pStyle w:val="ListParagraph"/>
        <w:numPr>
          <w:ilvl w:val="0"/>
          <w:numId w:val="14"/>
        </w:numPr>
        <w:spacing w:after="110"/>
      </w:pPr>
      <w:r>
        <w:t xml:space="preserve">Draft the paper directly from this document's sections and the ARGUS v3 design document, into the IEEE Access template (or IEEE CLOUD/TrustCom/a regional student conference as backups) in Overleaf.</w:t>
      </w:r>
    </w:p>
    <w:p>
      <w:pPr>
        <w:pStyle w:val="ListParagraph"/>
        <w:numPr>
          <w:ilvl w:val="0"/>
          <w:numId w:val="14"/>
        </w:numPr>
        <w:spacing w:after="110"/>
      </w:pPr>
      <w:r>
        <w:t xml:space="preserve">Write the Related Work section honestly: cite prior published work on verifier-guided fine-tuning for IaC generation explicitly as validating the SFT-plus-verifier-guided-RL recipe, framing ARGUS's contribution as the application — finding-driven, security-scored, privacy-bounded, DPDP-mapped, conformally-gated — not the training method itself.</w:t>
      </w:r>
    </w:p>
    <w:p>
      <w:pPr>
        <w:pStyle w:val="ListParagraph"/>
        <w:numPr>
          <w:ilvl w:val="0"/>
          <w:numId w:val="14"/>
        </w:numPr>
        <w:spacing w:after="110"/>
      </w:pPr>
      <w:r>
        <w:t xml:space="preserve">Re-verify every cited fact immediately before submission: DPDP Rule text, any external benchmark's exact reported numbers, the conformal-risk-control paper's precise theorem statement, and any LLM-provider terms-of-service language — these can all change or be misremembered between when they were first read and submission day.</w:t>
      </w:r>
    </w:p>
    <w:p>
      <w:pPr>
        <w:pStyle w:val="ListParagraph"/>
        <w:numPr>
          <w:ilvl w:val="0"/>
          <w:numId w:val="14"/>
        </w:numPr>
        <w:spacing w:after="110"/>
      </w:pPr>
      <w:r>
        <w:t xml:space="preserve">Render the architecture diagram (from the Solution Snapshot / Shared Contracts sections of this document) cleanly in draw.io or Mermaid, for both the paper and the poster.</w:t>
      </w:r>
    </w:p>
    <w:p>
      <w:pPr>
        <w:pStyle w:val="ListParagraph"/>
        <w:numPr>
          <w:ilvl w:val="0"/>
          <w:numId w:val="14"/>
        </w:numPr>
        <w:spacing w:after="110"/>
      </w:pPr>
      <w:r>
        <w:t xml:space="preserve">Build the poster and PPT: Problem → Architecture → Math (PPR and the interdiction MILP, with the worked numeric examples from Phases 2–3) → DPDP mapping table sample → Privacy airlock diagram → Results (Phase 10's frozen numbers) → Honest Limitations → Novelty statement.</w:t>
      </w:r>
    </w:p>
    <w:p>
      <w:pPr>
        <w:pStyle w:val="ListParagraph"/>
        <w:numPr>
          <w:ilvl w:val="0"/>
          <w:numId w:val="14"/>
        </w:numPr>
        <w:spacing w:after="110"/>
      </w:pPr>
      <w:r>
        <w:t xml:space="preserve">Have one mentor or legal-adjacent reviewer sign off on the DPDP mapping table's framing, if this has not already happened since Phase 1.</w:t>
      </w:r>
    </w:p>
    <w:p>
      <w:pPr>
        <w:pStyle w:val="ListParagraph"/>
        <w:numPr>
          <w:ilvl w:val="0"/>
          <w:numId w:val="14"/>
        </w:numPr>
        <w:spacing w:after="110"/>
      </w:pPr>
      <w:r>
        <w:t xml:space="preserve">Open a real conversation with the college's IPR cell about the patent angle — a method for computing a provably risk-reducing, intent-preserving patch behind a measured privacy boundary is a genuine technical-effect story. Start this conversation now, since it takes calendar time independent of the build schedule.</w:t>
      </w:r>
    </w:p>
    <w:p>
      <w:pPr>
        <w:pStyle w:val="ListParagraph"/>
        <w:numPr>
          <w:ilvl w:val="0"/>
          <w:numId w:val="14"/>
        </w:numPr>
        <w:spacing w:after="110"/>
      </w:pPr>
      <w:r>
        <w:t xml:space="preserve">Rehearse the live demo at least twice against the actual working system from Phase 9 — not a recording, not a fallback slide deck, the real thing.</w:t>
      </w:r>
    </w:p>
    <w:p>
      <w:pPr>
        <w:pStyle w:val="Heading2"/>
        <w:spacing w:after="140" w:before="260"/>
      </w:pPr>
      <w:r>
        <w:t xml:space="preserve">Integration Checkpoint</w:t>
      </w:r>
    </w:p>
    <w:p>
      <w:pPr>
        <w:spacing w:after="150"/>
      </w:pPr>
      <w:r>
        <w:t xml:space="preserve">None — this phase consumes everything built so far and produces the deliverables graders actually see.</w:t>
      </w:r>
    </w:p>
    <w:p>
      <w:pPr>
        <w:pStyle w:val="Heading2"/>
        <w:spacing w:after="140" w:before="260"/>
      </w:pPr>
      <w:r>
        <w:t xml:space="preserve">Phase Checklist (Definition of Done — tick before moving on)</w:t>
      </w:r>
    </w:p>
    <w:p>
      <w:pPr>
        <w:spacing w:after="90"/>
        <w:ind w:left="300"/>
      </w:pPr>
      <w:r>
        <w:t xml:space="preserve">☐   </w:t>
      </w:r>
      <w:r>
        <w:t xml:space="preserve">Paper drafted in the correct IEEE template with all citations re-verified</w:t>
      </w:r>
    </w:p>
    <w:p>
      <w:pPr>
        <w:spacing w:after="90"/>
        <w:ind w:left="300"/>
      </w:pPr>
      <w:r>
        <w:t xml:space="preserve">☐   </w:t>
      </w:r>
      <w:r>
        <w:t xml:space="preserve">Related Work section credits prior published work honestly</w:t>
      </w:r>
    </w:p>
    <w:p>
      <w:pPr>
        <w:spacing w:after="90"/>
        <w:ind w:left="300"/>
      </w:pPr>
      <w:r>
        <w:t xml:space="preserve">☐   </w:t>
      </w:r>
      <w:r>
        <w:t xml:space="preserve">Architecture diagrams rendered cleanly for both paper and poster</w:t>
      </w:r>
    </w:p>
    <w:p>
      <w:pPr>
        <w:spacing w:after="90"/>
        <w:ind w:left="300"/>
      </w:pPr>
      <w:r>
        <w:t xml:space="preserve">☐   </w:t>
      </w:r>
      <w:r>
        <w:t xml:space="preserve">Poster and PPT built, covering all six required sections</w:t>
      </w:r>
    </w:p>
    <w:p>
      <w:pPr>
        <w:spacing w:after="90"/>
        <w:ind w:left="300"/>
      </w:pPr>
      <w:r>
        <w:t xml:space="preserve">☐   </w:t>
      </w:r>
      <w:r>
        <w:t xml:space="preserve">Mentor / legal-adjacent review of the DPDP mapping table completed</w:t>
      </w:r>
    </w:p>
    <w:p>
      <w:pPr>
        <w:spacing w:after="90"/>
        <w:ind w:left="300"/>
      </w:pPr>
      <w:r>
        <w:t xml:space="preserve">☐   </w:t>
      </w:r>
      <w:r>
        <w:t xml:space="preserve">IPR cell conversation started</w:t>
      </w:r>
    </w:p>
    <w:p>
      <w:pPr>
        <w:spacing w:after="90"/>
        <w:ind w:left="300"/>
      </w:pPr>
      <w:r>
        <w:t xml:space="preserve">☐   </w:t>
      </w:r>
      <w:r>
        <w:t xml:space="preserve">Live demo rehearsed at least twice against the real system</w:t>
      </w:r>
    </w:p>
    <w:p>
      <w:r>
        <w:br w:type="page"/>
      </w:r>
    </w:p>
    <w:p>
      <w:pPr>
        <w:pStyle w:val="Heading1"/>
        <w:spacing w:after="200" w:before="420"/>
      </w:pPr>
      <w:r>
        <w:t xml:space="preserve">Phase 12: Final Deployment, Demo Rehearsal &amp; Presentation-Readiness Checklist</w:t>
      </w:r>
    </w:p>
    <w:p>
      <w:pPr>
        <w:spacing w:after="80"/>
      </w:pPr>
      <w:r>
        <w:rPr>
          <w:b/>
          <w:bCs/>
        </w:rPr>
        <w:t xml:space="preserve">Weeks:  </w:t>
      </w:r>
      <w:r>
        <w:t xml:space="preserve">Final days before submission / demo</w:t>
      </w:r>
    </w:p>
    <w:p>
      <w:pPr>
        <w:spacing w:after="80"/>
      </w:pPr>
      <w:r>
        <w:rPr>
          <w:b/>
          <w:bCs/>
        </w:rPr>
        <w:t xml:space="preserve">Owner:  </w:t>
      </w:r>
      <w:r>
        <w:t xml:space="preserve">Whole team</w:t>
      </w:r>
    </w:p>
    <w:p>
      <w:pPr>
        <w:spacing w:after="80"/>
      </w:pPr>
      <w:r>
        <w:rPr>
          <w:b/>
          <w:bCs/>
        </w:rPr>
        <w:t xml:space="preserve">Depends On:  </w:t>
      </w:r>
      <w:r>
        <w:t xml:space="preserve">All prior phases complete.</w:t>
      </w:r>
    </w:p>
    <w:p>
      <w:pPr>
        <w:pStyle w:val="Heading2"/>
        <w:spacing w:after="140" w:before="260"/>
      </w:pPr>
      <w:r>
        <w:t xml:space="preserve">Objective / Deliverable</w:t>
      </w:r>
    </w:p>
    <w:p>
      <w:pPr>
        <w:spacing w:after="150"/>
      </w:pPr>
      <w:r>
        <w:t xml:space="preserve">Nothing is left in a ‘should work’ state — everything is confirmed on the actual hardware and network that will be used on demo day, with a fallback plan for anything internet- or cloud-dependent.</w:t>
      </w:r>
    </w:p>
    <w:p>
      <w:pPr>
        <w:pStyle w:val="Heading2"/>
        <w:spacing w:after="140" w:before="260"/>
      </w:pPr>
      <w:r>
        <w:t xml:space="preserve">Tech Stack &amp; What to Learn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3450"/>
        <w:gridCol w:w="1950"/>
        <w:gridCol w:w="2200"/>
      </w:tblGrid>
      <w:tr>
        <w:trPr>
          <w:tblHeader/>
        </w:trPr>
        <w:tc>
          <w:tcPr>
            <w:tcW w:type="dxa" w:w="1750"/>
            <w:shd w:fill="2B3A55" w:val="clear"/>
            <w:tcMar>
              <w:top w:type="dxa" w:w="60"/>
              <w:left w:type="dxa" w:w="90"/>
              <w:bottom w:type="dxa" w:w="60"/>
              <w:right w:type="dxa" w:w="90"/>
            </w:tcMar>
            <w:vAlign w:val="center"/>
          </w:tcPr>
          <w:p>
            <w:r>
              <w:rPr>
                <w:b/>
                <w:bCs/>
                <w:color w:val="FFFFFF"/>
                <w:sz w:val="19"/>
                <w:szCs w:val="19"/>
              </w:rPr>
              <w:t xml:space="preserve">Tool / Resource</w:t>
            </w:r>
          </w:p>
        </w:tc>
        <w:tc>
          <w:tcPr>
            <w:tcW w:type="dxa" w:w="3450"/>
            <w:shd w:fill="2B3A55" w:val="clear"/>
            <w:tcMar>
              <w:top w:type="dxa" w:w="60"/>
              <w:left w:type="dxa" w:w="90"/>
              <w:bottom w:type="dxa" w:w="60"/>
              <w:right w:type="dxa" w:w="90"/>
            </w:tcMar>
            <w:vAlign w:val="center"/>
          </w:tcPr>
          <w:p>
            <w:r>
              <w:rPr>
                <w:b/>
                <w:bCs/>
                <w:color w:val="FFFFFF"/>
                <w:sz w:val="19"/>
                <w:szCs w:val="19"/>
              </w:rPr>
              <w:t xml:space="preserve">Why We Use It Here</w:t>
            </w:r>
          </w:p>
        </w:tc>
        <w:tc>
          <w:tcPr>
            <w:tcW w:type="dxa" w:w="1950"/>
            <w:shd w:fill="2B3A55" w:val="clear"/>
            <w:tcMar>
              <w:top w:type="dxa" w:w="60"/>
              <w:left w:type="dxa" w:w="90"/>
              <w:bottom w:type="dxa" w:w="60"/>
              <w:right w:type="dxa" w:w="90"/>
            </w:tcMar>
            <w:vAlign w:val="center"/>
          </w:tcPr>
          <w:p>
            <w:r>
              <w:rPr>
                <w:b/>
                <w:bCs/>
                <w:color w:val="FFFFFF"/>
                <w:sz w:val="19"/>
                <w:szCs w:val="19"/>
              </w:rPr>
              <w:t xml:space="preserve">Where to Get It</w:t>
            </w:r>
          </w:p>
        </w:tc>
        <w:tc>
          <w:tcPr>
            <w:tcW w:type="dxa" w:w="2200"/>
            <w:shd w:fill="2B3A55" w:val="clear"/>
            <w:tcMar>
              <w:top w:type="dxa" w:w="60"/>
              <w:left w:type="dxa" w:w="90"/>
              <w:bottom w:type="dxa" w:w="60"/>
              <w:right w:type="dxa" w:w="90"/>
            </w:tcMar>
            <w:vAlign w:val="center"/>
          </w:tcPr>
          <w:p>
            <w:r>
              <w:rPr>
                <w:b/>
                <w:bCs/>
                <w:color w:val="FFFFFF"/>
                <w:sz w:val="19"/>
                <w:szCs w:val="19"/>
              </w:rPr>
              <w:t xml:space="preserve">Learn This First (do this before you build)</w:t>
            </w:r>
          </w:p>
        </w:tc>
      </w:tr>
      <w:tr>
        <w:tc>
          <w:tcPr>
            <w:tcW w:type="dxa" w:w="1750"/>
            <w:tcMar>
              <w:top w:type="dxa" w:w="50"/>
              <w:left w:type="dxa" w:w="90"/>
              <w:bottom w:type="dxa" w:w="50"/>
              <w:right w:type="dxa" w:w="90"/>
            </w:tcMar>
          </w:tcPr>
          <w:p>
            <w:r>
              <w:rPr>
                <w:sz w:val="19"/>
                <w:szCs w:val="19"/>
              </w:rPr>
              <w:t xml:space="preserve">Everything already built</w:t>
            </w:r>
          </w:p>
        </w:tc>
        <w:tc>
          <w:tcPr>
            <w:tcW w:type="dxa" w:w="3450"/>
            <w:tcMar>
              <w:top w:type="dxa" w:w="50"/>
              <w:left w:type="dxa" w:w="90"/>
              <w:bottom w:type="dxa" w:w="50"/>
              <w:right w:type="dxa" w:w="90"/>
            </w:tcMar>
          </w:tcPr>
          <w:p>
            <w:r>
              <w:rPr>
                <w:sz w:val="19"/>
                <w:szCs w:val="19"/>
              </w:rPr>
              <w:t xml:space="preserve">This phase is a rehearsal and verification pass, not a build phase</w:t>
            </w:r>
          </w:p>
        </w:tc>
        <w:tc>
          <w:tcPr>
            <w:tcW w:type="dxa" w:w="1950"/>
            <w:tcMar>
              <w:top w:type="dxa" w:w="50"/>
              <w:left w:type="dxa" w:w="90"/>
              <w:bottom w:type="dxa" w:w="50"/>
              <w:right w:type="dxa" w:w="90"/>
            </w:tcMar>
          </w:tcPr>
          <w:p>
            <w:r>
              <w:rPr>
                <w:sz w:val="19"/>
                <w:szCs w:val="19"/>
              </w:rPr>
              <w:t xml:space="preserve">—</w:t>
            </w:r>
          </w:p>
        </w:tc>
        <w:tc>
          <w:tcPr>
            <w:tcW w:type="dxa" w:w="2200"/>
            <w:tcMar>
              <w:top w:type="dxa" w:w="50"/>
              <w:left w:type="dxa" w:w="90"/>
              <w:bottom w:type="dxa" w:w="50"/>
              <w:right w:type="dxa" w:w="90"/>
            </w:tcMar>
          </w:tcPr>
          <w:p>
            <w:r>
              <w:rPr>
                <w:sz w:val="19"/>
                <w:szCs w:val="19"/>
              </w:rPr>
              <w:t xml:space="preserve">—</w:t>
            </w:r>
          </w:p>
        </w:tc>
      </w:tr>
    </w:tbl>
    <w:p>
      <w:pPr>
        <w:pStyle w:val="Heading2"/>
        <w:spacing w:after="140" w:before="260"/>
      </w:pPr>
      <w:r>
        <w:t xml:space="preserve">Step-by-Step Procedure</w:t>
      </w:r>
    </w:p>
    <w:p>
      <w:pPr>
        <w:pStyle w:val="ListParagraph"/>
        <w:numPr>
          <w:ilvl w:val="0"/>
          <w:numId w:val="15"/>
        </w:numPr>
        <w:spacing w:after="110"/>
      </w:pPr>
      <w:r>
        <w:t xml:space="preserve">Confirm VITE_USE_MOCK_DATA=false and every other environment flag is set to its real, final-demo value — not a developer-convenience value.</w:t>
      </w:r>
    </w:p>
    <w:p>
      <w:pPr>
        <w:pStyle w:val="ListParagraph"/>
        <w:numPr>
          <w:ilvl w:val="0"/>
          <w:numId w:val="15"/>
        </w:numPr>
        <w:spacing w:after="110"/>
      </w:pPr>
      <w:r>
        <w:t xml:space="preserve">Run the full Phase 9 end-to-end integration test one final time, on the exact machine and network that will be used for the live demo, not a developer's usual machine.</w:t>
      </w:r>
    </w:p>
    <w:p>
      <w:pPr>
        <w:pStyle w:val="ListParagraph"/>
        <w:numPr>
          <w:ilvl w:val="0"/>
          <w:numId w:val="15"/>
        </w:numPr>
        <w:spacing w:after="110"/>
      </w:pPr>
      <w:r>
        <w:t xml:space="preserve">Prepare an explicit fallback: since the demo depends on a live AWS account and a live Neo4j instance, have a pre-recorded screen capture of one full successful run ready in case the venue's network fails — never let a network outage be the reason the demo cannot proceed at all.</w:t>
      </w:r>
    </w:p>
    <w:p>
      <w:pPr>
        <w:pStyle w:val="ListParagraph"/>
        <w:numPr>
          <w:ilvl w:val="0"/>
          <w:numId w:val="15"/>
        </w:numPr>
        <w:spacing w:after="110"/>
      </w:pPr>
      <w:r>
        <w:t xml:space="preserve">Confirm the AWS free-tier account's resource limits and billing alerts are set, so nothing unexpectedly shuts off mid-demo.</w:t>
      </w:r>
    </w:p>
    <w:p>
      <w:pPr>
        <w:pStyle w:val="ListParagraph"/>
        <w:numPr>
          <w:ilvl w:val="0"/>
          <w:numId w:val="15"/>
        </w:numPr>
        <w:spacing w:after="110"/>
      </w:pPr>
      <w:r>
        <w:t xml:space="preserve">Load the poster, the PPT, and the paper draft onto a device that does not depend on internet access to open.</w:t>
      </w:r>
    </w:p>
    <w:p>
      <w:pPr>
        <w:pStyle w:val="ListParagraph"/>
        <w:numPr>
          <w:ilvl w:val="0"/>
          <w:numId w:val="15"/>
        </w:numPr>
        <w:spacing w:after="110"/>
      </w:pPr>
      <w:r>
        <w:t xml:space="preserve">Walk through the Final Submission Checklist (below) one line at a time, as a team, out loud.</w:t>
      </w:r>
    </w:p>
    <w:p>
      <w:pPr>
        <w:pStyle w:val="ListParagraph"/>
        <w:numPr>
          <w:ilvl w:val="0"/>
          <w:numId w:val="15"/>
        </w:numPr>
        <w:spacing w:after="110"/>
      </w:pPr>
      <w:r>
        <w:t xml:space="preserve">Do a final read-through of the Honest Limitations section together — know exactly what to say if a judge asks ‘what does not this do yet,’ since a confident, specific limitations answer scores better than an evasive one.</w:t>
      </w:r>
    </w:p>
    <w:p>
      <w:pPr>
        <w:pStyle w:val="Heading2"/>
        <w:spacing w:after="140" w:before="260"/>
      </w:pPr>
      <w:r>
        <w:t xml:space="preserve">Integration Checkpoint</w:t>
      </w:r>
    </w:p>
    <w:p>
      <w:pPr>
        <w:spacing w:after="150"/>
      </w:pPr>
      <w:r>
        <w:t xml:space="preserve">This is the final phase. There is nothing downstream of it except the demo and submission themselves.</w:t>
      </w:r>
    </w:p>
    <w:p>
      <w:pPr>
        <w:pStyle w:val="Heading2"/>
        <w:spacing w:after="140" w:before="260"/>
      </w:pPr>
      <w:r>
        <w:t xml:space="preserve">Phase Checklist (Definition of Done — tick before moving on)</w:t>
      </w:r>
    </w:p>
    <w:p>
      <w:pPr>
        <w:spacing w:after="90"/>
        <w:ind w:left="300"/>
      </w:pPr>
      <w:r>
        <w:t xml:space="preserve">☐   </w:t>
      </w:r>
      <w:r>
        <w:t xml:space="preserve">Team roster confirmed against Circular 023 §6's approved combination table</w:t>
      </w:r>
    </w:p>
    <w:p>
      <w:pPr>
        <w:spacing w:after="90"/>
        <w:ind w:left="300"/>
      </w:pPr>
      <w:r>
        <w:t xml:space="preserve">☐   </w:t>
      </w:r>
      <w:r>
        <w:t xml:space="preserve">Phase I deliverables submitted and matched against all rubric criteria</w:t>
      </w:r>
    </w:p>
    <w:p>
      <w:pPr>
        <w:spacing w:after="90"/>
        <w:ind w:left="300"/>
      </w:pPr>
      <w:r>
        <w:t xml:space="preserve">☐   </w:t>
      </w:r>
      <w:r>
        <w:t xml:space="preserve">Phase II partial results include real Cartography/Neo4j/PageRank output with written analysis</w:t>
      </w:r>
    </w:p>
    <w:p>
      <w:pPr>
        <w:spacing w:after="90"/>
        <w:ind w:left="300"/>
      </w:pPr>
      <w:r>
        <w:t xml:space="preserve">☐   </w:t>
      </w:r>
      <w:r>
        <w:t xml:space="preserve">Both Rego libraries exist; the generic-pass / DPDP-fail case is demonstrated through the full pipeline</w:t>
      </w:r>
    </w:p>
    <w:p>
      <w:pPr>
        <w:spacing w:after="90"/>
        <w:ind w:left="300"/>
      </w:pPr>
      <w:r>
        <w:t xml:space="preserve">☐   </w:t>
      </w:r>
      <w:r>
        <w:t xml:space="preserve">Verification gate rejection rate measured and reported</w:t>
      </w:r>
    </w:p>
    <w:p>
      <w:pPr>
        <w:spacing w:after="90"/>
        <w:ind w:left="300"/>
      </w:pPr>
      <w:r>
        <w:t xml:space="preserve">☐   </w:t>
      </w:r>
      <w:r>
        <w:t xml:space="preserve">Privacy canary, utility-cost, and injection tests all measured and reported</w:t>
      </w:r>
    </w:p>
    <w:p>
      <w:pPr>
        <w:spacing w:after="90"/>
        <w:ind w:left="300"/>
      </w:pPr>
      <w:r>
        <w:t xml:space="preserve">☐   </w:t>
      </w:r>
      <w:r>
        <w:t xml:space="preserve">M1's full remediation-tier ladder and reward-hacking gap reported</w:t>
      </w:r>
    </w:p>
    <w:p>
      <w:pPr>
        <w:spacing w:after="90"/>
        <w:ind w:left="300"/>
      </w:pPr>
      <w:r>
        <w:t xml:space="preserve">☐   </w:t>
      </w:r>
      <w:r>
        <w:t xml:space="preserve">M2's calibration and realized-vs-target conformal error rate reported</w:t>
      </w:r>
    </w:p>
    <w:p>
      <w:pPr>
        <w:spacing w:after="90"/>
        <w:ind w:left="300"/>
      </w:pPr>
      <w:r>
        <w:t xml:space="preserve">☐   </w:t>
      </w:r>
      <w:r>
        <w:t xml:space="preserve">Dashboard running against real backend data, including the Privacy Receipt Viewer</w:t>
      </w:r>
    </w:p>
    <w:p>
      <w:pPr>
        <w:spacing w:after="90"/>
        <w:ind w:left="300"/>
      </w:pPr>
      <w:r>
        <w:t xml:space="preserve">☐   </w:t>
      </w:r>
      <w:r>
        <w:t xml:space="preserve">Empty and loading states designed and demoed</w:t>
      </w:r>
    </w:p>
    <w:p>
      <w:pPr>
        <w:spacing w:after="90"/>
        <w:ind w:left="300"/>
      </w:pPr>
      <w:r>
        <w:t xml:space="preserve">☐   </w:t>
      </w:r>
      <w:r>
        <w:t xml:space="preserve">DPDP mapping table has a mentor / legal-adjacent review pass</w:t>
      </w:r>
    </w:p>
    <w:p>
      <w:pPr>
        <w:spacing w:after="90"/>
        <w:ind w:left="300"/>
      </w:pPr>
      <w:r>
        <w:t xml:space="preserve">☐   </w:t>
      </w:r>
      <w:r>
        <w:t xml:space="preserve">All Phase 10 evaluation metrics computed and written up</w:t>
      </w:r>
    </w:p>
    <w:p>
      <w:pPr>
        <w:spacing w:after="90"/>
        <w:ind w:left="300"/>
      </w:pPr>
      <w:r>
        <w:t xml:space="preserve">☐   </w:t>
      </w:r>
      <w:r>
        <w:t xml:space="preserve">Paper draft exists, targeting a named venue, citations re-verified</w:t>
      </w:r>
    </w:p>
    <w:p>
      <w:pPr>
        <w:spacing w:after="90"/>
        <w:ind w:left="300"/>
      </w:pPr>
      <w:r>
        <w:t xml:space="preserve">☐   </w:t>
      </w:r>
      <w:r>
        <w:t xml:space="preserve">Poster and PPT built, covering problem, architecture, math, results, honest limitations, and novelty</w:t>
      </w:r>
    </w:p>
    <w:p>
      <w:pPr>
        <w:spacing w:after="90"/>
        <w:ind w:left="300"/>
      </w:pPr>
      <w:r>
        <w:t xml:space="preserve">☐   </w:t>
      </w:r>
      <w:r>
        <w:t xml:space="preserve">IPR cell conversation documented</w:t>
      </w:r>
    </w:p>
    <w:p>
      <w:pPr>
        <w:spacing w:after="90"/>
        <w:ind w:left="300"/>
      </w:pPr>
      <w:r>
        <w:t xml:space="preserve">☐   </w:t>
      </w:r>
      <w:r>
        <w:t xml:space="preserve">Live demo rehearsed at least twice on the actual demo hardware and network</w:t>
      </w:r>
    </w:p>
    <w:p>
      <w:pPr>
        <w:spacing w:after="90"/>
        <w:ind w:left="300"/>
      </w:pPr>
      <w:r>
        <w:t xml:space="preserve">☐   </w:t>
      </w:r>
      <w:r>
        <w:t xml:space="preserve">Fallback recording prepared in case of live network failure</w:t>
      </w:r>
    </w:p>
    <w:p>
      <w:pPr>
        <w:spacing w:after="90"/>
        <w:ind w:left="300"/>
      </w:pPr>
      <w:r>
        <w:t xml:space="preserve">☐   </w:t>
      </w:r>
      <w:r>
        <w:t xml:space="preserve">Grand total = 200 marks — self-scored against each phase table before submission</w:t>
      </w:r>
    </w:p>
    <w:p>
      <w:r>
        <w:br w:type="page"/>
      </w:r>
    </w:p>
    <w:p>
      <w:pPr>
        <w:pStyle w:val="Heading1"/>
        <w:spacing w:after="200" w:before="420"/>
      </w:pPr>
      <w:r>
        <w:t xml:space="preserve">Appendices</w:t>
      </w:r>
    </w:p>
    <w:p>
      <w:pPr>
        <w:pStyle w:val="Heading2"/>
        <w:spacing w:after="140" w:before="260"/>
      </w:pPr>
      <w:r>
        <w:t xml:space="preserve">Appendix A — RVCE Rubric Cross-Reference</w:t>
      </w:r>
    </w:p>
    <w:p>
      <w:pPr>
        <w:spacing w:after="150"/>
      </w:pPr>
      <w:r>
        <w:t xml:space="preserve">Verified against RVCE/DA/023/2026-27 (Team Formation &amp; Rules) and the EL Evaluation Scheme &amp; Assessment Rubric circular. Grand total across all three phases: 200 marks.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50"/>
      </w:tblGrid>
      <w:tr>
        <w:trPr>
          <w:tblHeader/>
        </w:trPr>
        <w:tc>
          <w:tcPr>
            <w:tcW w:type="dxa" w:w="1800"/>
            <w:shd w:fill="2B3A55" w:val="clear"/>
            <w:tcMar>
              <w:top w:type="dxa" w:w="60"/>
              <w:left w:type="dxa" w:w="90"/>
              <w:bottom w:type="dxa" w:w="60"/>
              <w:right w:type="dxa" w:w="90"/>
            </w:tcMar>
            <w:vAlign w:val="center"/>
          </w:tcPr>
          <w:p>
            <w:r>
              <w:rPr>
                <w:b/>
                <w:bCs/>
                <w:color w:val="FFFFFF"/>
                <w:sz w:val="19"/>
                <w:szCs w:val="19"/>
              </w:rPr>
              <w:t xml:space="preserve">Phase</w:t>
            </w:r>
          </w:p>
        </w:tc>
        <w:tc>
          <w:tcPr>
            <w:tcW w:type="dxa" w:w="1200"/>
            <w:shd w:fill="2B3A55" w:val="clear"/>
            <w:tcMar>
              <w:top w:type="dxa" w:w="60"/>
              <w:left w:type="dxa" w:w="90"/>
              <w:bottom w:type="dxa" w:w="60"/>
              <w:right w:type="dxa" w:w="90"/>
            </w:tcMar>
            <w:vAlign w:val="center"/>
          </w:tcPr>
          <w:p>
            <w:r>
              <w:rPr>
                <w:b/>
                <w:bCs/>
                <w:color w:val="FFFFFF"/>
                <w:sz w:val="19"/>
                <w:szCs w:val="19"/>
              </w:rPr>
              <w:t xml:space="preserve">Marks</w:t>
            </w:r>
          </w:p>
        </w:tc>
        <w:tc>
          <w:tcPr>
            <w:tcW w:type="dxa" w:w="6350"/>
            <w:shd w:fill="2B3A55" w:val="clear"/>
            <w:tcMar>
              <w:top w:type="dxa" w:w="60"/>
              <w:left w:type="dxa" w:w="90"/>
              <w:bottom w:type="dxa" w:w="60"/>
              <w:right w:type="dxa" w:w="90"/>
            </w:tcMar>
            <w:vAlign w:val="center"/>
          </w:tcPr>
          <w:p>
            <w:r>
              <w:rPr>
                <w:b/>
                <w:bCs/>
                <w:color w:val="FFFFFF"/>
                <w:sz w:val="19"/>
                <w:szCs w:val="19"/>
              </w:rPr>
              <w:t xml:space="preserve">Breakdown</w:t>
            </w:r>
          </w:p>
        </w:tc>
      </w:tr>
      <w:tr>
        <w:tc>
          <w:tcPr>
            <w:tcW w:type="dxa" w:w="1800"/>
            <w:tcMar>
              <w:top w:type="dxa" w:w="50"/>
              <w:left w:type="dxa" w:w="90"/>
              <w:bottom w:type="dxa" w:w="50"/>
              <w:right w:type="dxa" w:w="90"/>
            </w:tcMar>
          </w:tcPr>
          <w:p>
            <w:r>
              <w:rPr>
                <w:sz w:val="19"/>
                <w:szCs w:val="19"/>
              </w:rPr>
              <w:t xml:space="preserve">Phase I</w:t>
            </w:r>
          </w:p>
        </w:tc>
        <w:tc>
          <w:tcPr>
            <w:tcW w:type="dxa" w:w="1200"/>
            <w:tcMar>
              <w:top w:type="dxa" w:w="50"/>
              <w:left w:type="dxa" w:w="90"/>
              <w:bottom w:type="dxa" w:w="50"/>
              <w:right w:type="dxa" w:w="90"/>
            </w:tcMar>
          </w:tcPr>
          <w:p>
            <w:r>
              <w:rPr>
                <w:sz w:val="19"/>
                <w:szCs w:val="19"/>
              </w:rPr>
              <w:t xml:space="preserve">40</w:t>
            </w:r>
          </w:p>
        </w:tc>
        <w:tc>
          <w:tcPr>
            <w:tcW w:type="dxa" w:w="6350"/>
            <w:tcMar>
              <w:top w:type="dxa" w:w="50"/>
              <w:left w:type="dxa" w:w="90"/>
              <w:bottom w:type="dxa" w:w="50"/>
              <w:right w:type="dxa" w:w="90"/>
            </w:tcMar>
          </w:tcPr>
          <w:p>
            <w:r>
              <w:rPr>
                <w:sz w:val="19"/>
                <w:szCs w:val="19"/>
              </w:rPr>
              <w:t xml:space="preserve">Problem Definition (20) + Objectives (10) + Methodology (10)</w:t>
            </w:r>
          </w:p>
        </w:tc>
      </w:tr>
      <w:tr>
        <w:tc>
          <w:tcPr>
            <w:tcW w:type="dxa" w:w="1800"/>
            <w:tcMar>
              <w:top w:type="dxa" w:w="50"/>
              <w:left w:type="dxa" w:w="90"/>
              <w:bottom w:type="dxa" w:w="50"/>
              <w:right w:type="dxa" w:w="90"/>
            </w:tcMar>
          </w:tcPr>
          <w:p>
            <w:r>
              <w:rPr>
                <w:sz w:val="19"/>
                <w:szCs w:val="19"/>
              </w:rPr>
              <w:t xml:space="preserve">Phase II</w:t>
            </w:r>
          </w:p>
        </w:tc>
        <w:tc>
          <w:tcPr>
            <w:tcW w:type="dxa" w:w="1200"/>
            <w:tcMar>
              <w:top w:type="dxa" w:w="50"/>
              <w:left w:type="dxa" w:w="90"/>
              <w:bottom w:type="dxa" w:w="50"/>
              <w:right w:type="dxa" w:w="90"/>
            </w:tcMar>
          </w:tcPr>
          <w:p>
            <w:r>
              <w:rPr>
                <w:sz w:val="19"/>
                <w:szCs w:val="19"/>
              </w:rPr>
              <w:t xml:space="preserve">60</w:t>
            </w:r>
          </w:p>
        </w:tc>
        <w:tc>
          <w:tcPr>
            <w:tcW w:type="dxa" w:w="6350"/>
            <w:tcMar>
              <w:top w:type="dxa" w:w="50"/>
              <w:left w:type="dxa" w:w="90"/>
              <w:bottom w:type="dxa" w:w="50"/>
              <w:right w:type="dxa" w:w="90"/>
            </w:tcMar>
          </w:tcPr>
          <w:p>
            <w:r>
              <w:rPr>
                <w:sz w:val="19"/>
                <w:szCs w:val="19"/>
              </w:rPr>
              <w:t xml:space="preserve">Project Execution (30) + Tools &amp; Techniques (20, scored across Selection / Application / Integration separately) + Partial Results (10)</w:t>
            </w:r>
          </w:p>
        </w:tc>
      </w:tr>
      <w:tr>
        <w:tc>
          <w:tcPr>
            <w:tcW w:type="dxa" w:w="1800"/>
            <w:tcMar>
              <w:top w:type="dxa" w:w="50"/>
              <w:left w:type="dxa" w:w="90"/>
              <w:bottom w:type="dxa" w:w="50"/>
              <w:right w:type="dxa" w:w="90"/>
            </w:tcMar>
          </w:tcPr>
          <w:p>
            <w:r>
              <w:rPr>
                <w:sz w:val="19"/>
                <w:szCs w:val="19"/>
              </w:rPr>
              <w:t xml:space="preserve">Phase III</w:t>
            </w:r>
          </w:p>
        </w:tc>
        <w:tc>
          <w:tcPr>
            <w:tcW w:type="dxa" w:w="1200"/>
            <w:tcMar>
              <w:top w:type="dxa" w:w="50"/>
              <w:left w:type="dxa" w:w="90"/>
              <w:bottom w:type="dxa" w:w="50"/>
              <w:right w:type="dxa" w:w="90"/>
            </w:tcMar>
          </w:tcPr>
          <w:p>
            <w:r>
              <w:rPr>
                <w:sz w:val="19"/>
                <w:szCs w:val="19"/>
              </w:rPr>
              <w:t xml:space="preserve">100</w:t>
            </w:r>
          </w:p>
        </w:tc>
        <w:tc>
          <w:tcPr>
            <w:tcW w:type="dxa" w:w="6350"/>
            <w:tcMar>
              <w:top w:type="dxa" w:w="50"/>
              <w:left w:type="dxa" w:w="90"/>
              <w:bottom w:type="dxa" w:w="50"/>
              <w:right w:type="dxa" w:w="90"/>
            </w:tcMar>
          </w:tcPr>
          <w:p>
            <w:r>
              <w:rPr>
                <w:sz w:val="19"/>
                <w:szCs w:val="19"/>
              </w:rPr>
              <w:t xml:space="preserve">Prototype Demo (30) + Results &amp; Discussion (20) + Report (20) + Poster/PPT (10) + Outcomes (20)</w:t>
            </w:r>
          </w:p>
        </w:tc>
      </w:tr>
    </w:tbl>
    <w:p>
      <w:pPr>
        <w:pStyle w:val="Heading2"/>
        <w:spacing w:after="140" w:before="260"/>
      </w:pPr>
      <w:r>
        <w:t xml:space="preserve">Appendix B — Consolidated 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B3A55" w:val="clear"/>
            <w:tcMar>
              <w:top w:type="dxa" w:w="60"/>
              <w:left w:type="dxa" w:w="90"/>
              <w:bottom w:type="dxa" w:w="60"/>
              <w:right w:type="dxa" w:w="90"/>
            </w:tcMar>
            <w:vAlign w:val="center"/>
          </w:tcPr>
          <w:p>
            <w:r>
              <w:rPr>
                <w:b/>
                <w:bCs/>
                <w:color w:val="FFFFFF"/>
                <w:sz w:val="19"/>
                <w:szCs w:val="19"/>
              </w:rPr>
              <w:t xml:space="preserve">Risk</w:t>
            </w:r>
          </w:p>
        </w:tc>
        <w:tc>
          <w:tcPr>
            <w:tcW w:type="dxa" w:w="6150"/>
            <w:shd w:fill="2B3A55" w:val="clear"/>
            <w:tcMar>
              <w:top w:type="dxa" w:w="60"/>
              <w:left w:type="dxa" w:w="90"/>
              <w:bottom w:type="dxa" w:w="60"/>
              <w:right w:type="dxa" w:w="90"/>
            </w:tcMar>
            <w:vAlign w:val="center"/>
          </w:tcPr>
          <w:p>
            <w:r>
              <w:rPr>
                <w:b/>
                <w:bCs/>
                <w:color w:val="FFFFFF"/>
                <w:sz w:val="19"/>
                <w:szCs w:val="19"/>
              </w:rPr>
              <w:t xml:space="preserve">Mitigation</w:t>
            </w:r>
          </w:p>
        </w:tc>
      </w:tr>
      <w:tr>
        <w:tc>
          <w:tcPr>
            <w:tcW w:type="dxa" w:w="3200"/>
            <w:tcMar>
              <w:top w:type="dxa" w:w="50"/>
              <w:left w:type="dxa" w:w="90"/>
              <w:bottom w:type="dxa" w:w="50"/>
              <w:right w:type="dxa" w:w="90"/>
            </w:tcMar>
          </w:tcPr>
          <w:p>
            <w:r>
              <w:rPr>
                <w:sz w:val="19"/>
                <w:szCs w:val="19"/>
              </w:rPr>
              <w:t xml:space="preserve">Local model (M1) underperforms even after SFT</w:t>
            </w:r>
          </w:p>
        </w:tc>
        <w:tc>
          <w:tcPr>
            <w:tcW w:type="dxa" w:w="6150"/>
            <w:tcMar>
              <w:top w:type="dxa" w:w="50"/>
              <w:left w:type="dxa" w:w="90"/>
              <w:bottom w:type="dxa" w:w="50"/>
              <w:right w:type="dxa" w:w="90"/>
            </w:tcMar>
          </w:tcPr>
          <w:p>
            <w:r>
              <w:rPr>
                <w:sz w:val="19"/>
                <w:szCs w:val="19"/>
              </w:rPr>
              <w:t xml:space="preserve">T0 templates plus best-of-N with the verifier is the floor; report whatever pass rate results honestly, and the fallback ladder (T0→T1→T2 optional→human) keeps the system functioning end to end regardless</w:t>
            </w:r>
          </w:p>
        </w:tc>
      </w:tr>
      <w:tr>
        <w:tc>
          <w:tcPr>
            <w:tcW w:type="dxa" w:w="3200"/>
            <w:tcMar>
              <w:top w:type="dxa" w:w="50"/>
              <w:left w:type="dxa" w:w="90"/>
              <w:bottom w:type="dxa" w:w="50"/>
              <w:right w:type="dxa" w:w="90"/>
            </w:tcMar>
          </w:tcPr>
          <w:p>
            <w:r>
              <w:rPr>
                <w:sz w:val="19"/>
                <w:szCs w:val="19"/>
              </w:rPr>
              <w:t xml:space="preserve">Free Colab/Kaggle GPU availability is inconsistent</w:t>
            </w:r>
          </w:p>
        </w:tc>
        <w:tc>
          <w:tcPr>
            <w:tcW w:type="dxa" w:w="6150"/>
            <w:tcMar>
              <w:top w:type="dxa" w:w="50"/>
              <w:left w:type="dxa" w:w="90"/>
              <w:bottom w:type="dxa" w:w="50"/>
              <w:right w:type="dxa" w:w="90"/>
            </w:tcMar>
          </w:tcPr>
          <w:p>
            <w:r>
              <w:rPr>
                <w:sz w:val="19"/>
                <w:szCs w:val="19"/>
              </w:rPr>
              <w:t xml:space="preserve">Budget the ML phase with slack; a small amount of rented GPU time is a cheap fallback; ask about department/mentor GPU access early</w:t>
            </w:r>
          </w:p>
        </w:tc>
      </w:tr>
      <w:tr>
        <w:tc>
          <w:tcPr>
            <w:tcW w:type="dxa" w:w="3200"/>
            <w:tcMar>
              <w:top w:type="dxa" w:w="50"/>
              <w:left w:type="dxa" w:w="90"/>
              <w:bottom w:type="dxa" w:w="50"/>
              <w:right w:type="dxa" w:w="90"/>
            </w:tcMar>
          </w:tcPr>
          <w:p>
            <w:r>
              <w:rPr>
                <w:sz w:val="19"/>
                <w:szCs w:val="19"/>
              </w:rPr>
              <w:t xml:space="preserve">Conformal guarantee does not hold up empirically</w:t>
            </w:r>
          </w:p>
        </w:tc>
        <w:tc>
          <w:tcPr>
            <w:tcW w:type="dxa" w:w="6150"/>
            <w:tcMar>
              <w:top w:type="dxa" w:w="50"/>
              <w:left w:type="dxa" w:w="90"/>
              <w:bottom w:type="dxa" w:w="50"/>
              <w:right w:type="dxa" w:w="90"/>
            </w:tcMar>
          </w:tcPr>
          <w:p>
            <w:r>
              <w:rPr>
                <w:sz w:val="19"/>
                <w:szCs w:val="19"/>
              </w:rPr>
              <w:t xml:space="preserve">Report the realized vs. target error rate regardless of outcome — a documented gap plus a discussion of why exchangeability might fail is itself a legitimate result</w:t>
            </w:r>
          </w:p>
        </w:tc>
      </w:tr>
      <w:tr>
        <w:tc>
          <w:tcPr>
            <w:tcW w:type="dxa" w:w="3200"/>
            <w:tcMar>
              <w:top w:type="dxa" w:w="50"/>
              <w:left w:type="dxa" w:w="90"/>
              <w:bottom w:type="dxa" w:w="50"/>
              <w:right w:type="dxa" w:w="90"/>
            </w:tcMar>
          </w:tcPr>
          <w:p>
            <w:r>
              <w:rPr>
                <w:sz w:val="19"/>
                <w:szCs w:val="19"/>
              </w:rPr>
              <w:t xml:space="preserve">Privacy airlock has a leak the canary test catches late</w:t>
            </w:r>
          </w:p>
        </w:tc>
        <w:tc>
          <w:tcPr>
            <w:tcW w:type="dxa" w:w="6150"/>
            <w:tcMar>
              <w:top w:type="dxa" w:w="50"/>
              <w:left w:type="dxa" w:w="90"/>
              <w:bottom w:type="dxa" w:w="50"/>
              <w:right w:type="dxa" w:w="90"/>
            </w:tcMar>
          </w:tcPr>
          <w:p>
            <w:r>
              <w:rPr>
                <w:sz w:val="19"/>
                <w:szCs w:val="19"/>
              </w:rPr>
              <w:t xml:space="preserve">Build the leak-check backstop first within Phase 4, not last — it is cheap and should be one of the earliest pieces built</w:t>
            </w:r>
          </w:p>
        </w:tc>
      </w:tr>
      <w:tr>
        <w:tc>
          <w:tcPr>
            <w:tcW w:type="dxa" w:w="3200"/>
            <w:tcMar>
              <w:top w:type="dxa" w:w="50"/>
              <w:left w:type="dxa" w:w="90"/>
              <w:bottom w:type="dxa" w:w="50"/>
              <w:right w:type="dxa" w:w="90"/>
            </w:tcMar>
          </w:tcPr>
          <w:p>
            <w:r>
              <w:rPr>
                <w:sz w:val="19"/>
                <w:szCs w:val="19"/>
              </w:rPr>
              <w:t xml:space="preserve">DPDP rule interpretation is legally shaky</w:t>
            </w:r>
          </w:p>
        </w:tc>
        <w:tc>
          <w:tcPr>
            <w:tcW w:type="dxa" w:w="6150"/>
            <w:tcMar>
              <w:top w:type="dxa" w:w="50"/>
              <w:left w:type="dxa" w:w="90"/>
              <w:bottom w:type="dxa" w:w="50"/>
              <w:right w:type="dxa" w:w="90"/>
            </w:tcMar>
          </w:tcPr>
          <w:p>
            <w:r>
              <w:rPr>
                <w:sz w:val="19"/>
                <w:szCs w:val="19"/>
              </w:rPr>
              <w:t xml:space="preserve">Frame every check as ‘a reasonable technical proxy’; get a mentor or legal-adjacent review pass early and again before submission</w:t>
            </w:r>
          </w:p>
        </w:tc>
      </w:tr>
      <w:tr>
        <w:tc>
          <w:tcPr>
            <w:tcW w:type="dxa" w:w="3200"/>
            <w:tcMar>
              <w:top w:type="dxa" w:w="50"/>
              <w:left w:type="dxa" w:w="90"/>
              <w:bottom w:type="dxa" w:w="50"/>
              <w:right w:type="dxa" w:w="90"/>
            </w:tcMar>
          </w:tcPr>
          <w:p>
            <w:r>
              <w:rPr>
                <w:sz w:val="19"/>
                <w:szCs w:val="19"/>
              </w:rPr>
              <w:t xml:space="preserve">Part-time availability slips the schedule</w:t>
            </w:r>
          </w:p>
        </w:tc>
        <w:tc>
          <w:tcPr>
            <w:tcW w:type="dxa" w:w="6150"/>
            <w:tcMar>
              <w:top w:type="dxa" w:w="50"/>
              <w:left w:type="dxa" w:w="90"/>
              <w:bottom w:type="dxa" w:w="50"/>
              <w:right w:type="dxa" w:w="90"/>
            </w:tcMar>
          </w:tcPr>
          <w:p>
            <w:r>
              <w:rPr>
                <w:sz w:val="19"/>
                <w:szCs w:val="19"/>
              </w:rPr>
              <w:t xml:space="preserve">No stretch item is on the critical path in any phase above; cutting every stretch item still leaves a fully working, demoable system</w:t>
            </w:r>
          </w:p>
        </w:tc>
      </w:tr>
      <w:tr>
        <w:tc>
          <w:tcPr>
            <w:tcW w:type="dxa" w:w="3200"/>
            <w:tcMar>
              <w:top w:type="dxa" w:w="50"/>
              <w:left w:type="dxa" w:w="90"/>
              <w:bottom w:type="dxa" w:w="50"/>
              <w:right w:type="dxa" w:w="90"/>
            </w:tcMar>
          </w:tcPr>
          <w:p>
            <w:r>
              <w:rPr>
                <w:sz w:val="19"/>
                <w:szCs w:val="19"/>
              </w:rPr>
              <w:t xml:space="preserve">Team roster does not match an approved RVCE combination row</w:t>
            </w:r>
          </w:p>
        </w:tc>
        <w:tc>
          <w:tcPr>
            <w:tcW w:type="dxa" w:w="6150"/>
            <w:tcMar>
              <w:top w:type="dxa" w:w="50"/>
              <w:left w:type="dxa" w:w="90"/>
              <w:bottom w:type="dxa" w:w="50"/>
              <w:right w:type="dxa" w:w="90"/>
            </w:tcMar>
          </w:tcPr>
          <w:p>
            <w:r>
              <w:rPr>
                <w:sz w:val="19"/>
                <w:szCs w:val="19"/>
              </w:rPr>
              <w:t xml:space="preserve">Cross-check Circular 023 §6 before Quiklrn registration closes — unapproved combinations can be modified or cancelled</w:t>
            </w:r>
          </w:p>
        </w:tc>
      </w:tr>
      <w:tr>
        <w:tc>
          <w:tcPr>
            <w:tcW w:type="dxa" w:w="3200"/>
            <w:tcMar>
              <w:top w:type="dxa" w:w="50"/>
              <w:left w:type="dxa" w:w="90"/>
              <w:bottom w:type="dxa" w:w="50"/>
              <w:right w:type="dxa" w:w="90"/>
            </w:tcMar>
          </w:tcPr>
          <w:p>
            <w:r>
              <w:rPr>
                <w:sz w:val="19"/>
                <w:szCs w:val="19"/>
              </w:rPr>
              <w:t xml:space="preserve">Dashboard migration breaks the existing polished UI</w:t>
            </w:r>
          </w:p>
        </w:tc>
        <w:tc>
          <w:tcPr>
            <w:tcW w:type="dxa" w:w="6150"/>
            <w:tcMar>
              <w:top w:type="dxa" w:w="50"/>
              <w:left w:type="dxa" w:w="90"/>
              <w:bottom w:type="dxa" w:w="50"/>
              <w:right w:type="dxa" w:w="90"/>
            </w:tcMar>
          </w:tcPr>
          <w:p>
            <w:r>
              <w:rPr>
                <w:sz w:val="19"/>
                <w:szCs w:val="19"/>
              </w:rPr>
              <w:t xml:space="preserve">Match backend response shapes exactly to the existing mock objects' field names (Shared Contract 6)</w:t>
            </w:r>
          </w:p>
        </w:tc>
      </w:tr>
      <w:tr>
        <w:tc>
          <w:tcPr>
            <w:tcW w:type="dxa" w:w="3200"/>
            <w:tcMar>
              <w:top w:type="dxa" w:w="50"/>
              <w:left w:type="dxa" w:w="90"/>
              <w:bottom w:type="dxa" w:w="50"/>
              <w:right w:type="dxa" w:w="90"/>
            </w:tcMar>
          </w:tcPr>
          <w:p>
            <w:r>
              <w:rPr>
                <w:sz w:val="19"/>
                <w:szCs w:val="19"/>
              </w:rPr>
              <w:t xml:space="preserve">One track's function signature quietly changes mid-project</w:t>
            </w:r>
          </w:p>
        </w:tc>
        <w:tc>
          <w:tcPr>
            <w:tcW w:type="dxa" w:w="6150"/>
            <w:tcMar>
              <w:top w:type="dxa" w:w="50"/>
              <w:left w:type="dxa" w:w="90"/>
              <w:bottom w:type="dxa" w:w="50"/>
              <w:right w:type="dxa" w:w="90"/>
            </w:tcMar>
          </w:tcPr>
          <w:p>
            <w:r>
              <w:rPr>
                <w:sz w:val="19"/>
                <w:szCs w:val="19"/>
              </w:rPr>
              <w:t xml:space="preserve">The Phase 7 team sync (Step 1) exists specifically to catch this before it becomes a late, expensive surprise</w:t>
            </w:r>
          </w:p>
        </w:tc>
      </w:tr>
      <w:tr>
        <w:tc>
          <w:tcPr>
            <w:tcW w:type="dxa" w:w="3200"/>
            <w:tcMar>
              <w:top w:type="dxa" w:w="50"/>
              <w:left w:type="dxa" w:w="90"/>
              <w:bottom w:type="dxa" w:w="50"/>
              <w:right w:type="dxa" w:w="90"/>
            </w:tcMar>
          </w:tcPr>
          <w:p>
            <w:r>
              <w:rPr>
                <w:sz w:val="19"/>
                <w:szCs w:val="19"/>
              </w:rPr>
              <w:t xml:space="preserve">GNN stretch goal does not converge in time</w:t>
            </w:r>
          </w:p>
        </w:tc>
        <w:tc>
          <w:tcPr>
            <w:tcW w:type="dxa" w:w="6150"/>
            <w:tcMar>
              <w:top w:type="dxa" w:w="50"/>
              <w:left w:type="dxa" w:w="90"/>
              <w:bottom w:type="dxa" w:w="50"/>
              <w:right w:type="dxa" w:w="90"/>
            </w:tcMar>
          </w:tcPr>
          <w:p>
            <w:r>
              <w:rPr>
                <w:sz w:val="19"/>
                <w:szCs w:val="19"/>
              </w:rPr>
              <w:t xml:space="preserve">Never load-bearing — PageRank remains the MVP scorer regardless of whether the GNN ablation lands</w:t>
            </w:r>
          </w:p>
        </w:tc>
      </w:tr>
    </w:tbl>
    <w:p>
      <w:pPr>
        <w:pStyle w:val="Heading2"/>
        <w:spacing w:after="140" w:before="260"/>
      </w:pPr>
      <w:r>
        <w:t xml:space="preserve">Appendix C — Quick Glossary</w:t>
      </w:r>
    </w:p>
    <w:p>
      <w:pPr>
        <w:pStyle w:val="ListParagraph"/>
        <w:numPr>
          <w:ilvl w:val="0"/>
          <w:numId w:val="2"/>
        </w:numPr>
        <w:spacing w:after="70"/>
      </w:pPr>
      <w:r>
        <w:t xml:space="preserve">PPR — Personalized PageRank; the graph-based risk-scoring algorithm (Phase 2)</w:t>
      </w:r>
    </w:p>
    <w:p>
      <w:pPr>
        <w:pStyle w:val="ListParagraph"/>
        <w:numPr>
          <w:ilvl w:val="0"/>
          <w:numId w:val="2"/>
        </w:numPr>
        <w:spacing w:after="70"/>
      </w:pPr>
      <w:r>
        <w:t xml:space="preserve">MILP — Mixed-Integer Linear Program; the formulation used for the network-interdiction prioritizer (Phase 3)</w:t>
      </w:r>
    </w:p>
    <w:p>
      <w:pPr>
        <w:pStyle w:val="ListParagraph"/>
        <w:numPr>
          <w:ilvl w:val="0"/>
          <w:numId w:val="2"/>
        </w:numPr>
        <w:spacing w:after="70"/>
      </w:pPr>
      <w:r>
        <w:t xml:space="preserve">Patch-IR — the closed, typed intermediate representation every remediation tier emits instead of free-form code (Shared Contract 4)</w:t>
      </w:r>
    </w:p>
    <w:p>
      <w:pPr>
        <w:pStyle w:val="ListParagraph"/>
        <w:numPr>
          <w:ilvl w:val="0"/>
          <w:numId w:val="2"/>
        </w:numPr>
        <w:spacing w:after="70"/>
      </w:pPr>
      <w:r>
        <w:t xml:space="preserve">T0 / T1 / T2 / T3 — the four remediation tiers: deterministic templates, the local fine-tuned model, the optional remote LLM, and the human approval queue</w:t>
      </w:r>
    </w:p>
    <w:p>
      <w:pPr>
        <w:pStyle w:val="ListParagraph"/>
        <w:numPr>
          <w:ilvl w:val="0"/>
          <w:numId w:val="2"/>
        </w:numPr>
        <w:spacing w:after="70"/>
      </w:pPr>
      <w:r>
        <w:t xml:space="preserve">M1 / M2 — the two load-bearing ML models: M1 drafts Patch-IR candidates, M2 produces a calibrated confidence score for the auto-apply decision</w:t>
      </w:r>
    </w:p>
    <w:p>
      <w:pPr>
        <w:pStyle w:val="ListParagraph"/>
        <w:numPr>
          <w:ilvl w:val="0"/>
          <w:numId w:val="2"/>
        </w:numPr>
        <w:spacing w:after="70"/>
      </w:pPr>
      <w:r>
        <w:t xml:space="preserve">SFT / LoRA / QLoRA — supervised fine-tuning and the parameter-efficient techniques used to train M1 on free-tier GPUs</w:t>
      </w:r>
    </w:p>
    <w:p>
      <w:pPr>
        <w:pStyle w:val="ListParagraph"/>
        <w:numPr>
          <w:ilvl w:val="0"/>
          <w:numId w:val="2"/>
        </w:numPr>
        <w:spacing w:after="70"/>
      </w:pPr>
      <w:r>
        <w:t xml:space="preserve">GRPO — a reinforcement-learning technique used as the stretch rung of M1's training ladder, using the verification gate's outcome as the reward signal</w:t>
      </w:r>
    </w:p>
    <w:p>
      <w:pPr>
        <w:pStyle w:val="ListParagraph"/>
        <w:numPr>
          <w:ilvl w:val="0"/>
          <w:numId w:val="2"/>
        </w:numPr>
        <w:spacing w:after="70"/>
      </w:pPr>
      <w:r>
        <w:t xml:space="preserve">Conformal risk control — the statistical method (Phase 6) that turns M2's confidence score into an auto-apply threshold with a finite-sample error-rate guarantee</w:t>
      </w:r>
    </w:p>
    <w:p>
      <w:pPr>
        <w:pStyle w:val="ListParagraph"/>
        <w:numPr>
          <w:ilvl w:val="0"/>
          <w:numId w:val="2"/>
        </w:numPr>
        <w:spacing w:after="70"/>
      </w:pPr>
      <w:r>
        <w:t xml:space="preserve">Airlock — the privacy-preserving data boundary (Phase 4) sitting in front of every remediation tier, including the local one</w:t>
      </w:r>
    </w:p>
    <w:p>
      <w:pPr>
        <w:pStyle w:val="ListParagraph"/>
        <w:numPr>
          <w:ilvl w:val="0"/>
          <w:numId w:val="2"/>
        </w:numPr>
        <w:spacing w:after="70"/>
      </w:pPr>
      <w:r>
        <w:t xml:space="preserve">DPDP Act / Rules, 2025 — India's Digital Personal Data Protection Rules; Rules 6, 7, 8, and 15 are the four this project maps to specific, checkable technical facts</w:t>
      </w:r>
    </w:p>
    <w:p>
      <w:pPr>
        <w:pStyle w:val="Heading2"/>
        <w:spacing w:after="140" w:before="260"/>
      </w:pPr>
      <w:r>
        <w:t xml:space="preserve">Closing Note</w:t>
      </w:r>
    </w:p>
    <w:p>
      <w:pPr>
        <w:spacing w:after="150"/>
      </w:pPr>
      <w:r>
        <w:t xml:space="preserve">This document is meant to be a living guide, not a static one — update a phase's Integration Checkpoint the moment a function signature genuinely needs to change, and update the Master Dependency Map if the team's actual week-by-week pace diverges from the estimates here. What must not change without a team-wide conversation is the Shared Contracts section: that is the one part of this plan every other phase is quietly assuming still holds true.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ARGUS Master Execution &amp; Build Guide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abstractNum w:abstractNumId="10" w15:restartNumberingAfterBreak="0">
    <w:multiLevelType w:val="hybridMultilevel"/>
    <w:lvl w:ilvl="0" w15:tentative="1">
      <w:start w:val="1"/>
      <w:numFmt w:val="decimal"/>
      <w:lvlText w:val="%1."/>
      <w:lvlJc w:val="left"/>
      <w:pPr>
        <w:ind w:left="460" w:hanging="320"/>
      </w:pPr>
    </w:lvl>
  </w:abstractNum>
  <w:abstractNum w:abstractNumId="11" w15:restartNumberingAfterBreak="0">
    <w:multiLevelType w:val="hybridMultilevel"/>
    <w:lvl w:ilvl="0" w15:tentative="1">
      <w:start w:val="1"/>
      <w:numFmt w:val="decimal"/>
      <w:lvlText w:val="%1."/>
      <w:lvlJc w:val="left"/>
      <w:pPr>
        <w:ind w:left="460" w:hanging="320"/>
      </w:pPr>
    </w:lvl>
  </w:abstractNum>
  <w:abstractNum w:abstractNumId="12" w15:restartNumberingAfterBreak="0">
    <w:multiLevelType w:val="hybridMultilevel"/>
    <w:lvl w:ilvl="0" w15:tentative="1">
      <w:start w:val="1"/>
      <w:numFmt w:val="decimal"/>
      <w:lvlText w:val="%1."/>
      <w:lvlJc w:val="left"/>
      <w:pPr>
        <w:ind w:left="460" w:hanging="320"/>
      </w:pPr>
    </w:lvl>
  </w:abstractNum>
  <w:abstractNum w:abstractNumId="13" w15:restartNumberingAfterBreak="0">
    <w:multiLevelType w:val="hybridMultilevel"/>
    <w:lvl w:ilvl="0" w15:tentative="1">
      <w:start w:val="1"/>
      <w:numFmt w:val="decimal"/>
      <w:lvlText w:val="%1."/>
      <w:lvlJc w:val="left"/>
      <w:pPr>
        <w:ind w:left="460" w:hanging="320"/>
      </w:pPr>
    </w:lvl>
  </w:abstractNum>
  <w:abstractNum w:abstractNumId="14" w15:restartNumberingAfterBreak="0">
    <w:multiLevelType w:val="hybridMultilevel"/>
    <w:lvl w:ilvl="0" w15:tentative="1">
      <w:start w:val="1"/>
      <w:numFmt w:val="decimal"/>
      <w:lvlText w:val="%1."/>
      <w:lvlJc w:val="left"/>
      <w:pPr>
        <w:ind w:left="460" w:hanging="320"/>
      </w:pPr>
    </w:lvl>
  </w:abstractNum>
  <w:abstractNum w:abstractNumId="15"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 Master Execution &amp; Build Guide v3</dc:title>
  <dc:creator>ARGUS Team</dc:creator>
  <dc:description>Step-by-step phase-based execution plan for the ARGUS Cloud Security EL project</dc:description>
  <cp:lastModifiedBy>Un-named</cp:lastModifiedBy>
  <cp:revision>1</cp:revision>
  <dcterms:created xsi:type="dcterms:W3CDTF">2026-09-22T08:33:18.029Z</dcterms:created>
  <dcterms:modified xsi:type="dcterms:W3CDTF">2026-09-22T08:33:18.030Z</dcterms:modified>
</cp:coreProperties>
</file>

<file path=docProps/custom.xml><?xml version="1.0" encoding="utf-8"?>
<Properties xmlns="http://schemas.openxmlformats.org/officeDocument/2006/custom-properties" xmlns:vt="http://schemas.openxmlformats.org/officeDocument/2006/docPropsVTypes"/>
</file>