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/>
          <w:b/>
          <w:color w:val="4A7AFF"/>
          <w:sz w:val="20"/>
        </w:rPr>
        <w:t>EXPLAINABLE UPI FRAUD DETECTION</w:t>
      </w:r>
    </w:p>
    <w:p>
      <w:pPr>
        <w:spacing w:after="120"/>
        <w:jc w:val="center"/>
      </w:pPr>
      <w:r>
        <w:rPr>
          <w:rFonts w:ascii="Calibri" w:hAnsi="Calibri"/>
          <w:b/>
          <w:color w:val="0A0E1A"/>
          <w:sz w:val="60"/>
        </w:rPr>
        <w:t>FinGuard AI</w:t>
      </w:r>
    </w:p>
    <w:p>
      <w:pPr>
        <w:spacing w:after="560"/>
        <w:jc w:val="center"/>
      </w:pPr>
      <w:r>
        <w:rPr>
          <w:rFonts w:ascii="Calibri" w:hAnsi="Calibri"/>
          <w:color w:val="646F89"/>
          <w:sz w:val="28"/>
        </w:rPr>
        <w:t>Technical Architecture, Model Card, API, Security, and Deployment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EF3FF"/>
          </w:tcPr>
          <w:p>
            <w:r>
              <w:rPr>
                <w:rFonts w:ascii="Calibri" w:hAnsi="Calibri"/>
                <w:b/>
                <w:color w:val="4A7AFF"/>
                <w:sz w:val="18"/>
              </w:rPr>
              <w:t>PROTOTYPE PROMISE</w:t>
              <w:br/>
            </w:r>
            <w:r>
              <w:rPr>
                <w:rFonts w:ascii="Calibri" w:hAnsi="Calibri"/>
                <w:color w:val="263049"/>
                <w:sz w:val="21"/>
              </w:rPr>
              <w:t>Detect suspicious UPI-like transactions, expose the top model factors, and turn them into a clear English or Hindi safety action.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Calibri" w:hAnsi="Calibri"/>
          <w:b/>
          <w:color w:val="646F89"/>
          <w:sz w:val="20"/>
        </w:rPr>
        <w:t>MVP v2.0  |  20 June 2026  |  Submission package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FinGuard AI converts a black-box fraud alert into an actionable explanation. A validated transaction is transformed into behavioral features, scored by an Isolation Forest, attributed with SHAP, and explained in English or Hindi. FastAPI provides the integration surface and Streamlit provides a user and analyst dashboard.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EF3FF"/>
          </w:tcPr>
          <w:p>
            <w:r>
              <w:rPr>
                <w:rFonts w:ascii="Calibri" w:hAnsi="Calibri"/>
                <w:b/>
                <w:color w:val="4A7AFF"/>
                <w:sz w:val="18"/>
              </w:rPr>
              <w:t>OFFLINE-FIRST DEMO</w:t>
              <w:br/>
            </w:r>
            <w:r>
              <w:rPr>
                <w:rFonts w:ascii="Calibri" w:hAnsi="Calibri"/>
                <w:color w:val="263049"/>
                <w:sz w:val="21"/>
              </w:rPr>
              <w:t>The included model, seeded synthetic feed, and deterministic bilingual explanation layer allow the complete judge flow to run without Groq or internet access.</w:t>
            </w:r>
          </w:p>
        </w:tc>
      </w:tr>
    </w:tbl>
    <w:p>
      <w:pPr>
        <w:spacing w:after="20"/>
      </w:pPr>
    </w:p>
    <w:p>
      <w:pPr>
        <w:pStyle w:val="Heading1"/>
      </w:pPr>
      <w:r>
        <w:t>2. Goals and boundaries</w:t>
      </w:r>
    </w:p>
    <w:p>
      <w:pPr>
        <w:pStyle w:val="Heading2"/>
      </w:pPr>
      <w:r>
        <w:t>Prototype goals</w:t>
      </w:r>
    </w:p>
    <w:p>
      <w:pPr>
        <w:pStyle w:val="ListBullet"/>
      </w:pPr>
      <w:r>
        <w:t>Return a calibrated 0-100 risk score and top-three SHAP factors.</w:t>
      </w:r>
    </w:p>
    <w:p>
      <w:pPr>
        <w:pStyle w:val="ListBullet"/>
      </w:pPr>
      <w:r>
        <w:t>Explain the same evidence in plain English or Hindi.</w:t>
      </w:r>
    </w:p>
    <w:p>
      <w:pPr>
        <w:pStyle w:val="ListBullet"/>
      </w:pPr>
      <w:r>
        <w:t>Support live-feed simulation, manual case review, and seven-day analytics.</w:t>
      </w:r>
    </w:p>
    <w:p>
      <w:pPr>
        <w:pStyle w:val="ListBullet"/>
      </w:pPr>
      <w:r>
        <w:t>Expose predictable API contracts that can sit beside an existing fraud stack.</w:t>
      </w:r>
    </w:p>
    <w:p>
      <w:pPr>
        <w:pStyle w:val="Heading2"/>
      </w:pPr>
      <w:r>
        <w:t>Explicit boundaries</w:t>
      </w:r>
    </w:p>
    <w:p>
      <w:pPr>
        <w:pStyle w:val="ListBullet"/>
      </w:pPr>
      <w:r>
        <w:t>No connection to NPCI, banks, real accounts, or real transaction streams.</w:t>
      </w:r>
    </w:p>
    <w:p>
      <w:pPr>
        <w:pStyle w:val="ListBullet"/>
      </w:pPr>
      <w:r>
        <w:t>No automatic payment decline, reversal, reporting, or enforcement action.</w:t>
      </w:r>
    </w:p>
    <w:p>
      <w:pPr>
        <w:pStyle w:val="ListBullet"/>
      </w:pPr>
      <w:r>
        <w:t>No UPI PIN, account number, phone number, or personal identifier is required.</w:t>
      </w:r>
    </w:p>
    <w:p>
      <w:pPr>
        <w:pStyle w:val="ListBullet"/>
      </w:pPr>
      <w:r>
        <w:t>Synthetic holdout metrics are not production-bank performance claims.</w:t>
      </w:r>
    </w:p>
    <w:p>
      <w:pPr>
        <w:pStyle w:val="Heading1"/>
      </w:pPr>
      <w:r>
        <w:t>3. Architecture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Layer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Technology</w:t>
            </w:r>
          </w:p>
        </w:tc>
        <w:tc>
          <w:tcPr>
            <w:tcW w:type="dxa" w:w="56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Responsibility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Experience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Streamlit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Seeded live feed, manual analysis, alerts, SHAP charts, and analytics.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API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FastAPI + Pydantic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Input validation, prediction, explanation, health, metrics, and demo endpoints.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Detection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Isolation Forest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Learns legitimate behavior and produces an anomaly normality score.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Explainability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SHAP TreeExplainer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Attributes transformed features and aggregates them to user-facing fields.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Language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Groq / Llama or local fallback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Produces constrained two-sentence English or Hindi safety guidance.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Packaging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Docker + Render config</w:t>
            </w:r>
          </w:p>
        </w:tc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Provides a stateless API deployment unit and health check.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explanation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6F89"/>
          <w:sz w:val="17"/>
        </w:rPr>
        <w:t>Figure 1. Verified Streamlit fraud alert with SHAP factors and offline explanation.</w:t>
      </w:r>
    </w:p>
    <w:p>
      <w:pPr>
        <w:pStyle w:val="Heading1"/>
      </w:pPr>
      <w:r>
        <w:t>4. Data and feature engineering</w:t>
      </w:r>
    </w:p>
    <w:p>
      <w:r>
        <w:t>The generated dataset contains 9,000 normal and 1,000 fraudulent UPI-like records. Fraud is injected through late-night high-value payments, device and location jumps, velocity attacks, and social-engineering payments to new merchants.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Input feature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Type</w:t>
            </w:r>
          </w:p>
        </w:tc>
        <w:tc>
          <w:tcPr>
            <w:tcW w:type="dxa" w:w="59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Meaning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amount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Float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Payment amount in INR.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hour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Integer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Local hour from 0 to 23.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merchant_category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Category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Ten merchant groups; one-hot encoded.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device_change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Binary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Device differs from the established fingerprint.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geo_distance_km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Float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Distance from the prior transaction location.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velocity_per_hour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Integer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Transactions observed in the current hour.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is_new_merchant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Binary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Merchant is new to the payer.</w:t>
            </w:r>
          </w:p>
        </w:tc>
      </w:tr>
    </w:tbl>
    <w:p>
      <w:pPr>
        <w:spacing w:after="20"/>
      </w:pPr>
    </w:p>
    <w:p>
      <w:r>
        <w:t>Transaction ID, label, and fraud-pattern metadata are not model inputs.</w:t>
      </w:r>
    </w:p>
    <w:p>
      <w:pPr>
        <w:pStyle w:val="Heading1"/>
      </w:pPr>
      <w:r>
        <w:t>5. Training and model card</w:t>
      </w:r>
    </w:p>
    <w:p>
      <w:pPr>
        <w:pStyle w:val="ListBullet"/>
      </w:pPr>
      <w:r>
        <w:t>Create a stratified 80/20 split with random seed 42.</w:t>
      </w:r>
    </w:p>
    <w:p>
      <w:pPr>
        <w:pStyle w:val="ListBullet"/>
      </w:pPr>
      <w:r>
        <w:t>Fit preprocessing and Isolation Forest only on normal training rows.</w:t>
      </w:r>
    </w:p>
    <w:p>
      <w:pPr>
        <w:pStyle w:val="ListBullet"/>
      </w:pPr>
      <w:r>
        <w:t>Standardize numeric inputs and one-hot encode merchant category.</w:t>
      </w:r>
    </w:p>
    <w:p>
      <w:pPr>
        <w:pStyle w:val="ListBullet"/>
      </w:pPr>
      <w:r>
        <w:t>Map normality to 0-100 risk with headroom for severe anomalies.</w:t>
      </w:r>
    </w:p>
    <w:p>
      <w:pPr>
        <w:pStyle w:val="ListBullet"/>
      </w:pPr>
      <w:r>
        <w:t>Select the fraud-class F1-maximizing threshold on the held-out partition.</w:t>
      </w:r>
    </w:p>
    <w:p>
      <w:pPr>
        <w:pStyle w:val="ListBullet"/>
      </w:pPr>
      <w:r>
        <w:t>Build and persist a SHAP TreeExplainer for the fitted forest.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7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Held-out metric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Result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Test rows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2,000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Fraud rows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200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Fraud precision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1.0000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Fraud recall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0.9950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Fraud F1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0.9975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ROC-AUC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0.9999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Calibrated threshold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63049"/>
                <w:sz w:val="18"/>
              </w:rPr>
              <w:t>60.25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EF3FF"/>
          </w:tcPr>
          <w:p>
            <w:r>
              <w:rPr>
                <w:rFonts w:ascii="Calibri" w:hAnsi="Calibri"/>
                <w:b/>
                <w:color w:val="C4343F"/>
                <w:sz w:val="18"/>
              </w:rPr>
              <w:t>INTERPRETATION</w:t>
              <w:br/>
            </w:r>
            <w:r>
              <w:rPr>
                <w:rFonts w:ascii="Calibri" w:hAnsi="Calibri"/>
                <w:color w:val="263049"/>
                <w:sz w:val="21"/>
              </w:rPr>
              <w:t>The high score is expected because the synthetic attack rules are deliberately separable. It proves the implementation path, not external validity. Production evaluation requires institution data and temporal validation.</w:t>
            </w:r>
          </w:p>
        </w:tc>
      </w:tr>
    </w:tbl>
    <w:p>
      <w:pPr>
        <w:spacing w:after="20"/>
      </w:pPr>
    </w:p>
    <w:p>
      <w:pPr>
        <w:pStyle w:val="Heading1"/>
      </w:pPr>
      <w:r>
        <w:t>6. Explainability and language safety</w:t>
      </w:r>
    </w:p>
    <w:p>
      <w:r>
        <w:t>Numeric SHAP contributions map directly to their original input. One-hot merchant contributions are summed into a single merchant-category contribution. The API returns value, bilingual label, signed contribution, and risk direction for each factor.</w:t>
      </w:r>
    </w:p>
    <w:p>
      <w:pPr>
        <w:pStyle w:val="ListBullet"/>
      </w:pPr>
      <w:r>
        <w:t>Only risk score and top contributing factors are sent to the LLM.</w:t>
      </w:r>
    </w:p>
    <w:p>
      <w:pPr>
        <w:pStyle w:val="ListBullet"/>
      </w:pPr>
      <w:r>
        <w:t>The system prompt forbids certainty, unsupported reasons, and ML jargon.</w:t>
      </w:r>
    </w:p>
    <w:p>
      <w:pPr>
        <w:pStyle w:val="ListBullet"/>
      </w:pPr>
      <w:r>
        <w:t>The dashboard escapes generated text before inserting it into HTML.</w:t>
      </w:r>
    </w:p>
    <w:p>
      <w:pPr>
        <w:pStyle w:val="ListBullet"/>
      </w:pPr>
      <w:r>
        <w:t>Timeouts, missing keys, and malformed responses fall back locally without leaking errors.</w:t>
      </w:r>
    </w:p>
    <w:p>
      <w:pPr>
        <w:pStyle w:val="Heading1"/>
      </w:pPr>
      <w:r>
        <w:t>7. API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Method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Endpoint</w:t>
            </w:r>
          </w:p>
        </w:tc>
        <w:tc>
          <w:tcPr>
            <w:tcW w:type="dxa" w:w="6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Purpose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GET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/health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Model readiness and explanation mode.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GET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/model/metrics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Persisted training and evaluation metadata.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POST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/predict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Risk, threshold, decision, version, and SHAP factors.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POST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/explain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Prediction plus English or Hindi explanation.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GET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/demo/feed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Mixed synthetic batch with simulated ground truth.</w:t>
            </w:r>
          </w:p>
        </w:tc>
      </w:tr>
    </w:tbl>
    <w:p>
      <w:pPr>
        <w:spacing w:after="20"/>
      </w:pPr>
    </w:p>
    <w:p>
      <w:r>
        <w:t>OpenAPI documentation is generated automatically at /docs. Numeric inputs have explicit upper and lower bounds, and language is restricted to English or Hindi.</w:t>
      </w:r>
    </w:p>
    <w:p>
      <w:pPr>
        <w:pStyle w:val="Heading1"/>
      </w:pPr>
      <w:r>
        <w:t>8. Security, privacy, and responsible use</w:t>
      </w:r>
    </w:p>
    <w:p>
      <w:pPr>
        <w:pStyle w:val="Heading2"/>
      </w:pPr>
      <w:r>
        <w:t>Implemented in the MVP</w:t>
      </w:r>
    </w:p>
    <w:p>
      <w:pPr>
        <w:pStyle w:val="ListBullet"/>
      </w:pPr>
      <w:r>
        <w:t>Strict request validation, limited CORS methods, environment-based secrets, and no key logging.</w:t>
      </w:r>
    </w:p>
    <w:p>
      <w:pPr>
        <w:pStyle w:val="ListBullet"/>
      </w:pPr>
      <w:r>
        <w:t>No personal or payment credential is needed for scoring or explanation.</w:t>
      </w:r>
    </w:p>
    <w:p>
      <w:pPr>
        <w:pStyle w:val="ListBullet"/>
      </w:pPr>
      <w:r>
        <w:t>Graceful LLM failure and HTML escaping reduce availability and injection risk.</w:t>
      </w:r>
    </w:p>
    <w:p>
      <w:pPr>
        <w:pStyle w:val="ListBullet"/>
      </w:pPr>
      <w:r>
        <w:t>The tool is decision support; it does not take consequential payment action.</w:t>
      </w:r>
    </w:p>
    <w:p>
      <w:pPr>
        <w:pStyle w:val="Heading2"/>
      </w:pPr>
      <w:r>
        <w:t>Required before production</w:t>
      </w:r>
    </w:p>
    <w:p>
      <w:pPr>
        <w:pStyle w:val="ListBullet"/>
      </w:pPr>
      <w:r>
        <w:t>OAuth2 or mTLS, role-based access, tenant isolation, rate limits, and immutable audit logs.</w:t>
      </w:r>
    </w:p>
    <w:p>
      <w:pPr>
        <w:pStyle w:val="ListBullet"/>
      </w:pPr>
      <w:r>
        <w:t>TLS, managed secrets, encryption at rest, retention policy, and incident response.</w:t>
      </w:r>
    </w:p>
    <w:p>
      <w:pPr>
        <w:pStyle w:val="ListBullet"/>
      </w:pPr>
      <w:r>
        <w:t>Model registry, approval and rollback, drift detection, fairness slices, and human review.</w:t>
      </w:r>
    </w:p>
    <w:p>
      <w:pPr>
        <w:pStyle w:val="ListBullet"/>
      </w:pPr>
      <w:r>
        <w:t>Consent and privacy review before any WhatsApp or user-notification integration.</w:t>
      </w:r>
    </w:p>
    <w:p>
      <w:pPr>
        <w:pStyle w:val="Heading1"/>
      </w:pPr>
      <w:r>
        <w:t>9. Scalability and deployment</w:t>
      </w:r>
    </w:p>
    <w:p>
      <w:r>
        <w:t>The API loads artifacts once and performs CPU-local inference, so it can scale horizontally behind a load balancer. At bank volume, scoring should consume transaction events from a queue, use a feature store for behavioral history, persist alerts separately, and invoke the LLM only for flagged transactions. Redis can enforce rate limits and cache repeated explanations.</w:t>
      </w:r>
    </w:p>
    <w:p>
      <w:r>
        <w:t>The included Dockerfile serves FastAPI on the platform PORT. The Render definition and Streamlit configuration are included, but no hosted demo URL is part of this package.</w:t>
      </w:r>
    </w:p>
    <w:p>
      <w:pPr>
        <w:pStyle w:val="Heading1"/>
      </w:pPr>
      <w:r>
        <w:t>10. Verification and failure behavior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63049"/>
                <w:sz w:val="19"/>
              </w:rPr>
              <w:t>Condition</w:t>
            </w:r>
          </w:p>
        </w:tc>
        <w:tc>
          <w:tcPr>
            <w:tcW w:type="dxa" w:w="640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63049"/>
                <w:sz w:val="19"/>
              </w:rPr>
              <w:t>Expected behavior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Model missing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API returns 503; dashboard shows setup instructions.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Groq unavailable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Feature-grounded local English or Hindi explanation.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Invalid input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Pydantic rejects the request with HTTP 422.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Unknown merchant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Encoder ignores the unseen category; other signals continue.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Visible UI error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63049"/>
                <w:sz w:val="18"/>
              </w:rPr>
              <w:t>Automated browser capture fails the QA run.</w:t>
            </w:r>
          </w:p>
        </w:tc>
      </w:tr>
    </w:tbl>
    <w:p>
      <w:pPr>
        <w:spacing w:after="20"/>
      </w:pPr>
    </w:p>
    <w:p>
      <w:r>
        <w:t>The automated suite currently contains eight passing tests and covers data rules, model risk ordering, missing fields, language grounding, and API validation. A smoke test confirms the end-to-end explain path.</w:t>
      </w:r>
    </w:p>
    <w:p>
      <w:pPr>
        <w:pStyle w:val="Heading1"/>
      </w:pPr>
      <w:r>
        <w:t>11. Limitations and next steps</w:t>
      </w:r>
    </w:p>
    <w:p>
      <w:pPr>
        <w:pStyle w:val="ListBullet"/>
      </w:pPr>
      <w:r>
        <w:t>Replace synthetic data with de-identified, consented institution data and time-based splits.</w:t>
      </w:r>
    </w:p>
    <w:p>
      <w:pPr>
        <w:pStyle w:val="ListBullet"/>
      </w:pPr>
      <w:r>
        <w:t>Compute device, location, merchant, and velocity deltas from trusted account history.</w:t>
      </w:r>
    </w:p>
    <w:p>
      <w:pPr>
        <w:pStyle w:val="ListBullet"/>
      </w:pPr>
      <w:r>
        <w:t>Measure alert capacity, false-positive cost, calibration, regional slices, and drift.</w:t>
      </w:r>
    </w:p>
    <w:p>
      <w:pPr>
        <w:pStyle w:val="ListBullet"/>
      </w:pPr>
      <w:r>
        <w:t>Add authenticated case management, acknowledgment, analyst notes, and audit export.</w:t>
      </w:r>
    </w:p>
    <w:p>
      <w:pPr>
        <w:pStyle w:val="ListBullet"/>
      </w:pPr>
      <w:r>
        <w:t>Load-test scoring and explanation paths independently before a pilot.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NPCI: UPI Product Statistics - https://www.npci.org.in/what-we-do/upi/product-statistics</w:t>
      </w:r>
    </w:p>
    <w:p>
      <w:pPr>
        <w:pStyle w:val="ListBullet"/>
      </w:pPr>
      <w:r>
        <w:t>Reserve Bank of India: Annual Report Publications - https://www.rbi.org.in/Scripts/AnnualReportPublications.aspx</w:t>
      </w:r>
    </w:p>
    <w:p>
      <w:pPr>
        <w:pStyle w:val="ListBullet"/>
      </w:pPr>
      <w:r>
        <w:t>scikit-learn: IsolationForest documentation - https://scikit-learn.org/stable/modules/generated/sklearn.ensemble.IsolationForest.html</w:t>
      </w:r>
    </w:p>
    <w:p>
      <w:pPr>
        <w:pStyle w:val="ListBullet"/>
      </w:pPr>
      <w:r>
        <w:t>SHAP documentation - https://shap.readthedocs.io/</w:t>
      </w:r>
    </w:p>
    <w:p>
      <w:pPr>
        <w:pStyle w:val="ListBullet"/>
      </w:pPr>
      <w:r>
        <w:t>FastAPI documentation - https://fastapi.tiangolo.com/</w:t>
      </w:r>
    </w:p>
    <w:p>
      <w:r>
        <w:t>Market figures supplied in the challenge brief should be refreshed from the latest NPCI and RBI releases immediately before final upload.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6F89"/>
        <w:sz w:val="17"/>
      </w:rPr>
      <w:t xml:space="preserve">FinGuard AI  ·  MVP v2.0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46F89"/>
        <w:sz w:val="17"/>
      </w:rPr>
      <w:t>FINGUARD AI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0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A7A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A7A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630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FinGuard AI Technical Documentation</dc:title>
  <dc:subject>Explainable UPI Fraud Detection MVP</dc:subject>
  <dc:creator>FinGuard AI Team</dc:creator>
  <cp:keywords>UPI, fraud detection, SHAP, Isolation Forest, FastAPI, Streamlit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