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1717A"/>
          <w:spacing w:val="50"/>
          <w:sz w:val="17"/>
          <w:szCs w:val="17"/>
        </w:rPr>
        <w:t xml:space="preserve">TAL  ·  PILOT TRACKER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8181B"/>
          <w:sz w:val="40"/>
          <w:szCs w:val="40"/>
        </w:rPr>
        <w:t xml:space="preserve">Ops Reference</w:t>
      </w:r>
    </w:p>
    <w:p>
      <w:pPr>
        <w:spacing w:after="0" w:before="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UGC &amp; Influencer Pilot  ·  May 2026</w:t>
      </w:r>
    </w:p>
    <w:p>
      <w:pPr>
        <w:spacing w:after="0" w:before="360"/>
      </w:pPr>
      <w:r>
        <w:t xml:space="preserve"/>
      </w:r>
    </w:p>
    <w:p>
      <w:pPr>
        <w:pBdr>
          <w:bottom w:val="single" w:color="E4E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Dashboard</w:t>
      </w:r>
    </w:p>
    <w:p>
      <w:pPr>
        <w:spacing w:after="80" w:before="120"/>
      </w:pPr>
      <w:r>
        <w:rPr>
          <w:rFonts w:ascii="Arial" w:cs="Arial" w:eastAsia="Arial" w:hAnsi="Arial"/>
          <w:color w:val="18181B"/>
          <w:sz w:val="20"/>
          <w:szCs w:val="20"/>
        </w:rPr>
        <w:t xml:space="preserve">URL  </w:t>
      </w:r>
      <w:hyperlink w:history="1" r:id="rIdoe1o32td5x5we0wajdilp">
        <w:r>
          <w:rPr>
            <w:rFonts w:ascii="Courier New" w:cs="Courier New" w:eastAsia="Courier New" w:hAnsi="Courier New"/>
            <w:color w:val="2563EB"/>
            <w:sz w:val="20"/>
            <w:szCs w:val="20"/>
            <w:u w:val="single"/>
          </w:rPr>
          <w:t xml:space="preserve">https://content-pilots.vercel.app</w:t>
        </w:r>
      </w:hyperlink>
    </w:p>
    <w:p>
      <w:pPr>
        <w:spacing w:after="0" w:before="4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Each agency logs in with their own credentials below. Admin login: </w:t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admin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/ 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see Supabase users table.</w:t>
      </w:r>
    </w:p>
    <w:p>
      <w:pPr>
        <w:spacing w:after="0" w:before="360"/>
      </w:pPr>
      <w:r>
        <w:t xml:space="preserve"/>
      </w:r>
    </w:p>
    <w:p>
      <w:pPr>
        <w:pBdr>
          <w:bottom w:val="single" w:color="E4E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Agency Credentials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660"/>
      </w:tblGrid>
      <w:tr>
        <w:tc>
          <w:tcPr>
            <w:tcW w:type="dxa" w:w="260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717A"/>
                <w:spacing w:val="30"/>
                <w:sz w:val="17"/>
                <w:szCs w:val="17"/>
              </w:rPr>
              <w:t xml:space="preserve">AGENCY</w:t>
            </w:r>
          </w:p>
        </w:tc>
        <w:tc>
          <w:tcPr>
            <w:tcW w:type="dxa" w:w="310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717A"/>
                <w:spacing w:val="30"/>
                <w:sz w:val="17"/>
                <w:szCs w:val="17"/>
              </w:rPr>
              <w:t xml:space="preserve">USERNAME</w:t>
            </w:r>
          </w:p>
        </w:tc>
        <w:tc>
          <w:tcPr>
            <w:tcW w:type="dxa" w:w="366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717A"/>
                <w:spacing w:val="30"/>
                <w:sz w:val="17"/>
                <w:szCs w:val="17"/>
              </w:rPr>
              <w:t xml:space="preserve">PASSWORD</w:t>
            </w:r>
          </w:p>
        </w:tc>
      </w:tr>
      <w:tr>
        <w:tc>
          <w:tcPr>
            <w:tcW w:type="dxa" w:w="260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The Other</w:t>
            </w:r>
          </w:p>
        </w:tc>
        <w:tc>
          <w:tcPr>
            <w:tcW w:type="dxa" w:w="310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the-other</w:t>
            </w:r>
          </w:p>
        </w:tc>
        <w:tc>
          <w:tcPr>
            <w:tcW w:type="dxa" w:w="366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sdXEdM2pZA</w:t>
            </w:r>
          </w:p>
        </w:tc>
      </w:tr>
      <w:tr>
        <w:tc>
          <w:tcPr>
            <w:tcW w:type="dxa" w:w="260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Third Draft</w:t>
            </w:r>
          </w:p>
        </w:tc>
        <w:tc>
          <w:tcPr>
            <w:tcW w:type="dxa" w:w="310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third-draft</w:t>
            </w:r>
          </w:p>
        </w:tc>
        <w:tc>
          <w:tcPr>
            <w:tcW w:type="dxa" w:w="366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UP5QRf2dVs</w:t>
            </w:r>
          </w:p>
        </w:tc>
      </w:tr>
      <w:tr>
        <w:tc>
          <w:tcPr>
            <w:tcW w:type="dxa" w:w="260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Dot</w:t>
            </w:r>
          </w:p>
        </w:tc>
        <w:tc>
          <w:tcPr>
            <w:tcW w:type="dxa" w:w="310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dot-ugc</w:t>
            </w:r>
          </w:p>
        </w:tc>
        <w:tc>
          <w:tcPr>
            <w:tcW w:type="dxa" w:w="366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7GkjmZ3GPY</w:t>
            </w:r>
          </w:p>
        </w:tc>
      </w:tr>
      <w:tr>
        <w:tc>
          <w:tcPr>
            <w:tcW w:type="dxa" w:w="260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YoursBossy</w:t>
            </w:r>
          </w:p>
        </w:tc>
        <w:tc>
          <w:tcPr>
            <w:tcW w:type="dxa" w:w="310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yoursbossy</w:t>
            </w:r>
          </w:p>
        </w:tc>
        <w:tc>
          <w:tcPr>
            <w:tcW w:type="dxa" w:w="366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U9sDhNukvY</w:t>
            </w:r>
          </w:p>
        </w:tc>
      </w:tr>
      <w:tr>
        <w:tc>
          <w:tcPr>
            <w:tcW w:type="dxa" w:w="260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Aarchi</w:t>
            </w:r>
          </w:p>
        </w:tc>
        <w:tc>
          <w:tcPr>
            <w:tcW w:type="dxa" w:w="310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aarchi</w:t>
            </w:r>
          </w:p>
        </w:tc>
        <w:tc>
          <w:tcPr>
            <w:tcW w:type="dxa" w:w="366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6kbaMYGaBJ</w:t>
            </w:r>
          </w:p>
        </w:tc>
      </w:tr>
      <w:tr>
        <w:tc>
          <w:tcPr>
            <w:tcW w:type="dxa" w:w="260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Eastern Monk</w:t>
            </w:r>
          </w:p>
        </w:tc>
        <w:tc>
          <w:tcPr>
            <w:tcW w:type="dxa" w:w="310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eastern-monk</w:t>
            </w:r>
          </w:p>
        </w:tc>
        <w:tc>
          <w:tcPr>
            <w:tcW w:type="dxa" w:w="366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5esHhb3AhS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i/>
          <w:iCs/>
          <w:color w:val="71717A"/>
          <w:sz w:val="18"/>
          <w:szCs w:val="18"/>
        </w:rPr>
        <w:t xml:space="preserve">Share each row individually — agencies should only see their own credentials.</w:t>
      </w:r>
    </w:p>
    <w:p>
      <w:pPr>
        <w:spacing w:after="0" w:before="360"/>
      </w:pPr>
      <w:r>
        <w:t xml:space="preserve"/>
      </w:r>
    </w:p>
    <w:p>
      <w:pPr>
        <w:pBdr>
          <w:bottom w:val="single" w:color="E4E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Manual Sync</w:t>
      </w:r>
    </w:p>
    <w:p>
      <w:pPr>
        <w:spacing w:after="80" w:before="120"/>
      </w:pPr>
      <w:r>
        <w:rPr>
          <w:rFonts w:ascii="Arial" w:cs="Arial" w:eastAsia="Arial" w:hAnsi="Arial"/>
          <w:color w:val="18181B"/>
          <w:sz w:val="20"/>
          <w:szCs w:val="20"/>
        </w:rPr>
        <w:t xml:space="preserve">Hit this URL (GET) to trigger a full data sync immediately: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5F3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hyperlink w:history="1" r:id="rIdpr7knjvriqsl1fhnw0-_3">
              <w:r>
                <w:rPr>
                  <w:rFonts w:ascii="Courier New" w:cs="Courier New" w:eastAsia="Courier New" w:hAnsi="Courier New"/>
                  <w:color w:val="2563EB"/>
                  <w:sz w:val="17"/>
                  <w:szCs w:val="17"/>
                  <w:u w:val="single"/>
                </w:rPr>
                <w:t xml:space="preserve">https://content-pilots.vercel.app/api/cron/sync?secret=w6lTQWeLJbg0UdK19pK3PYI7l/TEqlSfi9ZrBTtWyEU=</w:t>
              </w:r>
            </w:hyperlink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color w:val="71717A"/>
          <w:sz w:val="18"/>
          <w:szCs w:val="18"/>
        </w:rPr>
        <w:t xml:space="preserve">Vercel also runs this automatically on a schedule. The sync pulls clicks + installs from Linkrunner and qualified installs from Mixpanel/Metabase/Gemini.</w:t>
      </w:r>
    </w:p>
    <w:p>
      <w:pPr>
        <w:spacing w:after="0" w:before="360"/>
      </w:pPr>
      <w:r>
        <w:t xml:space="preserve"/>
      </w:r>
    </w:p>
    <w:p>
      <w:pPr>
        <w:pBdr>
          <w:bottom w:val="single" w:color="E4E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Data Sources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8181B"/>
          <w:sz w:val="20"/>
          <w:szCs w:val="20"/>
        </w:rPr>
        <w:t xml:space="preserve">Clicks &amp; Installs</w:t>
      </w:r>
      <w:r>
        <w:rPr>
          <w:rFonts w:ascii="Arial" w:cs="Arial" w:eastAsia="Arial" w:hAnsi="Arial"/>
          <w:color w:val="18181B"/>
          <w:sz w:val="20"/>
          <w:szCs w:val="20"/>
        </w:rPr>
        <w:t xml:space="preserve">  —  Linkrunner Reporting API (/v1/reporting/campaigns).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8181B"/>
          <w:sz w:val="20"/>
          <w:szCs w:val="20"/>
        </w:rPr>
        <w:t xml:space="preserve">Qualified Installs</w:t>
      </w:r>
      <w:r>
        <w:rPr>
          <w:rFonts w:ascii="Arial" w:cs="Arial" w:eastAsia="Arial" w:hAnsi="Arial"/>
          <w:color w:val="18181B"/>
          <w:sz w:val="20"/>
          <w:szCs w:val="20"/>
        </w:rPr>
        <w:t xml:space="preserve">  —  Mixpanel JQL query for campaign-attributed users, cross-referenced with Metabase card 498 (onboarded users), company-classified by Gemini and cached in Supabase.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8181B"/>
          <w:sz w:val="20"/>
          <w:szCs w:val="20"/>
        </w:rPr>
        <w:t xml:space="preserve">Sync Rate Limit</w:t>
      </w:r>
      <w:r>
        <w:rPr>
          <w:rFonts w:ascii="Arial" w:cs="Arial" w:eastAsia="Arial" w:hAnsi="Arial"/>
          <w:color w:val="18181B"/>
          <w:sz w:val="20"/>
          <w:szCs w:val="20"/>
        </w:rPr>
        <w:t xml:space="preserve">  —  Linkrunner Reporting API allows 1 request/min per API key. Back-to-back syncs may hit this limit — wait 60s between manual triggers.</w:t>
      </w:r>
    </w:p>
    <w:p>
      <w:pPr>
        <w:spacing w:after="0" w:before="360"/>
      </w:pPr>
      <w:r>
        <w:t xml:space="preserve"/>
      </w:r>
    </w:p>
    <w:p>
      <w:pPr>
        <w:pBdr>
          <w:bottom w:val="single" w:color="E4E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Linkrunner Campaign Names</w:t>
      </w:r>
    </w:p>
    <w:p>
      <w:pPr>
        <w:spacing w:after="80" w:before="120"/>
      </w:pPr>
      <w:r>
        <w:rPr>
          <w:rFonts w:ascii="Arial" w:cs="Arial" w:eastAsia="Arial" w:hAnsi="Arial"/>
          <w:color w:val="18181B"/>
          <w:sz w:val="20"/>
          <w:szCs w:val="20"/>
        </w:rPr>
        <w:t xml:space="preserve">These must match exactly (lowercase) in the DB pilot slugs for the sync to map correctly: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717A"/>
                <w:spacing w:val="30"/>
                <w:sz w:val="17"/>
                <w:szCs w:val="17"/>
              </w:rPr>
              <w:t xml:space="preserve">AGENCY</w:t>
            </w:r>
          </w:p>
        </w:tc>
        <w:tc>
          <w:tcPr>
            <w:tcW w:type="dxa" w:w="468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717A"/>
                <w:spacing w:val="30"/>
                <w:sz w:val="17"/>
                <w:szCs w:val="17"/>
              </w:rPr>
              <w:t xml:space="preserve">CAMPAIGN SLUG</w:t>
            </w:r>
          </w:p>
        </w:tc>
      </w:tr>
      <w:tr>
        <w:tc>
          <w:tcPr>
            <w:tcW w:type="dxa" w:w="468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The Other</w:t>
            </w:r>
          </w:p>
        </w:tc>
        <w:tc>
          <w:tcPr>
            <w:tcW w:type="dxa" w:w="468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the-other</w:t>
            </w:r>
          </w:p>
        </w:tc>
      </w:tr>
      <w:tr>
        <w:tc>
          <w:tcPr>
            <w:tcW w:type="dxa" w:w="468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Third Draft</w:t>
            </w:r>
          </w:p>
        </w:tc>
        <w:tc>
          <w:tcPr>
            <w:tcW w:type="dxa" w:w="468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third-draft</w:t>
            </w:r>
          </w:p>
        </w:tc>
      </w:tr>
      <w:tr>
        <w:tc>
          <w:tcPr>
            <w:tcW w:type="dxa" w:w="468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Dot</w:t>
            </w:r>
          </w:p>
        </w:tc>
        <w:tc>
          <w:tcPr>
            <w:tcW w:type="dxa" w:w="468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dot-ugc</w:t>
            </w:r>
          </w:p>
        </w:tc>
      </w:tr>
      <w:tr>
        <w:tc>
          <w:tcPr>
            <w:tcW w:type="dxa" w:w="468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YoursBossy</w:t>
            </w:r>
          </w:p>
        </w:tc>
        <w:tc>
          <w:tcPr>
            <w:tcW w:type="dxa" w:w="468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yoursbossy</w:t>
            </w:r>
          </w:p>
        </w:tc>
      </w:tr>
      <w:tr>
        <w:tc>
          <w:tcPr>
            <w:tcW w:type="dxa" w:w="468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Aarchi</w:t>
            </w:r>
          </w:p>
        </w:tc>
        <w:tc>
          <w:tcPr>
            <w:tcW w:type="dxa" w:w="468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aarchi</w:t>
            </w:r>
          </w:p>
        </w:tc>
      </w:tr>
      <w:tr>
        <w:tc>
          <w:tcPr>
            <w:tcW w:type="dxa" w:w="468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Eastern Monk</w:t>
            </w:r>
          </w:p>
        </w:tc>
        <w:tc>
          <w:tcPr>
            <w:tcW w:type="dxa" w:w="4680"/>
            <w:tcBorders>
              <w:top w:val="single" w:color="E4E0D9" w:sz="1"/>
              <w:left w:val="single" w:color="E4E0D9" w:sz="1"/>
              <w:bottom w:val="single" w:color="E4E0D9" w:sz="1"/>
              <w:right w:val="single" w:color="E4E0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8181B"/>
                <w:sz w:val="19"/>
                <w:szCs w:val="19"/>
              </w:rPr>
              <w:t xml:space="preserve">eastern-monk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E4E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Environment Variables (Vercel)</w:t>
      </w:r>
    </w:p>
    <w:p>
      <w:pPr>
        <w:spacing w:after="60" w:before="12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LINKRUNNER_API_KEY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 —  Linkrunner API key.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MIXPANEL_SERVICE_ACCOUNT_USERNAME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 /  </w:t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MIXPANEL_SERVICE_ACCOUNT_SECRET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 —  Mixpanel service account.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METABASE_URL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 /  </w:t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METABASE_USERNAME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 /  </w:t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METABASE_PASSWORD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 —  Metabase card 498 (onboarded users).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GEMINI_API_KEY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 —  Company classification via Gemini Flash.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CRON_SECRET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 —  Bearer secret required to call the sync endpoint.</w:t>
      </w:r>
    </w:p>
    <w:p>
      <w:pPr>
        <w:spacing w:after="0" w:before="4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NEXTAUTH_SECRET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 /  </w:t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NEXTAUTH_URL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 /  </w:t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DATABASE_URL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 —  Auth &amp; Supabase connection.</w:t>
      </w:r>
    </w:p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71717A"/>
          <w:sz w:val="18"/>
          <w:szCs w:val="18"/>
        </w:rPr>
        <w:t xml:space="preserve">make magic · one reel at a time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e1o32td5x5we0wajdilp" Type="http://schemas.openxmlformats.org/officeDocument/2006/relationships/hyperlink" Target="https://content-pilots.vercel.app" TargetMode="External"/><Relationship Id="rIdpr7knjvriqsl1fhnw0-_3" Type="http://schemas.openxmlformats.org/officeDocument/2006/relationships/hyperlink" Target="https://content-pilots.vercel.app/api/cron/sync?secret=w6lTQWeLJbg0UdK19pK3PYI7l/TEqlSfi9ZrBTtWyEU=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2026-05-05T09:11:00.519Z</dcterms:created>
  <dcterms:modified xsi:type="dcterms:W3CDTF">2026-05-05T09:11:00.519Z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