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sz w:val="48"/>
        </w:rPr>
        <w:t>Maven Fuzzy Factory</w:t>
      </w:r>
    </w:p>
    <w:p>
      <w:pPr>
        <w:jc w:val="center"/>
      </w:pPr>
      <w:r>
        <w:rPr>
          <w:sz w:val="32"/>
        </w:rPr>
        <w:t>E-Commerce Product Analytics</w:t>
      </w:r>
    </w:p>
    <w:p>
      <w:pPr>
        <w:jc w:val="center"/>
      </w:pPr>
      <w:r>
        <w:rPr>
          <w:sz w:val="20"/>
        </w:rPr>
        <w:t>SQL + Power BI</w:t>
      </w:r>
    </w:p>
    <w:p>
      <w:r>
        <w:br w:type="page"/>
      </w:r>
    </w:p>
    <w:p>
      <w:pPr>
        <w:pStyle w:val="Heading1"/>
      </w:pPr>
      <w:r>
        <w:t>About the project</w:t>
      </w:r>
    </w:p>
    <w:p>
      <w:r>
        <w:t>This project looks at e-commerce activity from Maven Fuzzy Factory over roughly three years, from 19 March 2012 to 19 March 2015. I used SQL for the analysis and Power BI to put the main findings into a dashboard.</w:t>
      </w:r>
    </w:p>
    <w:p>
      <w:r>
        <w:t>The main things I wanted to understand were where the traffic was coming from, which products were performing well, how many customers came back, where people were dropping out of the purchase funnel, and whether there were any clear areas worth testing further.</w:t>
      </w:r>
    </w:p>
    <w:p>
      <w:pPr>
        <w:pStyle w:val="Heading1"/>
      </w:pPr>
      <w:r>
        <w:t>Data</w:t>
      </w:r>
    </w:p>
    <w:p>
      <w:r>
        <w:t>The database has six main tables. They cover website sessions and pageviews, orders, products and refunds.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pPr>
              <w:spacing w:after="0"/>
            </w:pPr>
            <w:r/>
            <w:r>
              <w:rPr>
                <w:b/>
                <w:sz w:val="18"/>
              </w:rPr>
              <w:t>Table</w:t>
            </w:r>
          </w:p>
        </w:tc>
        <w:tc>
          <w:tcPr>
            <w:tcW w:type="dxa" w:w="4968"/>
            <w:vAlign w:val="center"/>
            <w:shd w:fill="EDEDED"/>
          </w:tcPr>
          <w:p>
            <w:pPr>
              <w:spacing w:after="0"/>
            </w:pPr>
            <w:r/>
            <w:r>
              <w:rPr>
                <w:b/>
                <w:sz w:val="18"/>
              </w:rPr>
              <w:t>Records</w:t>
            </w:r>
          </w:p>
        </w:tc>
      </w:tr>
      <w:tr>
        <w:tc>
          <w:tcPr>
            <w:tcW w:type="dxa" w:w="4968"/>
            <w:vAlign w:val="center"/>
          </w:tcPr>
          <w:p>
            <w:pPr>
              <w:spacing w:after="0"/>
            </w:pPr>
            <w:r/>
            <w:r>
              <w:rPr>
                <w:b w:val="0"/>
                <w:sz w:val="18"/>
              </w:rPr>
              <w:t>website_sessions</w:t>
            </w:r>
          </w:p>
        </w:tc>
        <w:tc>
          <w:tcPr>
            <w:tcW w:type="dxa" w:w="4968"/>
            <w:vAlign w:val="center"/>
          </w:tcPr>
          <w:p>
            <w:pPr>
              <w:spacing w:after="0"/>
            </w:pPr>
            <w:r/>
            <w:r>
              <w:rPr>
                <w:b w:val="0"/>
                <w:sz w:val="18"/>
              </w:rPr>
              <w:t>472,871</w:t>
            </w:r>
          </w:p>
        </w:tc>
      </w:tr>
      <w:tr>
        <w:tc>
          <w:tcPr>
            <w:tcW w:type="dxa" w:w="4968"/>
            <w:vAlign w:val="center"/>
          </w:tcPr>
          <w:p>
            <w:pPr>
              <w:spacing w:after="0"/>
            </w:pPr>
            <w:r/>
            <w:r>
              <w:rPr>
                <w:b w:val="0"/>
                <w:sz w:val="18"/>
              </w:rPr>
              <w:t>website_pageviews</w:t>
            </w:r>
          </w:p>
        </w:tc>
        <w:tc>
          <w:tcPr>
            <w:tcW w:type="dxa" w:w="4968"/>
            <w:vAlign w:val="center"/>
          </w:tcPr>
          <w:p>
            <w:pPr>
              <w:spacing w:after="0"/>
            </w:pPr>
            <w:r/>
            <w:r>
              <w:rPr>
                <w:b w:val="0"/>
                <w:sz w:val="18"/>
              </w:rPr>
              <w:t>1,188,124</w:t>
            </w:r>
          </w:p>
        </w:tc>
      </w:tr>
      <w:tr>
        <w:tc>
          <w:tcPr>
            <w:tcW w:type="dxa" w:w="4968"/>
            <w:vAlign w:val="center"/>
          </w:tcPr>
          <w:p>
            <w:pPr>
              <w:spacing w:after="0"/>
            </w:pPr>
            <w:r/>
            <w:r>
              <w:rPr>
                <w:b w:val="0"/>
                <w:sz w:val="18"/>
              </w:rPr>
              <w:t>orders</w:t>
            </w:r>
          </w:p>
        </w:tc>
        <w:tc>
          <w:tcPr>
            <w:tcW w:type="dxa" w:w="4968"/>
            <w:vAlign w:val="center"/>
          </w:tcPr>
          <w:p>
            <w:pPr>
              <w:spacing w:after="0"/>
            </w:pPr>
            <w:r/>
            <w:r>
              <w:rPr>
                <w:b w:val="0"/>
                <w:sz w:val="18"/>
              </w:rPr>
              <w:t>323,313</w:t>
            </w:r>
          </w:p>
        </w:tc>
      </w:tr>
      <w:tr>
        <w:tc>
          <w:tcPr>
            <w:tcW w:type="dxa" w:w="4968"/>
            <w:vAlign w:val="center"/>
          </w:tcPr>
          <w:p>
            <w:pPr>
              <w:spacing w:after="0"/>
            </w:pPr>
            <w:r/>
            <w:r>
              <w:rPr>
                <w:b w:val="0"/>
                <w:sz w:val="18"/>
              </w:rPr>
              <w:t>order_items</w:t>
            </w:r>
          </w:p>
        </w:tc>
        <w:tc>
          <w:tcPr>
            <w:tcW w:type="dxa" w:w="4968"/>
            <w:vAlign w:val="center"/>
          </w:tcPr>
          <w:p>
            <w:pPr>
              <w:spacing w:after="0"/>
            </w:pPr>
            <w:r/>
            <w:r>
              <w:rPr>
                <w:b w:val="0"/>
                <w:sz w:val="18"/>
              </w:rPr>
              <w:t>400,025</w:t>
            </w:r>
          </w:p>
        </w:tc>
      </w:tr>
      <w:tr>
        <w:tc>
          <w:tcPr>
            <w:tcW w:type="dxa" w:w="4968"/>
            <w:vAlign w:val="center"/>
          </w:tcPr>
          <w:p>
            <w:pPr>
              <w:spacing w:after="0"/>
            </w:pPr>
            <w:r/>
            <w:r>
              <w:rPr>
                <w:b w:val="0"/>
                <w:sz w:val="18"/>
              </w:rPr>
              <w:t>order_item_refunds</w:t>
            </w:r>
          </w:p>
        </w:tc>
        <w:tc>
          <w:tcPr>
            <w:tcW w:type="dxa" w:w="4968"/>
            <w:vAlign w:val="center"/>
          </w:tcPr>
          <w:p>
            <w:pPr>
              <w:spacing w:after="0"/>
            </w:pPr>
            <w:r/>
            <w:r>
              <w:rPr>
                <w:b w:val="0"/>
                <w:sz w:val="18"/>
              </w:rPr>
              <w:t>1,731</w:t>
            </w:r>
          </w:p>
        </w:tc>
      </w:tr>
      <w:tr>
        <w:tc>
          <w:tcPr>
            <w:tcW w:type="dxa" w:w="4968"/>
            <w:vAlign w:val="center"/>
          </w:tcPr>
          <w:p>
            <w:pPr>
              <w:spacing w:after="0"/>
            </w:pPr>
            <w:r/>
            <w:r>
              <w:rPr>
                <w:b w:val="0"/>
                <w:sz w:val="18"/>
              </w:rPr>
              <w:t>products</w:t>
            </w:r>
          </w:p>
        </w:tc>
        <w:tc>
          <w:tcPr>
            <w:tcW w:type="dxa" w:w="4968"/>
            <w:vAlign w:val="center"/>
          </w:tcPr>
          <w:p>
            <w:pPr>
              <w:spacing w:after="0"/>
            </w:pPr>
            <w:r/>
            <w:r>
              <w:rPr>
                <w:b w:val="0"/>
                <w:sz w:val="18"/>
              </w:rPr>
              <w:t>4</w:t>
            </w:r>
          </w:p>
        </w:tc>
      </w:tr>
    </w:tbl>
    <w:p>
      <w:pPr>
        <w:spacing w:after="0"/>
      </w:pPr>
    </w:p>
    <w:p>
      <w:r>
        <w:t>The basic relationship used throughout the analysis was: marketing source → session → pageview → order → product → refund.</w:t>
      </w:r>
    </w:p>
    <w:p>
      <w:pPr>
        <w:pStyle w:val="Heading1"/>
      </w:pPr>
      <w:r>
        <w:t>What I looked at</w:t>
      </w:r>
    </w:p>
    <w:p>
      <w:r>
        <w:t>The analysis was mainly divided into marketing, products, customers and retention, the purchase funnel, and refunds. I also used these results to come up with a few A/B test ideas.</w:t>
      </w:r>
    </w:p>
    <w:p>
      <w:pPr>
        <w:pStyle w:val="Heading1"/>
      </w:pPr>
      <w:r>
        <w:t>Marketing</w:t>
      </w:r>
    </w:p>
    <w:p>
      <w:r>
        <w:t>qsearch was by far the biggest traffic source, with 316,035 sessions, or about 66.8% of total traffic. It also generated the most orders, revenue and gross profit. Its conversion rate was 6.75%, slightly below bsearch at 7.19%. socialbook was the weakest of the main sources, with a 3.21% conversion rate.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EDEDED"/>
          </w:tcPr>
          <w:p>
            <w:pPr>
              <w:spacing w:after="0"/>
            </w:pPr>
            <w:r/>
            <w:r>
              <w:rPr>
                <w:b/>
                <w:sz w:val="18"/>
              </w:rPr>
              <w:t>Source</w:t>
            </w:r>
          </w:p>
        </w:tc>
        <w:tc>
          <w:tcPr>
            <w:tcW w:type="dxa" w:w="1987"/>
            <w:vAlign w:val="center"/>
            <w:shd w:fill="EDEDED"/>
          </w:tcPr>
          <w:p>
            <w:pPr>
              <w:spacing w:after="0"/>
            </w:pPr>
            <w:r/>
            <w:r>
              <w:rPr>
                <w:b/>
                <w:sz w:val="18"/>
              </w:rPr>
              <w:t>Sessions</w:t>
            </w:r>
          </w:p>
        </w:tc>
        <w:tc>
          <w:tcPr>
            <w:tcW w:type="dxa" w:w="1987"/>
            <w:vAlign w:val="center"/>
            <w:shd w:fill="EDEDED"/>
          </w:tcPr>
          <w:p>
            <w:pPr>
              <w:spacing w:after="0"/>
            </w:pPr>
            <w:r/>
            <w:r>
              <w:rPr>
                <w:b/>
                <w:sz w:val="18"/>
              </w:rPr>
              <w:t>Orders</w:t>
            </w:r>
          </w:p>
        </w:tc>
        <w:tc>
          <w:tcPr>
            <w:tcW w:type="dxa" w:w="1987"/>
            <w:vAlign w:val="center"/>
            <w:shd w:fill="EDEDED"/>
          </w:tcPr>
          <w:p>
            <w:pPr>
              <w:spacing w:after="0"/>
            </w:pPr>
            <w:r/>
            <w:r>
              <w:rPr>
                <w:b/>
                <w:sz w:val="18"/>
              </w:rPr>
              <w:t>Conversion</w:t>
            </w:r>
          </w:p>
        </w:tc>
        <w:tc>
          <w:tcPr>
            <w:tcW w:type="dxa" w:w="1987"/>
            <w:vAlign w:val="center"/>
            <w:shd w:fill="EDEDED"/>
          </w:tcPr>
          <w:p>
            <w:pPr>
              <w:spacing w:after="0"/>
            </w:pPr>
            <w:r/>
            <w:r>
              <w:rPr>
                <w:b/>
                <w:sz w:val="18"/>
              </w:rPr>
              <w:t>Revenue</w:t>
            </w:r>
          </w:p>
        </w:tc>
      </w:tr>
      <w:tr>
        <w:tc>
          <w:tcPr>
            <w:tcW w:type="dxa" w:w="1987"/>
            <w:vAlign w:val="center"/>
          </w:tcPr>
          <w:p>
            <w:pPr>
              <w:spacing w:after="0"/>
            </w:pPr>
            <w:r/>
            <w:r>
              <w:rPr>
                <w:b w:val="0"/>
                <w:sz w:val="18"/>
              </w:rPr>
              <w:t>qsearch</w:t>
            </w:r>
          </w:p>
        </w:tc>
        <w:tc>
          <w:tcPr>
            <w:tcW w:type="dxa" w:w="1987"/>
            <w:vAlign w:val="center"/>
          </w:tcPr>
          <w:p>
            <w:pPr>
              <w:spacing w:after="0"/>
            </w:pPr>
            <w:r/>
            <w:r>
              <w:rPr>
                <w:b w:val="0"/>
                <w:sz w:val="18"/>
              </w:rPr>
              <w:t>316,035</w:t>
            </w:r>
          </w:p>
        </w:tc>
        <w:tc>
          <w:tcPr>
            <w:tcW w:type="dxa" w:w="1987"/>
            <w:vAlign w:val="center"/>
          </w:tcPr>
          <w:p>
            <w:pPr>
              <w:spacing w:after="0"/>
            </w:pPr>
            <w:r/>
            <w:r>
              <w:rPr>
                <w:b w:val="0"/>
                <w:sz w:val="18"/>
              </w:rPr>
              <w:t>21,333</w:t>
            </w:r>
          </w:p>
        </w:tc>
        <w:tc>
          <w:tcPr>
            <w:tcW w:type="dxa" w:w="1987"/>
            <w:vAlign w:val="center"/>
          </w:tcPr>
          <w:p>
            <w:pPr>
              <w:spacing w:after="0"/>
            </w:pPr>
            <w:r/>
            <w:r>
              <w:rPr>
                <w:b w:val="0"/>
                <w:sz w:val="18"/>
              </w:rPr>
              <w:t>6.75%</w:t>
            </w:r>
          </w:p>
        </w:tc>
        <w:tc>
          <w:tcPr>
            <w:tcW w:type="dxa" w:w="1987"/>
            <w:vAlign w:val="center"/>
          </w:tcPr>
          <w:p>
            <w:pPr>
              <w:spacing w:after="0"/>
            </w:pPr>
            <w:r/>
            <w:r>
              <w:rPr>
                <w:b w:val="0"/>
                <w:sz w:val="18"/>
              </w:rPr>
              <w:t>$1,276,144.89</w:t>
            </w:r>
          </w:p>
        </w:tc>
      </w:tr>
      <w:tr>
        <w:tc>
          <w:tcPr>
            <w:tcW w:type="dxa" w:w="1987"/>
            <w:vAlign w:val="center"/>
          </w:tcPr>
          <w:p>
            <w:pPr>
              <w:spacing w:after="0"/>
            </w:pPr>
            <w:r/>
            <w:r>
              <w:rPr>
                <w:b w:val="0"/>
                <w:sz w:val="18"/>
              </w:rPr>
              <w:t>NULL / Direct</w:t>
            </w:r>
          </w:p>
        </w:tc>
        <w:tc>
          <w:tcPr>
            <w:tcW w:type="dxa" w:w="1987"/>
            <w:vAlign w:val="center"/>
          </w:tcPr>
          <w:p>
            <w:pPr>
              <w:spacing w:after="0"/>
            </w:pPr>
            <w:r/>
            <w:r>
              <w:rPr>
                <w:b w:val="0"/>
                <w:sz w:val="18"/>
              </w:rPr>
              <w:t>83,328</w:t>
            </w:r>
          </w:p>
        </w:tc>
        <w:tc>
          <w:tcPr>
            <w:tcW w:type="dxa" w:w="1987"/>
            <w:vAlign w:val="center"/>
          </w:tcPr>
          <w:p>
            <w:pPr>
              <w:spacing w:after="0"/>
            </w:pPr>
            <w:r/>
            <w:r>
              <w:rPr>
                <w:b w:val="0"/>
                <w:sz w:val="18"/>
              </w:rPr>
              <w:t>6,118</w:t>
            </w:r>
          </w:p>
        </w:tc>
        <w:tc>
          <w:tcPr>
            <w:tcW w:type="dxa" w:w="1987"/>
            <w:vAlign w:val="center"/>
          </w:tcPr>
          <w:p>
            <w:pPr>
              <w:spacing w:after="0"/>
            </w:pPr>
            <w:r/>
            <w:r>
              <w:rPr>
                <w:b w:val="0"/>
                <w:sz w:val="18"/>
              </w:rPr>
              <w:t>7.34%</w:t>
            </w:r>
          </w:p>
        </w:tc>
        <w:tc>
          <w:tcPr>
            <w:tcW w:type="dxa" w:w="1987"/>
            <w:vAlign w:val="center"/>
          </w:tcPr>
          <w:p>
            <w:pPr>
              <w:spacing w:after="0"/>
            </w:pPr>
            <w:r/>
            <w:r>
              <w:rPr>
                <w:b w:val="0"/>
                <w:sz w:val="18"/>
              </w:rPr>
              <w:t>$371,433.03</w:t>
            </w:r>
          </w:p>
        </w:tc>
      </w:tr>
      <w:tr>
        <w:tc>
          <w:tcPr>
            <w:tcW w:type="dxa" w:w="1987"/>
            <w:vAlign w:val="center"/>
          </w:tcPr>
          <w:p>
            <w:pPr>
              <w:spacing w:after="0"/>
            </w:pPr>
            <w:r/>
            <w:r>
              <w:rPr>
                <w:b w:val="0"/>
                <w:sz w:val="18"/>
              </w:rPr>
              <w:t>bsearch</w:t>
            </w:r>
          </w:p>
        </w:tc>
        <w:tc>
          <w:tcPr>
            <w:tcW w:type="dxa" w:w="1987"/>
            <w:vAlign w:val="center"/>
          </w:tcPr>
          <w:p>
            <w:pPr>
              <w:spacing w:after="0"/>
            </w:pPr>
            <w:r/>
            <w:r>
              <w:rPr>
                <w:b w:val="0"/>
                <w:sz w:val="18"/>
              </w:rPr>
              <w:t>62,823</w:t>
            </w:r>
          </w:p>
        </w:tc>
        <w:tc>
          <w:tcPr>
            <w:tcW w:type="dxa" w:w="1987"/>
            <w:vAlign w:val="center"/>
          </w:tcPr>
          <w:p>
            <w:pPr>
              <w:spacing w:after="0"/>
            </w:pPr>
            <w:r/>
            <w:r>
              <w:rPr>
                <w:b w:val="0"/>
                <w:sz w:val="18"/>
              </w:rPr>
              <w:t>4,519</w:t>
            </w:r>
          </w:p>
        </w:tc>
        <w:tc>
          <w:tcPr>
            <w:tcW w:type="dxa" w:w="1987"/>
            <w:vAlign w:val="center"/>
          </w:tcPr>
          <w:p>
            <w:pPr>
              <w:spacing w:after="0"/>
            </w:pPr>
            <w:r/>
            <w:r>
              <w:rPr>
                <w:b w:val="0"/>
                <w:sz w:val="18"/>
              </w:rPr>
              <w:t>7.19%</w:t>
            </w:r>
          </w:p>
        </w:tc>
        <w:tc>
          <w:tcPr>
            <w:tcW w:type="dxa" w:w="1987"/>
            <w:vAlign w:val="center"/>
          </w:tcPr>
          <w:p>
            <w:pPr>
              <w:spacing w:after="0"/>
            </w:pPr>
            <w:r/>
            <w:r>
              <w:rPr>
                <w:b w:val="0"/>
                <w:sz w:val="18"/>
              </w:rPr>
              <w:t>$268,672.50</w:t>
            </w:r>
          </w:p>
        </w:tc>
      </w:tr>
      <w:tr>
        <w:tc>
          <w:tcPr>
            <w:tcW w:type="dxa" w:w="1987"/>
            <w:vAlign w:val="center"/>
          </w:tcPr>
          <w:p>
            <w:pPr>
              <w:spacing w:after="0"/>
            </w:pPr>
            <w:r/>
            <w:r>
              <w:rPr>
                <w:b w:val="0"/>
                <w:sz w:val="18"/>
              </w:rPr>
              <w:t>socialbook</w:t>
            </w:r>
          </w:p>
        </w:tc>
        <w:tc>
          <w:tcPr>
            <w:tcW w:type="dxa" w:w="1987"/>
            <w:vAlign w:val="center"/>
          </w:tcPr>
          <w:p>
            <w:pPr>
              <w:spacing w:after="0"/>
            </w:pPr>
            <w:r/>
            <w:r>
              <w:rPr>
                <w:b w:val="0"/>
                <w:sz w:val="18"/>
              </w:rPr>
              <w:t>10,685</w:t>
            </w:r>
          </w:p>
        </w:tc>
        <w:tc>
          <w:tcPr>
            <w:tcW w:type="dxa" w:w="1987"/>
            <w:vAlign w:val="center"/>
          </w:tcPr>
          <w:p>
            <w:pPr>
              <w:spacing w:after="0"/>
            </w:pPr>
            <w:r/>
            <w:r>
              <w:rPr>
                <w:b w:val="0"/>
                <w:sz w:val="18"/>
              </w:rPr>
              <w:t>343</w:t>
            </w:r>
          </w:p>
        </w:tc>
        <w:tc>
          <w:tcPr>
            <w:tcW w:type="dxa" w:w="1987"/>
            <w:vAlign w:val="center"/>
          </w:tcPr>
          <w:p>
            <w:pPr>
              <w:spacing w:after="0"/>
            </w:pPr>
            <w:r/>
            <w:r>
              <w:rPr>
                <w:b w:val="0"/>
                <w:sz w:val="18"/>
              </w:rPr>
              <w:t>3.21%</w:t>
            </w:r>
          </w:p>
        </w:tc>
        <w:tc>
          <w:tcPr>
            <w:tcW w:type="dxa" w:w="1987"/>
            <w:vAlign w:val="center"/>
          </w:tcPr>
          <w:p>
            <w:pPr>
              <w:spacing w:after="0"/>
            </w:pPr>
            <w:r/>
            <w:r>
              <w:rPr>
                <w:b w:val="0"/>
                <w:sz w:val="18"/>
              </w:rPr>
              <w:t>$22,259.33</w:t>
            </w:r>
          </w:p>
        </w:tc>
      </w:tr>
    </w:tbl>
    <w:p>
      <w:pPr>
        <w:spacing w:after="0"/>
      </w:pPr>
    </w:p>
    <w:p>
      <w:r>
        <w:t>One thing that stood out here was that the biggest source was not automatically the most efficient one. Also, there is no advertising-spend data in the dataset, so I did not calculate ROI or ROAS.</w:t>
      </w:r>
    </w:p>
    <w:p>
      <w:pPr>
        <w:pStyle w:val="Heading1"/>
      </w:pPr>
      <w:r>
        <w:t>Products</w:t>
      </w:r>
    </w:p>
    <w:p>
      <w:r>
        <w:t>The Original Mr. Fuzzy was the main product by volume, revenue and total gross profit. It sold 24,226 units and generated $1.21M in revenue and about $738.9K in gross profit.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DEDED"/>
          </w:tcPr>
          <w:p>
            <w:pPr>
              <w:spacing w:after="0"/>
            </w:pPr>
            <w:r/>
            <w:r>
              <w:rPr>
                <w:b/>
                <w:sz w:val="18"/>
              </w:rPr>
              <w:t>Product</w:t>
            </w:r>
          </w:p>
        </w:tc>
        <w:tc>
          <w:tcPr>
            <w:tcW w:type="dxa" w:w="2484"/>
            <w:vAlign w:val="center"/>
            <w:shd w:fill="EDEDED"/>
          </w:tcPr>
          <w:p>
            <w:pPr>
              <w:spacing w:after="0"/>
            </w:pPr>
            <w:r/>
            <w:r>
              <w:rPr>
                <w:b/>
                <w:sz w:val="18"/>
              </w:rPr>
              <w:t>Units Sold</w:t>
            </w:r>
          </w:p>
        </w:tc>
        <w:tc>
          <w:tcPr>
            <w:tcW w:type="dxa" w:w="2484"/>
            <w:vAlign w:val="center"/>
            <w:shd w:fill="EDEDED"/>
          </w:tcPr>
          <w:p>
            <w:pPr>
              <w:spacing w:after="0"/>
            </w:pPr>
            <w:r/>
            <w:r>
              <w:rPr>
                <w:b/>
                <w:sz w:val="18"/>
              </w:rPr>
              <w:t>Revenue</w:t>
            </w:r>
          </w:p>
        </w:tc>
        <w:tc>
          <w:tcPr>
            <w:tcW w:type="dxa" w:w="2484"/>
            <w:vAlign w:val="center"/>
            <w:shd w:fill="EDEDED"/>
          </w:tcPr>
          <w:p>
            <w:pPr>
              <w:spacing w:after="0"/>
            </w:pPr>
            <w:r/>
            <w:r>
              <w:rPr>
                <w:b/>
                <w:sz w:val="18"/>
              </w:rPr>
              <w:t>Gross Profit</w:t>
            </w:r>
          </w:p>
        </w:tc>
      </w:tr>
      <w:tr>
        <w:tc>
          <w:tcPr>
            <w:tcW w:type="dxa" w:w="2484"/>
            <w:vAlign w:val="center"/>
          </w:tcPr>
          <w:p>
            <w:pPr>
              <w:spacing w:after="0"/>
            </w:pPr>
            <w:r/>
            <w:r>
              <w:rPr>
                <w:b w:val="0"/>
                <w:sz w:val="18"/>
              </w:rPr>
              <w:t>The Original Mr. Fuzzy</w:t>
            </w:r>
          </w:p>
        </w:tc>
        <w:tc>
          <w:tcPr>
            <w:tcW w:type="dxa" w:w="2484"/>
            <w:vAlign w:val="center"/>
          </w:tcPr>
          <w:p>
            <w:pPr>
              <w:spacing w:after="0"/>
            </w:pPr>
            <w:r/>
            <w:r>
              <w:rPr>
                <w:b w:val="0"/>
                <w:sz w:val="18"/>
              </w:rPr>
              <w:t>24,226</w:t>
            </w:r>
          </w:p>
        </w:tc>
        <w:tc>
          <w:tcPr>
            <w:tcW w:type="dxa" w:w="2484"/>
            <w:vAlign w:val="center"/>
          </w:tcPr>
          <w:p>
            <w:pPr>
              <w:spacing w:after="0"/>
            </w:pPr>
            <w:r/>
            <w:r>
              <w:rPr>
                <w:b w:val="0"/>
                <w:sz w:val="18"/>
              </w:rPr>
              <w:t>$1,211,057.74</w:t>
            </w:r>
          </w:p>
        </w:tc>
        <w:tc>
          <w:tcPr>
            <w:tcW w:type="dxa" w:w="2484"/>
            <w:vAlign w:val="center"/>
          </w:tcPr>
          <w:p>
            <w:pPr>
              <w:spacing w:after="0"/>
            </w:pPr>
            <w:r/>
            <w:r>
              <w:rPr>
                <w:b w:val="0"/>
                <w:sz w:val="18"/>
              </w:rPr>
              <w:t>$738,893.00</w:t>
            </w:r>
          </w:p>
        </w:tc>
      </w:tr>
      <w:tr>
        <w:tc>
          <w:tcPr>
            <w:tcW w:type="dxa" w:w="2484"/>
            <w:vAlign w:val="center"/>
          </w:tcPr>
          <w:p>
            <w:pPr>
              <w:spacing w:after="0"/>
            </w:pPr>
            <w:r/>
            <w:r>
              <w:rPr>
                <w:b w:val="0"/>
                <w:sz w:val="18"/>
              </w:rPr>
              <w:t>The Forever Love Bear</w:t>
            </w:r>
          </w:p>
        </w:tc>
        <w:tc>
          <w:tcPr>
            <w:tcW w:type="dxa" w:w="2484"/>
            <w:vAlign w:val="center"/>
          </w:tcPr>
          <w:p>
            <w:pPr>
              <w:spacing w:after="0"/>
            </w:pPr>
            <w:r/>
            <w:r>
              <w:rPr>
                <w:b w:val="0"/>
                <w:sz w:val="18"/>
              </w:rPr>
              <w:t>5,796</w:t>
            </w:r>
          </w:p>
        </w:tc>
        <w:tc>
          <w:tcPr>
            <w:tcW w:type="dxa" w:w="2484"/>
            <w:vAlign w:val="center"/>
          </w:tcPr>
          <w:p>
            <w:pPr>
              <w:spacing w:after="0"/>
            </w:pPr>
            <w:r/>
            <w:r>
              <w:rPr>
                <w:b w:val="0"/>
                <w:sz w:val="18"/>
              </w:rPr>
              <w:t>$347,702.04</w:t>
            </w:r>
          </w:p>
        </w:tc>
        <w:tc>
          <w:tcPr>
            <w:tcW w:type="dxa" w:w="2484"/>
            <w:vAlign w:val="center"/>
          </w:tcPr>
          <w:p>
            <w:pPr>
              <w:spacing w:after="0"/>
            </w:pPr>
            <w:r/>
            <w:r>
              <w:rPr>
                <w:b w:val="0"/>
                <w:sz w:val="18"/>
              </w:rPr>
              <w:t>$217,350.00</w:t>
            </w:r>
          </w:p>
        </w:tc>
      </w:tr>
      <w:tr>
        <w:tc>
          <w:tcPr>
            <w:tcW w:type="dxa" w:w="2484"/>
            <w:vAlign w:val="center"/>
          </w:tcPr>
          <w:p>
            <w:pPr>
              <w:spacing w:after="0"/>
            </w:pPr>
            <w:r/>
            <w:r>
              <w:rPr>
                <w:b w:val="0"/>
                <w:sz w:val="18"/>
              </w:rPr>
              <w:t>The Birthday Sugar Panda</w:t>
            </w:r>
          </w:p>
        </w:tc>
        <w:tc>
          <w:tcPr>
            <w:tcW w:type="dxa" w:w="2484"/>
            <w:vAlign w:val="center"/>
          </w:tcPr>
          <w:p>
            <w:pPr>
              <w:spacing w:after="0"/>
            </w:pPr>
            <w:r/>
            <w:r>
              <w:rPr>
                <w:b w:val="0"/>
                <w:sz w:val="18"/>
              </w:rPr>
              <w:t>4,985</w:t>
            </w:r>
          </w:p>
        </w:tc>
        <w:tc>
          <w:tcPr>
            <w:tcW w:type="dxa" w:w="2484"/>
            <w:vAlign w:val="center"/>
          </w:tcPr>
          <w:p>
            <w:pPr>
              <w:spacing w:after="0"/>
            </w:pPr>
            <w:r/>
            <w:r>
              <w:rPr>
                <w:b w:val="0"/>
                <w:sz w:val="18"/>
              </w:rPr>
              <w:t>$229,260.15</w:t>
            </w:r>
          </w:p>
        </w:tc>
        <w:tc>
          <w:tcPr>
            <w:tcW w:type="dxa" w:w="2484"/>
            <w:vAlign w:val="center"/>
          </w:tcPr>
          <w:p>
            <w:pPr>
              <w:spacing w:after="0"/>
            </w:pPr>
            <w:r/>
            <w:r>
              <w:rPr>
                <w:b w:val="0"/>
                <w:sz w:val="18"/>
              </w:rPr>
              <w:t>$157,270.00</w:t>
            </w:r>
          </w:p>
        </w:tc>
      </w:tr>
      <w:tr>
        <w:tc>
          <w:tcPr>
            <w:tcW w:type="dxa" w:w="2484"/>
            <w:vAlign w:val="center"/>
          </w:tcPr>
          <w:p>
            <w:pPr>
              <w:spacing w:after="0"/>
            </w:pPr>
            <w:r/>
            <w:r>
              <w:rPr>
                <w:b w:val="0"/>
                <w:sz w:val="18"/>
              </w:rPr>
              <w:t>The Hudson River Mini bear</w:t>
            </w:r>
          </w:p>
        </w:tc>
        <w:tc>
          <w:tcPr>
            <w:tcW w:type="dxa" w:w="2484"/>
            <w:vAlign w:val="center"/>
          </w:tcPr>
          <w:p>
            <w:pPr>
              <w:spacing w:after="0"/>
            </w:pPr>
            <w:r/>
            <w:r>
              <w:rPr>
                <w:b w:val="0"/>
                <w:sz w:val="18"/>
              </w:rPr>
              <w:t>5,018</w:t>
            </w:r>
          </w:p>
        </w:tc>
        <w:tc>
          <w:tcPr>
            <w:tcW w:type="dxa" w:w="2484"/>
            <w:vAlign w:val="center"/>
          </w:tcPr>
          <w:p>
            <w:pPr>
              <w:spacing w:after="0"/>
            </w:pPr>
            <w:r/>
            <w:r>
              <w:rPr>
                <w:b w:val="0"/>
                <w:sz w:val="18"/>
              </w:rPr>
              <w:t>$150,489.82</w:t>
            </w:r>
          </w:p>
        </w:tc>
        <w:tc>
          <w:tcPr>
            <w:tcW w:type="dxa" w:w="2484"/>
            <w:vAlign w:val="center"/>
          </w:tcPr>
          <w:p>
            <w:pPr>
              <w:spacing w:after="0"/>
            </w:pPr>
            <w:r/>
            <w:r>
              <w:rPr>
                <w:b w:val="0"/>
                <w:sz w:val="18"/>
              </w:rPr>
              <w:t>$102,869.00</w:t>
            </w:r>
          </w:p>
        </w:tc>
      </w:tr>
    </w:tbl>
    <w:p>
      <w:pPr>
        <w:spacing w:after="0"/>
      </w:pPr>
    </w:p>
    <w:p>
      <w:r>
        <w:t>The margin picture was a little different. Birthday Sugar Panda had a 68.49% gross-profit margin and Hudson River Mini Bear had 68.36%, compared with 61.01% for Original Mr. Fuzzy. So the highest-volume product was not the highest-margin product.</w:t>
      </w:r>
    </w:p>
    <w:p>
      <w:pPr>
        <w:pStyle w:val="Heading1"/>
      </w:pPr>
      <w:r>
        <w:t>Customers and retention</w:t>
      </w:r>
    </w:p>
    <w:p>
      <w:r>
        <w:t>There were 31,696 customers in the analysis. 31,105 made only one purchase and 591 made more than one, which gives a repeat-customer rate of 1.86%.</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DED"/>
          </w:tcPr>
          <w:p>
            <w:pPr>
              <w:spacing w:after="0"/>
            </w:pPr>
            <w:r/>
            <w:r>
              <w:rPr>
                <w:b/>
                <w:sz w:val="18"/>
              </w:rPr>
              <w:t>Metric</w:t>
            </w:r>
          </w:p>
        </w:tc>
        <w:tc>
          <w:tcPr>
            <w:tcW w:type="dxa" w:w="3312"/>
            <w:vAlign w:val="center"/>
            <w:shd w:fill="EDEDED"/>
          </w:tcPr>
          <w:p>
            <w:pPr>
              <w:spacing w:after="0"/>
            </w:pPr>
            <w:r/>
            <w:r>
              <w:rPr>
                <w:b/>
                <w:sz w:val="18"/>
              </w:rPr>
              <w:t>One-time</w:t>
            </w:r>
          </w:p>
        </w:tc>
        <w:tc>
          <w:tcPr>
            <w:tcW w:type="dxa" w:w="3312"/>
            <w:vAlign w:val="center"/>
            <w:shd w:fill="EDEDED"/>
          </w:tcPr>
          <w:p>
            <w:pPr>
              <w:spacing w:after="0"/>
            </w:pPr>
            <w:r/>
            <w:r>
              <w:rPr>
                <w:b/>
                <w:sz w:val="18"/>
              </w:rPr>
              <w:t>Repeat</w:t>
            </w:r>
          </w:p>
        </w:tc>
      </w:tr>
      <w:tr>
        <w:tc>
          <w:tcPr>
            <w:tcW w:type="dxa" w:w="3312"/>
            <w:vAlign w:val="center"/>
          </w:tcPr>
          <w:p>
            <w:pPr>
              <w:spacing w:after="0"/>
            </w:pPr>
            <w:r/>
            <w:r>
              <w:rPr>
                <w:b w:val="0"/>
                <w:sz w:val="18"/>
              </w:rPr>
              <w:t>Customers</w:t>
            </w:r>
          </w:p>
        </w:tc>
        <w:tc>
          <w:tcPr>
            <w:tcW w:type="dxa" w:w="3312"/>
            <w:vAlign w:val="center"/>
          </w:tcPr>
          <w:p>
            <w:pPr>
              <w:spacing w:after="0"/>
            </w:pPr>
            <w:r/>
            <w:r>
              <w:rPr>
                <w:b w:val="0"/>
                <w:sz w:val="18"/>
              </w:rPr>
              <w:t>31,105</w:t>
            </w:r>
          </w:p>
        </w:tc>
        <w:tc>
          <w:tcPr>
            <w:tcW w:type="dxa" w:w="3312"/>
            <w:vAlign w:val="center"/>
          </w:tcPr>
          <w:p>
            <w:pPr>
              <w:spacing w:after="0"/>
            </w:pPr>
            <w:r/>
            <w:r>
              <w:rPr>
                <w:b w:val="0"/>
                <w:sz w:val="18"/>
              </w:rPr>
              <w:t>591</w:t>
            </w:r>
          </w:p>
        </w:tc>
      </w:tr>
      <w:tr>
        <w:tc>
          <w:tcPr>
            <w:tcW w:type="dxa" w:w="3312"/>
            <w:vAlign w:val="center"/>
          </w:tcPr>
          <w:p>
            <w:pPr>
              <w:spacing w:after="0"/>
            </w:pPr>
            <w:r/>
            <w:r>
              <w:rPr>
                <w:b w:val="0"/>
                <w:sz w:val="18"/>
              </w:rPr>
              <w:t>Revenue / Customer</w:t>
            </w:r>
          </w:p>
        </w:tc>
        <w:tc>
          <w:tcPr>
            <w:tcW w:type="dxa" w:w="3312"/>
            <w:vAlign w:val="center"/>
          </w:tcPr>
          <w:p>
            <w:pPr>
              <w:spacing w:after="0"/>
            </w:pPr>
            <w:r/>
            <w:r>
              <w:rPr>
                <w:b w:val="0"/>
                <w:sz w:val="18"/>
              </w:rPr>
              <w:t>$59.93</w:t>
            </w:r>
          </w:p>
        </w:tc>
        <w:tc>
          <w:tcPr>
            <w:tcW w:type="dxa" w:w="3312"/>
            <w:vAlign w:val="center"/>
          </w:tcPr>
          <w:p>
            <w:pPr>
              <w:spacing w:after="0"/>
            </w:pPr>
            <w:r/>
            <w:r>
              <w:rPr>
                <w:b w:val="0"/>
                <w:sz w:val="18"/>
              </w:rPr>
              <w:t>$125.81</w:t>
            </w:r>
          </w:p>
        </w:tc>
      </w:tr>
      <w:tr>
        <w:tc>
          <w:tcPr>
            <w:tcW w:type="dxa" w:w="3312"/>
            <w:vAlign w:val="center"/>
          </w:tcPr>
          <w:p>
            <w:pPr>
              <w:spacing w:after="0"/>
            </w:pPr>
            <w:r/>
            <w:r>
              <w:rPr>
                <w:b w:val="0"/>
                <w:sz w:val="18"/>
              </w:rPr>
              <w:t>Profit / Customer</w:t>
            </w:r>
          </w:p>
        </w:tc>
        <w:tc>
          <w:tcPr>
            <w:tcW w:type="dxa" w:w="3312"/>
            <w:vAlign w:val="center"/>
          </w:tcPr>
          <w:p>
            <w:pPr>
              <w:spacing w:after="0"/>
            </w:pPr>
            <w:r/>
            <w:r>
              <w:rPr>
                <w:b w:val="0"/>
                <w:sz w:val="18"/>
              </w:rPr>
              <w:t>$37.59</w:t>
            </w:r>
          </w:p>
        </w:tc>
        <w:tc>
          <w:tcPr>
            <w:tcW w:type="dxa" w:w="3312"/>
            <w:vAlign w:val="center"/>
          </w:tcPr>
          <w:p>
            <w:pPr>
              <w:spacing w:after="0"/>
            </w:pPr>
            <w:r/>
            <w:r>
              <w:rPr>
                <w:b w:val="0"/>
                <w:sz w:val="18"/>
              </w:rPr>
              <w:t>$79.22</w:t>
            </w:r>
          </w:p>
        </w:tc>
      </w:tr>
    </w:tbl>
    <w:p>
      <w:pPr>
        <w:spacing w:after="0"/>
      </w:pPr>
    </w:p>
    <w:p>
      <w:r>
        <w:t>The difference in customer value was quite large. Repeat customers generated more than twice the average revenue and profit per customer. The average time to a second purchase was 35.16 days, which is why the 30–35 day period became relevant when thinking about a retention campaign.</w:t>
      </w:r>
    </w:p>
    <w:p>
      <w:r>
        <w:t>The documented 30-, 60- and 90-day retention figures were 0.91%, 1.59% and 1.82%, respectively.</w:t>
      </w:r>
    </w:p>
    <w:p>
      <w:pPr>
        <w:pStyle w:val="Heading1"/>
      </w:pPr>
      <w:r>
        <w:t>Purchase funnel</w:t>
      </w:r>
    </w:p>
    <w:p>
      <w:r>
        <w:t>I used the pageview data to look at the purchase journey from Product to Cart to Shipping to Billing and finally Purchase.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pPr>
              <w:spacing w:after="0"/>
            </w:pPr>
            <w:r/>
            <w:r>
              <w:rPr>
                <w:b/>
                <w:sz w:val="18"/>
              </w:rPr>
              <w:t>Stage</w:t>
            </w:r>
          </w:p>
        </w:tc>
        <w:tc>
          <w:tcPr>
            <w:tcW w:type="dxa" w:w="4968"/>
            <w:vAlign w:val="center"/>
            <w:shd w:fill="EDEDED"/>
          </w:tcPr>
          <w:p>
            <w:pPr>
              <w:spacing w:after="0"/>
            </w:pPr>
            <w:r/>
            <w:r>
              <w:rPr>
                <w:b/>
                <w:sz w:val="18"/>
              </w:rPr>
              <w:t>Sessions</w:t>
            </w:r>
          </w:p>
        </w:tc>
      </w:tr>
      <w:tr>
        <w:tc>
          <w:tcPr>
            <w:tcW w:type="dxa" w:w="4968"/>
            <w:vAlign w:val="center"/>
          </w:tcPr>
          <w:p>
            <w:pPr>
              <w:spacing w:after="0"/>
            </w:pPr>
            <w:r/>
            <w:r>
              <w:rPr>
                <w:b w:val="0"/>
                <w:sz w:val="18"/>
              </w:rPr>
              <w:t>Product</w:t>
            </w:r>
          </w:p>
        </w:tc>
        <w:tc>
          <w:tcPr>
            <w:tcW w:type="dxa" w:w="4968"/>
            <w:vAlign w:val="center"/>
          </w:tcPr>
          <w:p>
            <w:pPr>
              <w:spacing w:after="0"/>
            </w:pPr>
            <w:r/>
            <w:r>
              <w:rPr>
                <w:b w:val="0"/>
                <w:sz w:val="18"/>
              </w:rPr>
              <w:t>261,231</w:t>
            </w:r>
          </w:p>
        </w:tc>
      </w:tr>
      <w:tr>
        <w:tc>
          <w:tcPr>
            <w:tcW w:type="dxa" w:w="4968"/>
            <w:vAlign w:val="center"/>
          </w:tcPr>
          <w:p>
            <w:pPr>
              <w:spacing w:after="0"/>
            </w:pPr>
            <w:r/>
            <w:r>
              <w:rPr>
                <w:b w:val="0"/>
                <w:sz w:val="18"/>
              </w:rPr>
              <w:t>Cart</w:t>
            </w:r>
          </w:p>
        </w:tc>
        <w:tc>
          <w:tcPr>
            <w:tcW w:type="dxa" w:w="4968"/>
            <w:vAlign w:val="center"/>
          </w:tcPr>
          <w:p>
            <w:pPr>
              <w:spacing w:after="0"/>
            </w:pPr>
            <w:r/>
            <w:r>
              <w:rPr>
                <w:b w:val="0"/>
                <w:sz w:val="18"/>
              </w:rPr>
              <w:t>94,953</w:t>
            </w:r>
          </w:p>
        </w:tc>
      </w:tr>
      <w:tr>
        <w:tc>
          <w:tcPr>
            <w:tcW w:type="dxa" w:w="4968"/>
            <w:vAlign w:val="center"/>
          </w:tcPr>
          <w:p>
            <w:pPr>
              <w:spacing w:after="0"/>
            </w:pPr>
            <w:r/>
            <w:r>
              <w:rPr>
                <w:b w:val="0"/>
                <w:sz w:val="18"/>
              </w:rPr>
              <w:t>Shipping</w:t>
            </w:r>
          </w:p>
        </w:tc>
        <w:tc>
          <w:tcPr>
            <w:tcW w:type="dxa" w:w="4968"/>
            <w:vAlign w:val="center"/>
          </w:tcPr>
          <w:p>
            <w:pPr>
              <w:spacing w:after="0"/>
            </w:pPr>
            <w:r/>
            <w:r>
              <w:rPr>
                <w:b w:val="0"/>
                <w:sz w:val="18"/>
              </w:rPr>
              <w:t>64,484</w:t>
            </w:r>
          </w:p>
        </w:tc>
      </w:tr>
      <w:tr>
        <w:tc>
          <w:tcPr>
            <w:tcW w:type="dxa" w:w="4968"/>
            <w:vAlign w:val="center"/>
          </w:tcPr>
          <w:p>
            <w:pPr>
              <w:spacing w:after="0"/>
            </w:pPr>
            <w:r/>
            <w:r>
              <w:rPr>
                <w:b w:val="0"/>
                <w:sz w:val="18"/>
              </w:rPr>
              <w:t>Billing</w:t>
            </w:r>
          </w:p>
        </w:tc>
        <w:tc>
          <w:tcPr>
            <w:tcW w:type="dxa" w:w="4968"/>
            <w:vAlign w:val="center"/>
          </w:tcPr>
          <w:p>
            <w:pPr>
              <w:spacing w:after="0"/>
            </w:pPr>
            <w:r/>
            <w:r>
              <w:rPr>
                <w:b w:val="0"/>
                <w:sz w:val="18"/>
              </w:rPr>
              <w:t>3,617</w:t>
            </w:r>
          </w:p>
        </w:tc>
      </w:tr>
      <w:tr>
        <w:tc>
          <w:tcPr>
            <w:tcW w:type="dxa" w:w="4968"/>
            <w:vAlign w:val="center"/>
          </w:tcPr>
          <w:p>
            <w:pPr>
              <w:spacing w:after="0"/>
            </w:pPr>
            <w:r/>
            <w:r>
              <w:rPr>
                <w:b w:val="0"/>
                <w:sz w:val="18"/>
              </w:rPr>
              <w:t>Purchase</w:t>
            </w:r>
          </w:p>
        </w:tc>
        <w:tc>
          <w:tcPr>
            <w:tcW w:type="dxa" w:w="4968"/>
            <w:vAlign w:val="center"/>
          </w:tcPr>
          <w:p>
            <w:pPr>
              <w:spacing w:after="0"/>
            </w:pPr>
            <w:r/>
            <w:r>
              <w:rPr>
                <w:b w:val="0"/>
                <w:sz w:val="18"/>
              </w:rPr>
              <w:t>1,620</w:t>
            </w:r>
          </w:p>
        </w:tc>
      </w:tr>
    </w:tbl>
    <w:p>
      <w:pPr>
        <w:spacing w:after="0"/>
      </w:pPr>
    </w:p>
    <w:p>
      <w:r>
        <w:t>The biggest drop was between Shipping and Billing. There were 64,484 shipping sessions but only 3,617 billing sessions, which is a 94.39% drop-off.</w:t>
      </w:r>
    </w:p>
    <w:p>
      <w:pPr>
        <w:pStyle w:val="Heading1"/>
      </w:pPr>
      <w:r>
        <w:t>Desktop vs mobile</w:t>
      </w:r>
    </w:p>
    <w:p>
      <w:r>
        <w:t>Desktop conversion was 8.50%, compared with 3.09% on mobile. The gap was present across the different marketing sources. At the Shipping → Billing stage, conversion was 6.08% on desktop and 3.49% on mobile.</w:t>
      </w:r>
    </w:p>
    <w:p>
      <w:r>
        <w:t>Socialbook was particularly weak on mobile: 0.83% conversion compared with 4.99% on desktop.</w:t>
      </w:r>
    </w:p>
    <w:p>
      <w:pPr>
        <w:pStyle w:val="Heading1"/>
      </w:pPr>
      <w:r>
        <w:t>Refunds</w:t>
      </w:r>
    </w:p>
    <w:p>
      <w:r>
        <w:t>Refunds were looked at both as a rate and as an absolute financial amount. Birthday Sugar Panda had the highest refund rate at 6.04%. Original Mr. Fuzzy had the largest refunded revenue and refunded gross profit because it was also the largest product.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DEDED"/>
          </w:tcPr>
          <w:p>
            <w:pPr>
              <w:spacing w:after="0"/>
            </w:pPr>
            <w:r/>
            <w:r>
              <w:rPr>
                <w:b/>
                <w:sz w:val="18"/>
              </w:rPr>
              <w:t>Product</w:t>
            </w:r>
          </w:p>
        </w:tc>
        <w:tc>
          <w:tcPr>
            <w:tcW w:type="dxa" w:w="2484"/>
            <w:vAlign w:val="center"/>
            <w:shd w:fill="EDEDED"/>
          </w:tcPr>
          <w:p>
            <w:pPr>
              <w:spacing w:after="0"/>
            </w:pPr>
            <w:r/>
            <w:r>
              <w:rPr>
                <w:b/>
                <w:sz w:val="18"/>
              </w:rPr>
              <w:t>Refund Rate</w:t>
            </w:r>
          </w:p>
        </w:tc>
        <w:tc>
          <w:tcPr>
            <w:tcW w:type="dxa" w:w="2484"/>
            <w:vAlign w:val="center"/>
            <w:shd w:fill="EDEDED"/>
          </w:tcPr>
          <w:p>
            <w:pPr>
              <w:spacing w:after="0"/>
            </w:pPr>
            <w:r/>
            <w:r>
              <w:rPr>
                <w:b/>
                <w:sz w:val="18"/>
              </w:rPr>
              <w:t>Refunded Revenue</w:t>
            </w:r>
          </w:p>
        </w:tc>
        <w:tc>
          <w:tcPr>
            <w:tcW w:type="dxa" w:w="2484"/>
            <w:vAlign w:val="center"/>
            <w:shd w:fill="EDEDED"/>
          </w:tcPr>
          <w:p>
            <w:pPr>
              <w:spacing w:after="0"/>
            </w:pPr>
            <w:r/>
            <w:r>
              <w:rPr>
                <w:b/>
                <w:sz w:val="18"/>
              </w:rPr>
              <w:t>Refunded Gross Profit</w:t>
            </w:r>
          </w:p>
        </w:tc>
      </w:tr>
      <w:tr>
        <w:tc>
          <w:tcPr>
            <w:tcW w:type="dxa" w:w="2484"/>
            <w:vAlign w:val="center"/>
          </w:tcPr>
          <w:p>
            <w:pPr>
              <w:spacing w:after="0"/>
            </w:pPr>
            <w:r/>
            <w:r>
              <w:rPr>
                <w:b w:val="0"/>
                <w:sz w:val="18"/>
              </w:rPr>
              <w:t>The Original Mr. Fuzzy</w:t>
            </w:r>
          </w:p>
        </w:tc>
        <w:tc>
          <w:tcPr>
            <w:tcW w:type="dxa" w:w="2484"/>
            <w:vAlign w:val="center"/>
          </w:tcPr>
          <w:p>
            <w:pPr>
              <w:spacing w:after="0"/>
            </w:pPr>
            <w:r/>
            <w:r>
              <w:rPr>
                <w:b w:val="0"/>
                <w:sz w:val="18"/>
              </w:rPr>
              <w:t>5.11%</w:t>
            </w:r>
          </w:p>
        </w:tc>
        <w:tc>
          <w:tcPr>
            <w:tcW w:type="dxa" w:w="2484"/>
            <w:vAlign w:val="center"/>
          </w:tcPr>
          <w:p>
            <w:pPr>
              <w:spacing w:after="0"/>
            </w:pPr>
            <w:r/>
            <w:r>
              <w:rPr>
                <w:b w:val="0"/>
                <w:sz w:val="18"/>
              </w:rPr>
              <w:t>$61,837.63</w:t>
            </w:r>
          </w:p>
        </w:tc>
        <w:tc>
          <w:tcPr>
            <w:tcW w:type="dxa" w:w="2484"/>
            <w:vAlign w:val="center"/>
          </w:tcPr>
          <w:p>
            <w:pPr>
              <w:spacing w:after="0"/>
            </w:pPr>
            <w:r/>
            <w:r>
              <w:rPr>
                <w:b w:val="0"/>
                <w:sz w:val="18"/>
              </w:rPr>
              <w:t>$37,728.50</w:t>
            </w:r>
          </w:p>
        </w:tc>
      </w:tr>
      <w:tr>
        <w:tc>
          <w:tcPr>
            <w:tcW w:type="dxa" w:w="2484"/>
            <w:vAlign w:val="center"/>
          </w:tcPr>
          <w:p>
            <w:pPr>
              <w:spacing w:after="0"/>
            </w:pPr>
            <w:r/>
            <w:r>
              <w:rPr>
                <w:b w:val="0"/>
                <w:sz w:val="18"/>
              </w:rPr>
              <w:t>The Birthday Sugar Panda</w:t>
            </w:r>
          </w:p>
        </w:tc>
        <w:tc>
          <w:tcPr>
            <w:tcW w:type="dxa" w:w="2484"/>
            <w:vAlign w:val="center"/>
          </w:tcPr>
          <w:p>
            <w:pPr>
              <w:spacing w:after="0"/>
            </w:pPr>
            <w:r/>
            <w:r>
              <w:rPr>
                <w:b w:val="0"/>
                <w:sz w:val="18"/>
              </w:rPr>
              <w:t>6.04%</w:t>
            </w:r>
          </w:p>
        </w:tc>
        <w:tc>
          <w:tcPr>
            <w:tcW w:type="dxa" w:w="2484"/>
            <w:vAlign w:val="center"/>
          </w:tcPr>
          <w:p>
            <w:pPr>
              <w:spacing w:after="0"/>
            </w:pPr>
            <w:r/>
            <w:r>
              <w:rPr>
                <w:b w:val="0"/>
                <w:sz w:val="18"/>
              </w:rPr>
              <w:t>$13,842.99</w:t>
            </w:r>
          </w:p>
        </w:tc>
        <w:tc>
          <w:tcPr>
            <w:tcW w:type="dxa" w:w="2484"/>
            <w:vAlign w:val="center"/>
          </w:tcPr>
          <w:p>
            <w:pPr>
              <w:spacing w:after="0"/>
            </w:pPr>
            <w:r/>
            <w:r>
              <w:rPr>
                <w:b w:val="0"/>
                <w:sz w:val="18"/>
              </w:rPr>
              <w:t>$9,481.50</w:t>
            </w:r>
          </w:p>
        </w:tc>
      </w:tr>
      <w:tr>
        <w:tc>
          <w:tcPr>
            <w:tcW w:type="dxa" w:w="2484"/>
            <w:vAlign w:val="center"/>
          </w:tcPr>
          <w:p>
            <w:pPr>
              <w:spacing w:after="0"/>
            </w:pPr>
            <w:r/>
            <w:r>
              <w:rPr>
                <w:b w:val="0"/>
                <w:sz w:val="18"/>
              </w:rPr>
              <w:t>The Forever Love Bear</w:t>
            </w:r>
          </w:p>
        </w:tc>
        <w:tc>
          <w:tcPr>
            <w:tcW w:type="dxa" w:w="2484"/>
            <w:vAlign w:val="center"/>
          </w:tcPr>
          <w:p>
            <w:pPr>
              <w:spacing w:after="0"/>
            </w:pPr>
            <w:r/>
            <w:r>
              <w:rPr>
                <w:b w:val="0"/>
                <w:sz w:val="18"/>
              </w:rPr>
              <w:t>2.23%</w:t>
            </w:r>
          </w:p>
        </w:tc>
        <w:tc>
          <w:tcPr>
            <w:tcW w:type="dxa" w:w="2484"/>
            <w:vAlign w:val="center"/>
          </w:tcPr>
          <w:p>
            <w:pPr>
              <w:spacing w:after="0"/>
            </w:pPr>
            <w:r/>
            <w:r>
              <w:rPr>
                <w:b w:val="0"/>
                <w:sz w:val="18"/>
              </w:rPr>
              <w:t>$7,738.71</w:t>
            </w:r>
          </w:p>
        </w:tc>
        <w:tc>
          <w:tcPr>
            <w:tcW w:type="dxa" w:w="2484"/>
            <w:vAlign w:val="center"/>
          </w:tcPr>
          <w:p>
            <w:pPr>
              <w:spacing w:after="0"/>
            </w:pPr>
            <w:r/>
            <w:r>
              <w:rPr>
                <w:b w:val="0"/>
                <w:sz w:val="18"/>
              </w:rPr>
              <w:t>$4,837.50</w:t>
            </w:r>
          </w:p>
        </w:tc>
      </w:tr>
      <w:tr>
        <w:tc>
          <w:tcPr>
            <w:tcW w:type="dxa" w:w="2484"/>
            <w:vAlign w:val="center"/>
          </w:tcPr>
          <w:p>
            <w:pPr>
              <w:spacing w:after="0"/>
            </w:pPr>
            <w:r/>
            <w:r>
              <w:rPr>
                <w:b w:val="0"/>
                <w:sz w:val="18"/>
              </w:rPr>
              <w:t>The Hudson River Mini Bear</w:t>
            </w:r>
          </w:p>
        </w:tc>
        <w:tc>
          <w:tcPr>
            <w:tcW w:type="dxa" w:w="2484"/>
            <w:vAlign w:val="center"/>
          </w:tcPr>
          <w:p>
            <w:pPr>
              <w:spacing w:after="0"/>
            </w:pPr>
            <w:r/>
            <w:r>
              <w:rPr>
                <w:b w:val="0"/>
                <w:sz w:val="18"/>
              </w:rPr>
              <w:t>1.28%</w:t>
            </w:r>
          </w:p>
        </w:tc>
        <w:tc>
          <w:tcPr>
            <w:tcW w:type="dxa" w:w="2484"/>
            <w:vAlign w:val="center"/>
          </w:tcPr>
          <w:p>
            <w:pPr>
              <w:spacing w:after="0"/>
            </w:pPr>
            <w:r/>
            <w:r>
              <w:rPr>
                <w:b w:val="0"/>
                <w:sz w:val="18"/>
              </w:rPr>
              <w:t>$1,919.36</w:t>
            </w:r>
          </w:p>
        </w:tc>
        <w:tc>
          <w:tcPr>
            <w:tcW w:type="dxa" w:w="2484"/>
            <w:vAlign w:val="center"/>
          </w:tcPr>
          <w:p>
            <w:pPr>
              <w:spacing w:after="0"/>
            </w:pPr>
            <w:r/>
            <w:r>
              <w:rPr>
                <w:b w:val="0"/>
                <w:sz w:val="18"/>
              </w:rPr>
              <w:t>$1,312.00</w:t>
            </w:r>
          </w:p>
        </w:tc>
      </w:tr>
    </w:tbl>
    <w:p>
      <w:pPr>
        <w:spacing w:after="0"/>
      </w:pPr>
    </w:p>
    <w:p>
      <w:pPr>
        <w:pStyle w:val="Heading1"/>
      </w:pPr>
      <w:r>
        <w:t>What I would test</w:t>
      </w:r>
    </w:p>
    <w:p>
      <w:r>
        <w:t>Based on the analysis, I prioritised four areas for possible experiments:</w:t>
      </w:r>
    </w:p>
    <w:p>
      <w:r>
        <w:rPr>
          <w:b/>
        </w:rPr>
        <w:t xml:space="preserve">1. Mobile checkout: </w:t>
      </w:r>
      <w:r>
        <w:t>The Shipping → Billing drop-off and the wider mobile conversion gap make the checkout experience the first area I would investigate. The main metric would be Shipping → Billing conversion.</w:t>
      </w:r>
    </w:p>
    <w:p>
      <w:r>
        <w:rPr>
          <w:b/>
        </w:rPr>
        <w:t xml:space="preserve">2. Retention campaign: </w:t>
      </w:r>
      <w:r>
        <w:t>The repeat-customer rate is only 1.86%, while repeat customers are much more valuable. I would test re-engagement around the observed 30–35 day repurchase window. The main metric would be second-purchase rate within 60 days.</w:t>
      </w:r>
    </w:p>
    <w:p>
      <w:r>
        <w:rPr>
          <w:b/>
        </w:rPr>
        <w:t xml:space="preserve">3. Landing page: </w:t>
      </w:r>
      <w:r>
        <w:t>Landing-page performance varies, so I would test a redesigned version based on the stronger-performing /lander-5 experience. The main metric would be landing-page to order conversion.</w:t>
      </w:r>
    </w:p>
    <w:p>
      <w:r>
        <w:rPr>
          <w:b/>
        </w:rPr>
        <w:t xml:space="preserve">4. Socialbook mobile: </w:t>
      </w:r>
      <w:r>
        <w:t>Socialbook's mobile conversion is particularly low, so a mobile-specific landing and checkout experience would be worth testing. The main metric would be purchase conversion.</w:t>
      </w:r>
    </w:p>
    <w:p>
      <w:pPr>
        <w:pStyle w:val="Heading1"/>
      </w:pPr>
      <w:r>
        <w:t>Power BI dashboard</w:t>
      </w:r>
    </w:p>
    <w:p>
      <w:r>
        <w:t>The final Power BI report has six pages:</w:t>
      </w:r>
    </w:p>
    <w:p>
      <w:pPr>
        <w:pStyle w:val="ListBullet"/>
      </w:pPr>
      <w:r>
        <w:t>Executive Overview</w:t>
      </w:r>
    </w:p>
    <w:p>
      <w:pPr>
        <w:pStyle w:val="ListBullet"/>
      </w:pPr>
      <w:r>
        <w:t>Marketing Performance</w:t>
      </w:r>
    </w:p>
    <w:p>
      <w:pPr>
        <w:pStyle w:val="ListBullet"/>
      </w:pPr>
      <w:r>
        <w:t>Product Performance</w:t>
      </w:r>
    </w:p>
    <w:p>
      <w:pPr>
        <w:pStyle w:val="ListBullet"/>
      </w:pPr>
      <w:r>
        <w:t>Customer &amp; Retention</w:t>
      </w:r>
    </w:p>
    <w:p>
      <w:pPr>
        <w:pStyle w:val="ListBullet"/>
      </w:pPr>
      <w:r>
        <w:t>Funnel &amp; Root Cause</w:t>
      </w:r>
    </w:p>
    <w:p>
      <w:pPr>
        <w:pStyle w:val="ListBullet"/>
      </w:pPr>
      <w:r>
        <w:t>Recommendations &amp; A/B Tests</w:t>
      </w:r>
    </w:p>
    <w:p>
      <w:r>
        <w:t>The idea was to move from the overall picture to the areas that need more investigation, and then finish with the actions I would take based on the analysis.</w:t>
      </w:r>
    </w:p>
    <w:p>
      <w:pPr>
        <w:pStyle w:val="Heading1"/>
      </w:pPr>
      <w:r>
        <w:t>Limitations</w:t>
      </w:r>
    </w:p>
    <w:p>
      <w:r>
        <w:t>There are a few limitations to keep in mind. The dataset does not include advertising spend, so marketing ROI/ROAS cannot be calculated. It also does not contain randomized treatment/control groups or experiment IDs, so the A/B tests in this project are proposed experiments rather than actual test results.</w:t>
      </w:r>
    </w:p>
    <w:p>
      <w:r>
        <w:t>The analysis is observational, so it can show where a problem exists but cannot by itself prove the exact reason behind it. For example, the data shows a large mobile Shipping → Billing drop-off, but further product or user research would be needed to establish why it happens.</w:t>
      </w:r>
    </w:p>
    <w:p>
      <w:r>
        <w:t>There is also an order-record-count inconsistency in the project source material, which should be reconciled against the source database before the repository is presented as fully reproducible.</w:t>
      </w:r>
    </w:p>
    <w:p>
      <w:pPr>
        <w:pStyle w:val="Heading1"/>
      </w:pPr>
      <w:r>
        <w:t>Tools used</w:t>
      </w:r>
    </w:p>
    <w:p>
      <w:r>
        <w:t>MySQL, SQL, Power BI and DAX.</w:t>
      </w:r>
    </w:p>
    <w:p>
      <w:pPr>
        <w:pStyle w:val="Heading1"/>
      </w:pPr>
      <w:r>
        <w:t>Final note</w:t>
      </w:r>
    </w:p>
    <w:p>
      <w:r>
        <w:t>The main takeaway from the project is that the business has good scale, but there are clear opportunities around mobile conversion and customer retention. The analysis therefore points towards improving the mobile checkout, getting more customers to purchase again, and investigating weaker landing-page and Socialbook mobile performance.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