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A87D" w14:textId="77777777" w:rsidR="004F222B" w:rsidRDefault="007A15BE" w:rsidP="00033A2B">
      <w:pPr>
        <w:pStyle w:val="Heading1"/>
        <w:jc w:val="center"/>
      </w:pPr>
      <w:r>
        <w:t>Healthcare Patient &amp; Hospital Analytics Using SQL</w:t>
      </w:r>
    </w:p>
    <w:p w14:paraId="2E9FA305" w14:textId="77777777" w:rsidR="004F222B" w:rsidRDefault="007A15BE" w:rsidP="00033A2B">
      <w:pPr>
        <w:jc w:val="center"/>
      </w:pPr>
      <w:r>
        <w:rPr>
          <w:b/>
        </w:rPr>
        <w:t>Project Report</w:t>
      </w:r>
      <w:r>
        <w:rPr>
          <w:b/>
        </w:rPr>
        <w:br/>
      </w:r>
    </w:p>
    <w:p w14:paraId="3D3DC7F7" w14:textId="77777777" w:rsidR="004F222B" w:rsidRDefault="007A15BE">
      <w:pPr>
        <w:pStyle w:val="Heading2"/>
      </w:pPr>
      <w:r>
        <w:t>Project Overview</w:t>
      </w:r>
    </w:p>
    <w:p w14:paraId="062D1DB5" w14:textId="77777777" w:rsidR="004F222B" w:rsidRDefault="007A15BE">
      <w:r>
        <w:t>Analyzed 55,500 healthcare records using SQL to identify patient demographics, medical condition trends, hospital performance, doctor rankings, insurance provider contributions, and revenue drivers. Advanced SQL techniques including aggregations, CASE statements, subqueries, and window functions were used to generate business insights.</w:t>
      </w:r>
    </w:p>
    <w:p w14:paraId="0BD96D77" w14:textId="77777777" w:rsidR="004F222B" w:rsidRDefault="007A15BE">
      <w:pPr>
        <w:pStyle w:val="Heading2"/>
      </w:pPr>
      <w:r>
        <w:t>Tools Used</w:t>
      </w:r>
    </w:p>
    <w:p w14:paraId="2F49375D" w14:textId="3959E0F1" w:rsidR="004F222B" w:rsidRDefault="007A15BE">
      <w:r>
        <w:t>MySQL</w:t>
      </w:r>
    </w:p>
    <w:p w14:paraId="26DDA90D" w14:textId="77777777" w:rsidR="004F222B" w:rsidRDefault="007A15BE">
      <w:pPr>
        <w:pStyle w:val="Heading2"/>
      </w:pPr>
      <w:r>
        <w:t>Dataset Summary</w:t>
      </w:r>
    </w:p>
    <w:p w14:paraId="20AB2F64" w14:textId="77777777" w:rsidR="004F222B" w:rsidRDefault="007A15BE">
      <w:r>
        <w:t>Total Records: 55,500</w:t>
      </w:r>
      <w:r>
        <w:br/>
        <w:t>Key Fields: Age, Gender, Blood Type, Medical Condition, Hospital, Doctor, Insurance Provider, Billing Amount, Admission Type, Test Results</w:t>
      </w:r>
    </w:p>
    <w:p w14:paraId="6245D6BC" w14:textId="77777777" w:rsidR="004F222B" w:rsidRDefault="007A15BE">
      <w:pPr>
        <w:pStyle w:val="Heading2"/>
      </w:pPr>
      <w:r>
        <w:t>Key Findings</w:t>
      </w:r>
    </w:p>
    <w:p w14:paraId="2C4BC81C" w14:textId="77777777" w:rsidR="004F222B" w:rsidRDefault="007A15BE">
      <w:r>
        <w:t>• Total patient records analyzed: 55,500.</w:t>
      </w:r>
      <w:r>
        <w:br/>
        <w:t>• Gender distribution was balanced with 27,774 male and 27,726 female patients.</w:t>
      </w:r>
      <w:r>
        <w:br/>
        <w:t>• Arthritis (9,308 patients) was the most common medical condition, followed closely by Diabetes (9,304 patients).</w:t>
      </w:r>
      <w:r>
        <w:br/>
        <w:t>• Diabetes generated the highest revenue ($238.54M), followed by Obesity and Arthritis.</w:t>
      </w:r>
      <w:r>
        <w:br/>
        <w:t>• Johnson PLC was the highest revenue-generating hospital ($1.08M).</w:t>
      </w:r>
      <w:r>
        <w:br/>
        <w:t>• Michael Smith ranked as the top revenue-generating doctor ($784,501.84).</w:t>
      </w:r>
      <w:r>
        <w:br/>
        <w:t>• Adults (30–60 years) represented the largest patient group (25,437 patients).</w:t>
      </w:r>
      <w:r>
        <w:br/>
        <w:t>• Adu</w:t>
      </w:r>
      <w:r>
        <w:t>lts generated the highest revenue ($650.61M).</w:t>
      </w:r>
      <w:r>
        <w:br/>
        <w:t>• Cigna generated the highest insurance-related billing revenue ($287.14M).</w:t>
      </w:r>
      <w:r>
        <w:br/>
        <w:t>• Abnormal test results were the most frequent category (18,627 patients).</w:t>
      </w:r>
    </w:p>
    <w:p w14:paraId="72489D88" w14:textId="77777777" w:rsidR="004F222B" w:rsidRDefault="007A15BE">
      <w:pPr>
        <w:pStyle w:val="Heading2"/>
      </w:pPr>
      <w:r>
        <w:t>SQL Concepts Used</w:t>
      </w:r>
    </w:p>
    <w:p w14:paraId="66D04F8F" w14:textId="77777777" w:rsidR="004F222B" w:rsidRDefault="007A15BE">
      <w:r>
        <w:t>• SELECT</w:t>
      </w:r>
      <w:r>
        <w:br/>
        <w:t>• GROUP BY</w:t>
      </w:r>
      <w:r>
        <w:br/>
        <w:t>• ORDER BY</w:t>
      </w:r>
      <w:r>
        <w:br/>
        <w:t>• COUNT()</w:t>
      </w:r>
      <w:r>
        <w:br/>
        <w:t>• SUM()</w:t>
      </w:r>
      <w:r>
        <w:br/>
        <w:t>• AVG()</w:t>
      </w:r>
      <w:r>
        <w:br/>
        <w:t>• CASE WHEN</w:t>
      </w:r>
      <w:r>
        <w:br/>
        <w:t>• Subqueries</w:t>
      </w:r>
      <w:r>
        <w:br/>
        <w:t>• RANK()</w:t>
      </w:r>
      <w:r>
        <w:br/>
        <w:t>• DENSE_RANK()</w:t>
      </w:r>
    </w:p>
    <w:p w14:paraId="6089032E" w14:textId="77777777" w:rsidR="004F222B" w:rsidRDefault="007A15BE">
      <w:pPr>
        <w:pStyle w:val="Heading2"/>
      </w:pPr>
      <w:r>
        <w:lastRenderedPageBreak/>
        <w:t>Business Recommendations</w:t>
      </w:r>
    </w:p>
    <w:p w14:paraId="034BDA93" w14:textId="77777777" w:rsidR="004F222B" w:rsidRDefault="007A15BE">
      <w:r>
        <w:t>1. Increase investment in treatment programs for Diabetes, Arthritis, and Hypertension.</w:t>
      </w:r>
      <w:r>
        <w:br/>
        <w:t>2. Focus retention and preventive care initiatives on adult patients.</w:t>
      </w:r>
      <w:r>
        <w:br/>
        <w:t>3. Benchmark lower-performing hospitals against Johnson PLC and other top performers.</w:t>
      </w:r>
      <w:r>
        <w:br/>
        <w:t>4. Strengthen partnerships with leading insurance providers such as Cigna and Medicare.</w:t>
      </w:r>
      <w:r>
        <w:br/>
        <w:t>5. Develop follow-up programs for patients with abnormal test results.</w:t>
      </w:r>
      <w:r>
        <w:br/>
        <w:t>6. Use doctor performance rankings to identify and replicate best practices.</w:t>
      </w:r>
    </w:p>
    <w:p w14:paraId="100CEB3C" w14:textId="77777777" w:rsidR="004F222B" w:rsidRDefault="007A15BE">
      <w:pPr>
        <w:pStyle w:val="Heading2"/>
      </w:pPr>
      <w:r>
        <w:t>Conclusion</w:t>
      </w:r>
    </w:p>
    <w:p w14:paraId="5AA90842" w14:textId="77777777" w:rsidR="004F222B" w:rsidRDefault="007A15BE">
      <w:r>
        <w:t>Healthcare revenue is largely driven by chronic medical conditions and adult patient populations. SQL-based analytics helped identify key revenue drivers, high-performing hospitals, leading doctors, and insurance provider contributions, enabling data-driven healthcare decision making.</w:t>
      </w:r>
    </w:p>
    <w:sectPr w:rsidR="004F22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55851">
    <w:abstractNumId w:val="8"/>
  </w:num>
  <w:num w:numId="2" w16cid:durableId="412316623">
    <w:abstractNumId w:val="6"/>
  </w:num>
  <w:num w:numId="3" w16cid:durableId="824468788">
    <w:abstractNumId w:val="5"/>
  </w:num>
  <w:num w:numId="4" w16cid:durableId="1658000448">
    <w:abstractNumId w:val="4"/>
  </w:num>
  <w:num w:numId="5" w16cid:durableId="57944754">
    <w:abstractNumId w:val="7"/>
  </w:num>
  <w:num w:numId="6" w16cid:durableId="628899754">
    <w:abstractNumId w:val="3"/>
  </w:num>
  <w:num w:numId="7" w16cid:durableId="2040815693">
    <w:abstractNumId w:val="2"/>
  </w:num>
  <w:num w:numId="8" w16cid:durableId="2054888688">
    <w:abstractNumId w:val="1"/>
  </w:num>
  <w:num w:numId="9" w16cid:durableId="126550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A2B"/>
    <w:rsid w:val="00034616"/>
    <w:rsid w:val="0006063C"/>
    <w:rsid w:val="0015074B"/>
    <w:rsid w:val="0029639D"/>
    <w:rsid w:val="00326F90"/>
    <w:rsid w:val="004F222B"/>
    <w:rsid w:val="007A15BE"/>
    <w:rsid w:val="00AA1D8D"/>
    <w:rsid w:val="00B47730"/>
    <w:rsid w:val="00CB0664"/>
    <w:rsid w:val="00D45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0EB9E"/>
  <w14:defaultImageDpi w14:val="300"/>
  <w15:docId w15:val="{238FDFFB-A219-4303-891C-45D952A5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Jain</cp:lastModifiedBy>
  <cp:revision>2</cp:revision>
  <dcterms:created xsi:type="dcterms:W3CDTF">2026-06-03T11:55:00Z</dcterms:created>
  <dcterms:modified xsi:type="dcterms:W3CDTF">2026-06-03T11:55:00Z</dcterms:modified>
  <cp:category/>
</cp:coreProperties>
</file>