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Sentrix Features and Workflow</w:t>
      </w:r>
    </w:p>
    <w:p>
      <w:pPr>
        <w:spacing w:after="260"/>
      </w:pPr>
      <w:r>
        <w:rPr>
          <w:rFonts w:ascii="Aptos" w:hAnsi="Aptos"/>
          <w:color w:val="2878A5"/>
          <w:sz w:val="28"/>
        </w:rPr>
        <w:t>Implementation guide for the current repository</w:t>
      </w:r>
    </w:p>
    <w:p>
      <w:r>
        <w:t>This guide explains what Sentrix currently contains, how its user and data flows are intended to work, and which parts still depend on external setup or validation. The short version: the repository has a functioning application foundation and multiple operational workflows, but it is not yet a verified production surveillance or emergency-response deployment.</w:t>
      </w:r>
    </w:p>
    <w:p>
      <w:r>
        <w:t>Status verified against the repository and GitHub Actions on 6 October 2026. The current code is pushed to the Sentrix main branch. The latest CI run passed the frontend job and failed a backend test because OpenCV was missing from the CI install step.</w:t>
      </w:r>
    </w:p>
    <w:p>
      <w:pPr>
        <w:pStyle w:val="Heading1"/>
      </w:pPr>
      <w:r>
        <w:t>How to read implementation status</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4997"/>
        <w:gridCol w:w="4997"/>
      </w:tblGrid>
      <w:tr>
        <w:trPr>
          <w:tblHeader w:val="true"/>
          <w:cantSplit/>
        </w:trPr>
        <w:tc>
          <w:tcPr>
            <w:tcW w:type="dxa" w:w="2592"/>
            <w:vAlign w:val="center"/>
            <w:shd w:fill="17365D"/>
            <w:tcMar>
              <w:top w:w="105" w:type="dxa"/>
              <w:start w:w="115" w:type="dxa"/>
              <w:bottom w:w="105" w:type="dxa"/>
              <w:end w:w="115" w:type="dxa"/>
            </w:tcMar>
          </w:tcPr>
          <w:p>
            <w:pPr>
              <w:spacing w:after="0"/>
            </w:pPr>
            <w:r>
              <w:rPr>
                <w:rFonts w:ascii="Aptos" w:hAnsi="Aptos"/>
                <w:b/>
                <w:color w:val="FFFFFF"/>
                <w:sz w:val="19"/>
              </w:rPr>
              <w:t>Status</w:t>
            </w:r>
          </w:p>
        </w:tc>
        <w:tc>
          <w:tcPr>
            <w:tcW w:type="dxa" w:w="7704"/>
            <w:vAlign w:val="center"/>
            <w:shd w:fill="17365D"/>
            <w:tcMar>
              <w:top w:w="105" w:type="dxa"/>
              <w:start w:w="115" w:type="dxa"/>
              <w:bottom w:w="105" w:type="dxa"/>
              <w:end w:w="115" w:type="dxa"/>
            </w:tcMar>
          </w:tcPr>
          <w:p>
            <w:pPr>
              <w:spacing w:after="0"/>
            </w:pPr>
            <w:r>
              <w:rPr>
                <w:rFonts w:ascii="Aptos" w:hAnsi="Aptos"/>
                <w:b/>
                <w:color w:val="FFFFFF"/>
                <w:sz w:val="19"/>
              </w:rPr>
              <w:t>Meaning</w:t>
            </w:r>
          </w:p>
        </w:tc>
      </w:tr>
      <w:tr>
        <w:trPr>
          <w:cantSplit/>
        </w:trPr>
        <w:tc>
          <w:tcPr>
            <w:tcW w:type="dxa" w:w="2592"/>
            <w:vAlign w:val="center"/>
            <w:tcMar>
              <w:top w:w="90" w:type="dxa"/>
              <w:start w:w="110" w:type="dxa"/>
              <w:bottom w:w="90" w:type="dxa"/>
              <w:end w:w="110" w:type="dxa"/>
            </w:tcMar>
          </w:tcPr>
          <w:p>
            <w:pPr>
              <w:spacing w:after="20" w:line="252" w:lineRule="auto"/>
            </w:pPr>
            <w:r>
              <w:rPr>
                <w:rFonts w:ascii="Aptos" w:hAnsi="Aptos"/>
                <w:color w:val="243447"/>
                <w:sz w:val="19"/>
              </w:rPr>
              <w:t>Implemented in code</w:t>
            </w:r>
          </w:p>
        </w:tc>
        <w:tc>
          <w:tcPr>
            <w:tcW w:type="dxa" w:w="7704"/>
            <w:vAlign w:val="center"/>
            <w:tcMar>
              <w:top w:w="90" w:type="dxa"/>
              <w:start w:w="110" w:type="dxa"/>
              <w:bottom w:w="90" w:type="dxa"/>
              <w:end w:w="110" w:type="dxa"/>
            </w:tcMar>
          </w:tcPr>
          <w:p>
            <w:pPr>
              <w:spacing w:after="20" w:line="252" w:lineRule="auto"/>
            </w:pPr>
            <w:r>
              <w:rPr>
                <w:rFonts w:ascii="Aptos" w:hAnsi="Aptos"/>
                <w:color w:val="243447"/>
                <w:sz w:val="19"/>
              </w:rPr>
              <w:t>A corresponding UI, API, service, or test exists in this repository. External configuration and operational acceptance may still be needed.</w:t>
            </w:r>
          </w:p>
        </w:tc>
      </w:tr>
      <w:tr>
        <w:trPr>
          <w:cantSplit/>
        </w:trPr>
        <w:tc>
          <w:tcPr>
            <w:tcW w:type="dxa" w:w="2592"/>
            <w:vAlign w:val="center"/>
            <w:tcMar>
              <w:top w:w="90" w:type="dxa"/>
              <w:start w:w="110" w:type="dxa"/>
              <w:bottom w:w="90" w:type="dxa"/>
              <w:end w:w="110" w:type="dxa"/>
            </w:tcMar>
            <w:shd w:fill="F5F8FB"/>
          </w:tcPr>
          <w:p>
            <w:pPr>
              <w:spacing w:after="20" w:line="252" w:lineRule="auto"/>
            </w:pPr>
            <w:r>
              <w:rPr>
                <w:rFonts w:ascii="Aptos" w:hAnsi="Aptos"/>
                <w:color w:val="243447"/>
                <w:sz w:val="19"/>
              </w:rPr>
              <w:t>Partial / setup-dependent</w:t>
            </w:r>
          </w:p>
        </w:tc>
        <w:tc>
          <w:tcPr>
            <w:tcW w:type="dxa" w:w="7704"/>
            <w:vAlign w:val="center"/>
            <w:tcMar>
              <w:top w:w="90" w:type="dxa"/>
              <w:start w:w="110" w:type="dxa"/>
              <w:bottom w:w="90" w:type="dxa"/>
              <w:end w:w="110" w:type="dxa"/>
            </w:tcMar>
            <w:shd w:fill="F5F8FB"/>
          </w:tcPr>
          <w:p>
            <w:pPr>
              <w:spacing w:after="20" w:line="252" w:lineRule="auto"/>
            </w:pPr>
            <w:r>
              <w:rPr>
                <w:rFonts w:ascii="Aptos" w:hAnsi="Aptos"/>
                <w:color w:val="243447"/>
                <w:sz w:val="19"/>
              </w:rPr>
              <w:t>A meaningful code path exists, but the capability depends on models, providers, deployment services, real data, or end-to-end testing.</w:t>
            </w:r>
          </w:p>
        </w:tc>
      </w:tr>
      <w:tr>
        <w:trPr>
          <w:cantSplit/>
        </w:trPr>
        <w:tc>
          <w:tcPr>
            <w:tcW w:type="dxa" w:w="2592"/>
            <w:vAlign w:val="center"/>
            <w:tcMar>
              <w:top w:w="90" w:type="dxa"/>
              <w:start w:w="110" w:type="dxa"/>
              <w:bottom w:w="90" w:type="dxa"/>
              <w:end w:w="110" w:type="dxa"/>
            </w:tcMar>
          </w:tcPr>
          <w:p>
            <w:pPr>
              <w:spacing w:after="20" w:line="252" w:lineRule="auto"/>
            </w:pPr>
            <w:r>
              <w:rPr>
                <w:rFonts w:ascii="Aptos" w:hAnsi="Aptos"/>
                <w:color w:val="243447"/>
                <w:sz w:val="19"/>
              </w:rPr>
              <w:t>Not implemented / not verified</w:t>
            </w:r>
          </w:p>
        </w:tc>
        <w:tc>
          <w:tcPr>
            <w:tcW w:type="dxa" w:w="7704"/>
            <w:vAlign w:val="center"/>
            <w:tcMar>
              <w:top w:w="90" w:type="dxa"/>
              <w:start w:w="110" w:type="dxa"/>
              <w:bottom w:w="90" w:type="dxa"/>
              <w:end w:w="110" w:type="dxa"/>
            </w:tcMar>
          </w:tcPr>
          <w:p>
            <w:pPr>
              <w:spacing w:after="20" w:line="252" w:lineRule="auto"/>
            </w:pPr>
            <w:r>
              <w:rPr>
                <w:rFonts w:ascii="Aptos" w:hAnsi="Aptos"/>
                <w:color w:val="243447"/>
                <w:sz w:val="19"/>
              </w:rPr>
              <w:t>The capability is absent, only represented by a simple placeholder/rule, or was not exercised in a working deployment. Do not present it as production-ready.</w:t>
            </w:r>
          </w:p>
        </w:tc>
      </w:tr>
    </w:tbl>
    <w:p>
      <w:pPr>
        <w:spacing w:after="20"/>
      </w:pPr>
    </w:p>
    <w:p>
      <w:r>
        <w:t>Important: “implemented” describes repository code, not a promise that a live camera, message provider, database, or AI model is currently connected.</w:t>
      </w:r>
    </w:p>
    <w:p>
      <w:pPr>
        <w:pStyle w:val="Heading1"/>
      </w:pPr>
      <w:r>
        <w:t>Feature inventory</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3331"/>
        <w:gridCol w:w="3331"/>
        <w:gridCol w:w="3331"/>
      </w:tblGrid>
      <w:tr>
        <w:trPr>
          <w:tblHeader w:val="true"/>
          <w:cantSplit/>
        </w:trPr>
        <w:tc>
          <w:tcPr>
            <w:tcW w:type="dxa" w:w="2088"/>
            <w:vAlign w:val="center"/>
            <w:shd w:fill="17365D"/>
            <w:tcMar>
              <w:top w:w="105" w:type="dxa"/>
              <w:start w:w="115" w:type="dxa"/>
              <w:bottom w:w="105" w:type="dxa"/>
              <w:end w:w="115" w:type="dxa"/>
            </w:tcMar>
          </w:tcPr>
          <w:p>
            <w:pPr>
              <w:spacing w:after="0"/>
            </w:pPr>
            <w:r>
              <w:rPr>
                <w:rFonts w:ascii="Aptos" w:hAnsi="Aptos"/>
                <w:b/>
                <w:color w:val="FFFFFF"/>
                <w:sz w:val="16"/>
              </w:rPr>
              <w:t>Area</w:t>
            </w:r>
          </w:p>
        </w:tc>
        <w:tc>
          <w:tcPr>
            <w:tcW w:type="dxa" w:w="2232"/>
            <w:vAlign w:val="center"/>
            <w:shd w:fill="17365D"/>
            <w:tcMar>
              <w:top w:w="105" w:type="dxa"/>
              <w:start w:w="115" w:type="dxa"/>
              <w:bottom w:w="105" w:type="dxa"/>
              <w:end w:w="115" w:type="dxa"/>
            </w:tcMar>
          </w:tcPr>
          <w:p>
            <w:pPr>
              <w:spacing w:after="0"/>
            </w:pPr>
            <w:r>
              <w:rPr>
                <w:rFonts w:ascii="Aptos" w:hAnsi="Aptos"/>
                <w:b/>
                <w:color w:val="FFFFFF"/>
                <w:sz w:val="16"/>
              </w:rPr>
              <w:t>Status</w:t>
            </w:r>
          </w:p>
        </w:tc>
        <w:tc>
          <w:tcPr>
            <w:tcW w:type="dxa" w:w="5976"/>
            <w:vAlign w:val="center"/>
            <w:shd w:fill="17365D"/>
            <w:tcMar>
              <w:top w:w="105" w:type="dxa"/>
              <w:start w:w="115" w:type="dxa"/>
              <w:bottom w:w="105" w:type="dxa"/>
              <w:end w:w="115" w:type="dxa"/>
            </w:tcMar>
          </w:tcPr>
          <w:p>
            <w:pPr>
              <w:spacing w:after="0"/>
            </w:pPr>
            <w:r>
              <w:rPr>
                <w:rFonts w:ascii="Aptos" w:hAnsi="Aptos"/>
                <w:b/>
                <w:color w:val="FFFFFF"/>
                <w:sz w:val="16"/>
              </w:rPr>
              <w:t>What exists and what to know</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Operator console</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Implemented</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Dashboard, alerts, map, live feed, camera management, guard duty, analytics, and admin UI. Some routes redirect instead of providing their own full screen.</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Authentication and roles</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Implemented; configuration required</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Signed expiring sessions, role checks on protected backend actions, password/passkey flows, optional OTP, account revocation, and authentication audit events. Configure actual users, recovery, and identity services.</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Login throttling</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Implemented</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Per-operator rate limit. Redis is configured in production Compose; local-memory fallback is not shared across processes and cache loss resets counters.</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Alert lifecycle</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Implemented</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Backend actions support acknowledgement, investigation, resolution, and false-positive handling, with activity/evidence-related records.</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Interactive GIS</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Implemented; data-dependent</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Leaflet pan/zoom, layer toggles, selectable incidents, an impact inspector, and map features loaded from backend records.</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GeoJSON import</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Implemented with limits</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Admin import of Point communities/resources/infrastructure and LineString roads. Validates geometry and coordinate bounds; limited to 500 features and a 5 MB UI file.</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PostGIS</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Configured in code; live path unverified</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Spatial feature table and GiST index, plus viewport/bounding-box query path. Canonical operational state remains a single JSONB document; Docker integration was not run in the earlier pass.</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Risk and impact</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Partial</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Simple scoring/correlation and geometric nearby-resource/community checks. Not a validated forecast, severity model, or driving-route optimizer.</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Person, face and ANPR inference</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Partial; model-dependent</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Service adapters and normalized frame results exist. Requires AI packages, approved model weights, runtime hardware, and representative accuracy tests. A frame result does not by itself create a reviewed alert.</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Camera relay</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Partial; infrastructure-dependent</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Camera test/registration, MediaMTX configuration, browser feed components, and relay session authorization. No production camera fleet or complete browser/relay path was verified.</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Guard dispatch and OTP</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Implemented; provider-dependent</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Assignment, OTP challenge/verification, and handover API flows. Real SMS requires Exotel configuration and delivery testing.</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Evidence and audit</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Implemented locally; external anchors optional</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SHA-256 and a verifiable local hash chain, plus optional Firebase, private Pinata, and blockchain adapters. Hashing is not encryption or immutable storage.</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Monitoring</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Local metrics implemented</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Health/metrics/status endpoints and dashboard model-health view. No external alerting/observability deployment is configured.</w:t>
            </w:r>
          </w:p>
        </w:tc>
      </w:tr>
      <w:tr>
        <w:trPr>
          <w:cantSplit/>
        </w:trPr>
        <w:tc>
          <w:tcPr>
            <w:tcW w:type="dxa" w:w="2088"/>
            <w:vAlign w:val="center"/>
            <w:tcMar>
              <w:top w:w="90" w:type="dxa"/>
              <w:start w:w="110" w:type="dxa"/>
              <w:bottom w:w="90" w:type="dxa"/>
              <w:end w:w="110" w:type="dxa"/>
            </w:tcMar>
            <w:shd w:fill="F5F8FB"/>
          </w:tcPr>
          <w:p>
            <w:pPr>
              <w:spacing w:after="20" w:line="252" w:lineRule="auto"/>
            </w:pPr>
            <w:r>
              <w:rPr>
                <w:rFonts w:ascii="Aptos" w:hAnsi="Aptos"/>
                <w:color w:val="243447"/>
                <w:sz w:val="16"/>
              </w:rPr>
              <w:t>Production stack</w:t>
            </w:r>
          </w:p>
        </w:tc>
        <w:tc>
          <w:tcPr>
            <w:tcW w:type="dxa" w:w="2232"/>
            <w:vAlign w:val="center"/>
            <w:tcMar>
              <w:top w:w="90" w:type="dxa"/>
              <w:start w:w="110" w:type="dxa"/>
              <w:bottom w:w="90" w:type="dxa"/>
              <w:end w:w="110" w:type="dxa"/>
            </w:tcMar>
            <w:shd w:fill="F5F8FB"/>
          </w:tcPr>
          <w:p>
            <w:pPr>
              <w:spacing w:after="20" w:line="252" w:lineRule="auto"/>
            </w:pPr>
            <w:r>
              <w:rPr>
                <w:rFonts w:ascii="Aptos" w:hAnsi="Aptos"/>
                <w:color w:val="243447"/>
                <w:sz w:val="16"/>
              </w:rPr>
              <w:t>Compose baseline only</w:t>
            </w:r>
          </w:p>
        </w:tc>
        <w:tc>
          <w:tcPr>
            <w:tcW w:type="dxa" w:w="5976"/>
            <w:vAlign w:val="center"/>
            <w:tcMar>
              <w:top w:w="90" w:type="dxa"/>
              <w:start w:w="110" w:type="dxa"/>
              <w:bottom w:w="90" w:type="dxa"/>
              <w:end w:w="110" w:type="dxa"/>
            </w:tcMar>
            <w:shd w:fill="F5F8FB"/>
          </w:tcPr>
          <w:p>
            <w:pPr>
              <w:spacing w:after="20" w:line="252" w:lineRule="auto"/>
            </w:pPr>
            <w:r>
              <w:rPr>
                <w:rFonts w:ascii="Aptos" w:hAnsi="Aptos"/>
                <w:color w:val="243447"/>
                <w:sz w:val="16"/>
              </w:rPr>
              <w:t>Caddy, frontend, Django, PostGIS, Redis, and MediaMTX are defined. No host, DNS, firewall, WAF, secrets, backups, or live deployment has been supplied/verified.</w:t>
            </w:r>
          </w:p>
        </w:tc>
      </w:tr>
      <w:tr>
        <w:trPr>
          <w:cantSplit/>
        </w:trPr>
        <w:tc>
          <w:tcPr>
            <w:tcW w:type="dxa" w:w="2088"/>
            <w:vAlign w:val="center"/>
            <w:tcMar>
              <w:top w:w="90" w:type="dxa"/>
              <w:start w:w="110" w:type="dxa"/>
              <w:bottom w:w="90" w:type="dxa"/>
              <w:end w:w="110" w:type="dxa"/>
            </w:tcMar>
          </w:tcPr>
          <w:p>
            <w:pPr>
              <w:spacing w:after="20" w:line="252" w:lineRule="auto"/>
            </w:pPr>
            <w:r>
              <w:rPr>
                <w:rFonts w:ascii="Aptos" w:hAnsi="Aptos"/>
                <w:color w:val="243447"/>
                <w:sz w:val="16"/>
              </w:rPr>
              <w:t>GitHub CI</w:t>
            </w:r>
          </w:p>
        </w:tc>
        <w:tc>
          <w:tcPr>
            <w:tcW w:type="dxa" w:w="2232"/>
            <w:vAlign w:val="center"/>
            <w:tcMar>
              <w:top w:w="90" w:type="dxa"/>
              <w:start w:w="110" w:type="dxa"/>
              <w:bottom w:w="90" w:type="dxa"/>
              <w:end w:w="110" w:type="dxa"/>
            </w:tcMar>
          </w:tcPr>
          <w:p>
            <w:pPr>
              <w:spacing w:after="20" w:line="252" w:lineRule="auto"/>
            </w:pPr>
            <w:r>
              <w:rPr>
                <w:rFonts w:ascii="Aptos" w:hAnsi="Aptos"/>
                <w:color w:val="243447"/>
                <w:sz w:val="16"/>
              </w:rPr>
              <w:t>Present but currently failing</w:t>
            </w:r>
          </w:p>
        </w:tc>
        <w:tc>
          <w:tcPr>
            <w:tcW w:type="dxa" w:w="5976"/>
            <w:vAlign w:val="center"/>
            <w:tcMar>
              <w:top w:w="90" w:type="dxa"/>
              <w:start w:w="110" w:type="dxa"/>
              <w:bottom w:w="90" w:type="dxa"/>
              <w:end w:w="110" w:type="dxa"/>
            </w:tcMar>
          </w:tcPr>
          <w:p>
            <w:pPr>
              <w:spacing w:after="20" w:line="252" w:lineRule="auto"/>
            </w:pPr>
            <w:r>
              <w:rPr>
                <w:rFonts w:ascii="Aptos" w:hAnsi="Aptos"/>
                <w:color w:val="243447"/>
                <w:sz w:val="16"/>
              </w:rPr>
              <w:t>Frontend typecheck/build passed in the latest workflow; backend unit test failed because CI omitted OpenCV (`cv2`).</w:t>
            </w:r>
          </w:p>
        </w:tc>
      </w:tr>
    </w:tbl>
    <w:p>
      <w:pPr>
        <w:spacing w:after="20"/>
      </w:pPr>
    </w:p>
    <w:p>
      <w:pPr>
        <w:pStyle w:val="Heading1"/>
      </w:pPr>
      <w:r>
        <w:t>System overview</w:t>
      </w:r>
    </w:p>
    <w:p>
      <w:r>
        <w:t>The browser is the operator interface, Django is the application/API boundary, local or PostgreSQL state stores operational records, and optional adapters connect cameras, inference models, notifications, evidence storage, and external audit services. Not every adapter is enabled or connected by default.</w:t>
      </w:r>
    </w:p>
    <w:tbl>
      <w:tblPr>
        <w:tblW w:type="auto" w:w="0"/>
        <w:jc w:val="center"/>
        <w:tblLayout w:type="fixed"/>
        <w:tblLook w:firstColumn="1" w:firstRow="1" w:lastColumn="0" w:lastRow="0" w:noHBand="0" w:noVBand="1" w:val="04A0"/>
        <w:tblBorders>
          <w:top w:val="single" w:sz="5" w:color="D4DEE7"/>
          <w:left w:val="single" w:sz="5" w:color="D4DEE7"/>
          <w:bottom w:val="single" w:sz="5" w:color="D4DEE7"/>
          <w:right w:val="single" w:sz="5" w:color="D4DEE7"/>
          <w:insideH w:val="single" w:sz="5" w:color="D4DEE7"/>
          <w:insideV w:val="single" w:sz="5" w:color="D4DEE7"/>
        </w:tblBorders>
      </w:tblPr>
      <w:tblGrid>
        <w:gridCol w:w="3331"/>
        <w:gridCol w:w="3331"/>
        <w:gridCol w:w="3331"/>
      </w:tblGrid>
      <w:tr>
        <w:trPr>
          <w:tblHeader w:val="true"/>
          <w:cantSplit/>
        </w:trPr>
        <w:tc>
          <w:tcPr>
            <w:tcW w:type="dxa" w:w="1944"/>
            <w:vAlign w:val="center"/>
            <w:shd w:fill="17365D"/>
            <w:tcMar>
              <w:top w:w="105" w:type="dxa"/>
              <w:start w:w="115" w:type="dxa"/>
              <w:bottom w:w="105" w:type="dxa"/>
              <w:end w:w="115" w:type="dxa"/>
            </w:tcMar>
          </w:tcPr>
          <w:p>
            <w:pPr>
              <w:spacing w:after="0"/>
            </w:pPr>
            <w:r>
              <w:rPr>
                <w:rFonts w:ascii="Aptos" w:hAnsi="Aptos"/>
                <w:b/>
                <w:color w:val="FFFFFF"/>
                <w:sz w:val="17"/>
              </w:rPr>
              <w:t>Component</w:t>
            </w:r>
          </w:p>
        </w:tc>
        <w:tc>
          <w:tcPr>
            <w:tcW w:type="dxa" w:w="3600"/>
            <w:vAlign w:val="center"/>
            <w:shd w:fill="17365D"/>
            <w:tcMar>
              <w:top w:w="105" w:type="dxa"/>
              <w:start w:w="115" w:type="dxa"/>
              <w:bottom w:w="105" w:type="dxa"/>
              <w:end w:w="115" w:type="dxa"/>
            </w:tcMar>
          </w:tcPr>
          <w:p>
            <w:pPr>
              <w:spacing w:after="0"/>
            </w:pPr>
            <w:r>
              <w:rPr>
                <w:rFonts w:ascii="Aptos" w:hAnsi="Aptos"/>
                <w:b/>
                <w:color w:val="FFFFFF"/>
                <w:sz w:val="17"/>
              </w:rPr>
              <w:t>Role</w:t>
            </w:r>
          </w:p>
        </w:tc>
        <w:tc>
          <w:tcPr>
            <w:tcW w:type="dxa" w:w="4752"/>
            <w:vAlign w:val="center"/>
            <w:shd w:fill="17365D"/>
            <w:tcMar>
              <w:top w:w="105" w:type="dxa"/>
              <w:start w:w="115" w:type="dxa"/>
              <w:bottom w:w="105" w:type="dxa"/>
              <w:end w:w="115" w:type="dxa"/>
            </w:tcMar>
          </w:tcPr>
          <w:p>
            <w:pPr>
              <w:spacing w:after="0"/>
            </w:pPr>
            <w:r>
              <w:rPr>
                <w:rFonts w:ascii="Aptos" w:hAnsi="Aptos"/>
                <w:b/>
                <w:color w:val="FFFFFF"/>
                <w:sz w:val="17"/>
              </w:rPr>
              <w:t>Data / boundary</w:t>
            </w:r>
          </w:p>
        </w:tc>
      </w:tr>
      <w:tr>
        <w:trPr>
          <w:cantSplit/>
        </w:trPr>
        <w:tc>
          <w:tcPr>
            <w:tcW w:type="dxa" w:w="1944"/>
            <w:vAlign w:val="center"/>
            <w:tcMar>
              <w:top w:w="90" w:type="dxa"/>
              <w:start w:w="110" w:type="dxa"/>
              <w:bottom w:w="90" w:type="dxa"/>
              <w:end w:w="110" w:type="dxa"/>
            </w:tcMar>
          </w:tcPr>
          <w:p>
            <w:pPr>
              <w:spacing w:after="20" w:line="252" w:lineRule="auto"/>
            </w:pPr>
            <w:r>
              <w:rPr>
                <w:rFonts w:ascii="Aptos" w:hAnsi="Aptos"/>
                <w:color w:val="243447"/>
                <w:sz w:val="17"/>
              </w:rPr>
              <w:t>Next.js console</w:t>
            </w:r>
          </w:p>
        </w:tc>
        <w:tc>
          <w:tcPr>
            <w:tcW w:type="dxa" w:w="3600"/>
            <w:vAlign w:val="center"/>
            <w:tcMar>
              <w:top w:w="90" w:type="dxa"/>
              <w:start w:w="110" w:type="dxa"/>
              <w:bottom w:w="90" w:type="dxa"/>
              <w:end w:w="110" w:type="dxa"/>
            </w:tcMar>
          </w:tcPr>
          <w:p>
            <w:pPr>
              <w:spacing w:after="20" w:line="252" w:lineRule="auto"/>
            </w:pPr>
            <w:r>
              <w:rPr>
                <w:rFonts w:ascii="Aptos" w:hAnsi="Aptos"/>
                <w:color w:val="243447"/>
                <w:sz w:val="17"/>
              </w:rPr>
              <w:t>Login, role-aware UI, map, alerts, camera views, guard actions</w:t>
            </w:r>
          </w:p>
        </w:tc>
        <w:tc>
          <w:tcPr>
            <w:tcW w:type="dxa" w:w="4752"/>
            <w:vAlign w:val="center"/>
            <w:tcMar>
              <w:top w:w="90" w:type="dxa"/>
              <w:start w:w="110" w:type="dxa"/>
              <w:bottom w:w="90" w:type="dxa"/>
              <w:end w:w="110" w:type="dxa"/>
            </w:tcMar>
          </w:tcPr>
          <w:p>
            <w:pPr>
              <w:spacing w:after="20" w:line="252" w:lineRule="auto"/>
            </w:pPr>
            <w:r>
              <w:rPr>
                <w:rFonts w:ascii="Aptos" w:hAnsi="Aptos"/>
                <w:color w:val="243447"/>
                <w:sz w:val="17"/>
              </w:rPr>
              <w:t>Calls Django over HTTP/JSON; local state is a UI cache, not the authority.</w:t>
            </w:r>
          </w:p>
        </w:tc>
      </w:tr>
      <w:tr>
        <w:trPr>
          <w:cantSplit/>
        </w:trPr>
        <w:tc>
          <w:tcPr>
            <w:tcW w:type="dxa" w:w="1944"/>
            <w:vAlign w:val="center"/>
            <w:tcMar>
              <w:top w:w="90" w:type="dxa"/>
              <w:start w:w="110" w:type="dxa"/>
              <w:bottom w:w="90" w:type="dxa"/>
              <w:end w:w="110" w:type="dxa"/>
            </w:tcMar>
            <w:shd w:fill="F5F8FB"/>
          </w:tcPr>
          <w:p>
            <w:pPr>
              <w:spacing w:after="20" w:line="252" w:lineRule="auto"/>
            </w:pPr>
            <w:r>
              <w:rPr>
                <w:rFonts w:ascii="Aptos" w:hAnsi="Aptos"/>
                <w:color w:val="243447"/>
                <w:sz w:val="17"/>
              </w:rPr>
              <w:t>Django API</w:t>
            </w:r>
          </w:p>
        </w:tc>
        <w:tc>
          <w:tcPr>
            <w:tcW w:type="dxa" w:w="3600"/>
            <w:vAlign w:val="center"/>
            <w:tcMar>
              <w:top w:w="90" w:type="dxa"/>
              <w:start w:w="110" w:type="dxa"/>
              <w:bottom w:w="90" w:type="dxa"/>
              <w:end w:w="110" w:type="dxa"/>
            </w:tcMar>
            <w:shd w:fill="F5F8FB"/>
          </w:tcPr>
          <w:p>
            <w:pPr>
              <w:spacing w:after="20" w:line="252" w:lineRule="auto"/>
            </w:pPr>
            <w:r>
              <w:rPr>
                <w:rFonts w:ascii="Aptos" w:hAnsi="Aptos"/>
                <w:color w:val="243447"/>
                <w:sz w:val="17"/>
              </w:rPr>
              <w:t>Authentication, authorization, validation, state changes, inference/analytics endpoints</w:t>
            </w:r>
          </w:p>
        </w:tc>
        <w:tc>
          <w:tcPr>
            <w:tcW w:type="dxa" w:w="4752"/>
            <w:vAlign w:val="center"/>
            <w:tcMar>
              <w:top w:w="90" w:type="dxa"/>
              <w:start w:w="110" w:type="dxa"/>
              <w:bottom w:w="90" w:type="dxa"/>
              <w:end w:w="110" w:type="dxa"/>
            </w:tcMar>
            <w:shd w:fill="F5F8FB"/>
          </w:tcPr>
          <w:p>
            <w:pPr>
              <w:spacing w:after="20" w:line="252" w:lineRule="auto"/>
            </w:pPr>
            <w:r>
              <w:rPr>
                <w:rFonts w:ascii="Aptos" w:hAnsi="Aptos"/>
                <w:color w:val="243447"/>
                <w:sz w:val="17"/>
              </w:rPr>
              <w:t>Checks sessions and roles server-side; exposes `/api/...` routes.</w:t>
            </w:r>
          </w:p>
        </w:tc>
      </w:tr>
      <w:tr>
        <w:trPr>
          <w:cantSplit/>
        </w:trPr>
        <w:tc>
          <w:tcPr>
            <w:tcW w:type="dxa" w:w="1944"/>
            <w:vAlign w:val="center"/>
            <w:tcMar>
              <w:top w:w="90" w:type="dxa"/>
              <w:start w:w="110" w:type="dxa"/>
              <w:bottom w:w="90" w:type="dxa"/>
              <w:end w:w="110" w:type="dxa"/>
            </w:tcMar>
          </w:tcPr>
          <w:p>
            <w:pPr>
              <w:spacing w:after="20" w:line="252" w:lineRule="auto"/>
            </w:pPr>
            <w:r>
              <w:rPr>
                <w:rFonts w:ascii="Aptos" w:hAnsi="Aptos"/>
                <w:color w:val="243447"/>
                <w:sz w:val="17"/>
              </w:rPr>
              <w:t>Operational state</w:t>
            </w:r>
          </w:p>
        </w:tc>
        <w:tc>
          <w:tcPr>
            <w:tcW w:type="dxa" w:w="3600"/>
            <w:vAlign w:val="center"/>
            <w:tcMar>
              <w:top w:w="90" w:type="dxa"/>
              <w:start w:w="110" w:type="dxa"/>
              <w:bottom w:w="90" w:type="dxa"/>
              <w:end w:w="110" w:type="dxa"/>
            </w:tcMar>
          </w:tcPr>
          <w:p>
            <w:pPr>
              <w:spacing w:after="20" w:line="252" w:lineRule="auto"/>
            </w:pPr>
            <w:r>
              <w:rPr>
                <w:rFonts w:ascii="Aptos" w:hAnsi="Aptos"/>
                <w:color w:val="243447"/>
                <w:sz w:val="17"/>
              </w:rPr>
              <w:t>Local JSON in development; PostgreSQL JSONB state document in production configuration</w:t>
            </w:r>
          </w:p>
        </w:tc>
        <w:tc>
          <w:tcPr>
            <w:tcW w:type="dxa" w:w="4752"/>
            <w:vAlign w:val="center"/>
            <w:tcMar>
              <w:top w:w="90" w:type="dxa"/>
              <w:start w:w="110" w:type="dxa"/>
              <w:bottom w:w="90" w:type="dxa"/>
              <w:end w:w="110" w:type="dxa"/>
            </w:tcMar>
          </w:tcPr>
          <w:p>
            <w:pPr>
              <w:spacing w:after="20" w:line="252" w:lineRule="auto"/>
            </w:pPr>
            <w:r>
              <w:rPr>
                <w:rFonts w:ascii="Aptos" w:hAnsi="Aptos"/>
                <w:color w:val="243447"/>
                <w:sz w:val="17"/>
              </w:rPr>
              <w:t>The main state document is not yet normalized for safe multi-instance concurrent writes.</w:t>
            </w:r>
          </w:p>
        </w:tc>
      </w:tr>
      <w:tr>
        <w:trPr>
          <w:cantSplit/>
        </w:trPr>
        <w:tc>
          <w:tcPr>
            <w:tcW w:type="dxa" w:w="1944"/>
            <w:vAlign w:val="center"/>
            <w:tcMar>
              <w:top w:w="90" w:type="dxa"/>
              <w:start w:w="110" w:type="dxa"/>
              <w:bottom w:w="90" w:type="dxa"/>
              <w:end w:w="110" w:type="dxa"/>
            </w:tcMar>
            <w:shd w:fill="F5F8FB"/>
          </w:tcPr>
          <w:p>
            <w:pPr>
              <w:spacing w:after="20" w:line="252" w:lineRule="auto"/>
            </w:pPr>
            <w:r>
              <w:rPr>
                <w:rFonts w:ascii="Aptos" w:hAnsi="Aptos"/>
                <w:color w:val="243447"/>
                <w:sz w:val="17"/>
              </w:rPr>
              <w:t>PostGIS projection</w:t>
            </w:r>
          </w:p>
        </w:tc>
        <w:tc>
          <w:tcPr>
            <w:tcW w:type="dxa" w:w="3600"/>
            <w:vAlign w:val="center"/>
            <w:tcMar>
              <w:top w:w="90" w:type="dxa"/>
              <w:start w:w="110" w:type="dxa"/>
              <w:bottom w:w="90" w:type="dxa"/>
              <w:end w:w="110" w:type="dxa"/>
            </w:tcMar>
            <w:shd w:fill="F5F8FB"/>
          </w:tcPr>
          <w:p>
            <w:pPr>
              <w:spacing w:after="20" w:line="252" w:lineRule="auto"/>
            </w:pPr>
            <w:r>
              <w:rPr>
                <w:rFonts w:ascii="Aptos" w:hAnsi="Aptos"/>
                <w:color w:val="243447"/>
                <w:sz w:val="17"/>
              </w:rPr>
              <w:t>Indexed geographic features and viewport queries</w:t>
            </w:r>
          </w:p>
        </w:tc>
        <w:tc>
          <w:tcPr>
            <w:tcW w:type="dxa" w:w="4752"/>
            <w:vAlign w:val="center"/>
            <w:tcMar>
              <w:top w:w="90" w:type="dxa"/>
              <w:start w:w="110" w:type="dxa"/>
              <w:bottom w:w="90" w:type="dxa"/>
              <w:end w:w="110" w:type="dxa"/>
            </w:tcMar>
            <w:shd w:fill="F5F8FB"/>
          </w:tcPr>
          <w:p>
            <w:pPr>
              <w:spacing w:after="20" w:line="252" w:lineRule="auto"/>
            </w:pPr>
            <w:r>
              <w:rPr>
                <w:rFonts w:ascii="Aptos" w:hAnsi="Aptos"/>
                <w:color w:val="243447"/>
                <w:sz w:val="17"/>
              </w:rPr>
              <w:t>Supports imported reference layers; canonical records still live in the JSON state document.</w:t>
            </w:r>
          </w:p>
        </w:tc>
      </w:tr>
      <w:tr>
        <w:trPr>
          <w:cantSplit/>
        </w:trPr>
        <w:tc>
          <w:tcPr>
            <w:tcW w:type="dxa" w:w="1944"/>
            <w:vAlign w:val="center"/>
            <w:tcMar>
              <w:top w:w="90" w:type="dxa"/>
              <w:start w:w="110" w:type="dxa"/>
              <w:bottom w:w="90" w:type="dxa"/>
              <w:end w:w="110" w:type="dxa"/>
            </w:tcMar>
          </w:tcPr>
          <w:p>
            <w:pPr>
              <w:spacing w:after="20" w:line="252" w:lineRule="auto"/>
            </w:pPr>
            <w:r>
              <w:rPr>
                <w:rFonts w:ascii="Aptos" w:hAnsi="Aptos"/>
                <w:color w:val="243447"/>
                <w:sz w:val="17"/>
              </w:rPr>
              <w:t>Redis</w:t>
            </w:r>
          </w:p>
        </w:tc>
        <w:tc>
          <w:tcPr>
            <w:tcW w:type="dxa" w:w="3600"/>
            <w:vAlign w:val="center"/>
            <w:tcMar>
              <w:top w:w="90" w:type="dxa"/>
              <w:start w:w="110" w:type="dxa"/>
              <w:bottom w:w="90" w:type="dxa"/>
              <w:end w:w="110" w:type="dxa"/>
            </w:tcMar>
          </w:tcPr>
          <w:p>
            <w:pPr>
              <w:spacing w:after="20" w:line="252" w:lineRule="auto"/>
            </w:pPr>
            <w:r>
              <w:rPr>
                <w:rFonts w:ascii="Aptos" w:hAnsi="Aptos"/>
                <w:color w:val="243447"/>
                <w:sz w:val="17"/>
              </w:rPr>
              <w:t>Shared cache/rate-limit backend in production configuration</w:t>
            </w:r>
          </w:p>
        </w:tc>
        <w:tc>
          <w:tcPr>
            <w:tcW w:type="dxa" w:w="4752"/>
            <w:vAlign w:val="center"/>
            <w:tcMar>
              <w:top w:w="90" w:type="dxa"/>
              <w:start w:w="110" w:type="dxa"/>
              <w:bottom w:w="90" w:type="dxa"/>
              <w:end w:w="110" w:type="dxa"/>
            </w:tcMar>
          </w:tcPr>
          <w:p>
            <w:pPr>
              <w:spacing w:after="20" w:line="252" w:lineRule="auto"/>
            </w:pPr>
            <w:r>
              <w:rPr>
                <w:rFonts w:ascii="Aptos" w:hAnsi="Aptos"/>
                <w:color w:val="243447"/>
                <w:sz w:val="17"/>
              </w:rPr>
              <w:t>Private network service; development can use local-memory cache.</w:t>
            </w:r>
          </w:p>
        </w:tc>
      </w:tr>
      <w:tr>
        <w:trPr>
          <w:cantSplit/>
        </w:trPr>
        <w:tc>
          <w:tcPr>
            <w:tcW w:type="dxa" w:w="1944"/>
            <w:vAlign w:val="center"/>
            <w:tcMar>
              <w:top w:w="90" w:type="dxa"/>
              <w:start w:w="110" w:type="dxa"/>
              <w:bottom w:w="90" w:type="dxa"/>
              <w:end w:w="110" w:type="dxa"/>
            </w:tcMar>
            <w:shd w:fill="F5F8FB"/>
          </w:tcPr>
          <w:p>
            <w:pPr>
              <w:spacing w:after="20" w:line="252" w:lineRule="auto"/>
            </w:pPr>
            <w:r>
              <w:rPr>
                <w:rFonts w:ascii="Aptos" w:hAnsi="Aptos"/>
                <w:color w:val="243447"/>
                <w:sz w:val="17"/>
              </w:rPr>
              <w:t>MediaMTX relay</w:t>
            </w:r>
          </w:p>
        </w:tc>
        <w:tc>
          <w:tcPr>
            <w:tcW w:type="dxa" w:w="3600"/>
            <w:vAlign w:val="center"/>
            <w:tcMar>
              <w:top w:w="90" w:type="dxa"/>
              <w:start w:w="110" w:type="dxa"/>
              <w:bottom w:w="90" w:type="dxa"/>
              <w:end w:w="110" w:type="dxa"/>
            </w:tcMar>
            <w:shd w:fill="F5F8FB"/>
          </w:tcPr>
          <w:p>
            <w:pPr>
              <w:spacing w:after="20" w:line="252" w:lineRule="auto"/>
            </w:pPr>
            <w:r>
              <w:rPr>
                <w:rFonts w:ascii="Aptos" w:hAnsi="Aptos"/>
                <w:color w:val="243447"/>
                <w:sz w:val="17"/>
              </w:rPr>
              <w:t>Makes configured camera streams accessible to the browser</w:t>
            </w:r>
          </w:p>
        </w:tc>
        <w:tc>
          <w:tcPr>
            <w:tcW w:type="dxa" w:w="4752"/>
            <w:vAlign w:val="center"/>
            <w:tcMar>
              <w:top w:w="90" w:type="dxa"/>
              <w:start w:w="110" w:type="dxa"/>
              <w:bottom w:w="90" w:type="dxa"/>
              <w:end w:w="110" w:type="dxa"/>
            </w:tcMar>
            <w:shd w:fill="F5F8FB"/>
          </w:tcPr>
          <w:p>
            <w:pPr>
              <w:spacing w:after="20" w:line="252" w:lineRule="auto"/>
            </w:pPr>
            <w:r>
              <w:rPr>
                <w:rFonts w:ascii="Aptos" w:hAnsi="Aptos"/>
                <w:color w:val="243447"/>
                <w:sz w:val="17"/>
              </w:rPr>
              <w:t>Must be deployed and network-restricted; RTSP itself is not browser-playable.</w:t>
            </w:r>
          </w:p>
        </w:tc>
      </w:tr>
      <w:tr>
        <w:trPr>
          <w:cantSplit/>
        </w:trPr>
        <w:tc>
          <w:tcPr>
            <w:tcW w:type="dxa" w:w="1944"/>
            <w:vAlign w:val="center"/>
            <w:tcMar>
              <w:top w:w="90" w:type="dxa"/>
              <w:start w:w="110" w:type="dxa"/>
              <w:bottom w:w="90" w:type="dxa"/>
              <w:end w:w="110" w:type="dxa"/>
            </w:tcMar>
          </w:tcPr>
          <w:p>
            <w:pPr>
              <w:spacing w:after="20" w:line="252" w:lineRule="auto"/>
            </w:pPr>
            <w:r>
              <w:rPr>
                <w:rFonts w:ascii="Aptos" w:hAnsi="Aptos"/>
                <w:color w:val="243447"/>
                <w:sz w:val="17"/>
              </w:rPr>
              <w:t>Optional services</w:t>
            </w:r>
          </w:p>
        </w:tc>
        <w:tc>
          <w:tcPr>
            <w:tcW w:type="dxa" w:w="3600"/>
            <w:vAlign w:val="center"/>
            <w:tcMar>
              <w:top w:w="90" w:type="dxa"/>
              <w:start w:w="110" w:type="dxa"/>
              <w:bottom w:w="90" w:type="dxa"/>
              <w:end w:w="110" w:type="dxa"/>
            </w:tcMar>
          </w:tcPr>
          <w:p>
            <w:pPr>
              <w:spacing w:after="20" w:line="252" w:lineRule="auto"/>
            </w:pPr>
            <w:r>
              <w:rPr>
                <w:rFonts w:ascii="Aptos" w:hAnsi="Aptos"/>
                <w:color w:val="243447"/>
                <w:sz w:val="17"/>
              </w:rPr>
              <w:t>Firebase/FCM, Exotel, private evidence storage, blockchain</w:t>
            </w:r>
          </w:p>
        </w:tc>
        <w:tc>
          <w:tcPr>
            <w:tcW w:type="dxa" w:w="4752"/>
            <w:vAlign w:val="center"/>
            <w:tcMar>
              <w:top w:w="90" w:type="dxa"/>
              <w:start w:w="110" w:type="dxa"/>
              <w:bottom w:w="90" w:type="dxa"/>
              <w:end w:w="110" w:type="dxa"/>
            </w:tcMar>
          </w:tcPr>
          <w:p>
            <w:pPr>
              <w:spacing w:after="20" w:line="252" w:lineRule="auto"/>
            </w:pPr>
            <w:r>
              <w:rPr>
                <w:rFonts w:ascii="Aptos" w:hAnsi="Aptos"/>
                <w:color w:val="243447"/>
                <w:sz w:val="17"/>
              </w:rPr>
              <w:t>Backend-only credentials and provider-specific provisioning are required.</w:t>
            </w:r>
          </w:p>
        </w:tc>
      </w:tr>
    </w:tbl>
    <w:p>
      <w:pPr>
        <w:spacing w:after="20"/>
      </w:pPr>
    </w:p>
    <w:p>
      <w:pPr>
        <w:pStyle w:val="Heading1"/>
      </w:pPr>
      <w:r>
        <w:t>End-to-end operator workflow</w:t>
      </w:r>
    </w:p>
    <w:p>
      <w:r>
        <w:t>The flow below describes the intended operating sequence and the code paths that exist. It does not imply that a production operator account, camera, SMS provider, model, database, or external service is already configured.</w:t>
      </w:r>
    </w:p>
    <w:p>
      <w:pPr>
        <w:pStyle w:val="Heading2"/>
      </w:pPr>
      <w:r>
        <w:t>1. Authenticate</w:t>
      </w:r>
    </w:p>
    <w:p>
      <w:r>
        <w:t>The operator opens the console and uses the configured password or passkey flow. Django verifies credentials and applies login throttling. If second factor is enabled, Django issues an OTP challenge and calls the configured delivery path. Demo accounts/OTP are off by default. Successful authentication returns a signed, expiring session with an operator tier.</w:t>
      </w:r>
    </w:p>
    <w:p>
      <w:r>
        <w:rPr>
          <w:b/>
        </w:rPr>
        <w:t xml:space="preserve">System path: </w:t>
      </w:r>
      <w:r>
        <w:t>Login UI → `/api/auth/login`, optional `/api/auth/verify-otp` or `/api/auth/passkey/*` → session. Backend authorization remains authoritative; a hidden UI button is not security.</w:t>
      </w:r>
    </w:p>
    <w:p>
      <w:pPr>
        <w:pStyle w:val="Heading2"/>
      </w:pPr>
      <w:r>
        <w:t>2. Load the workbench</w:t>
      </w:r>
    </w:p>
    <w:p>
      <w:r>
        <w:t>The console loads bootstrap data into its client-side store: alerts, cameras, guards, sectors, and reference records. This is initial hydration, not push-based live sync. No WebSocket/SSE event channel is present in the current API route setup.</w:t>
      </w:r>
    </w:p>
    <w:p>
      <w:r>
        <w:rPr>
          <w:b/>
        </w:rPr>
        <w:t xml:space="preserve">System path: </w:t>
      </w:r>
      <w:r>
        <w:t>Frontend backend hydrator → `/api/bootstrap` → application state. Explicit user actions and reloads retrieve updates; do not assume continuous real-time refresh.</w:t>
      </w:r>
    </w:p>
    <w:p>
      <w:pPr>
        <w:pStyle w:val="Heading2"/>
      </w:pPr>
      <w:r>
        <w:t>3. Acquire a camera observation</w:t>
      </w:r>
    </w:p>
    <w:p>
      <w:r>
        <w:t>A registered camera must be reachable on an approved private network. MediaMTX can relay RTSP to browser-compatible HLS/WebRTC. For local development, an operator can grant browser permission to a local camera.</w:t>
      </w:r>
    </w:p>
    <w:p>
      <w:r>
        <w:rPr>
          <w:b/>
        </w:rPr>
        <w:t xml:space="preserve">System path: </w:t>
      </w:r>
      <w:r>
        <w:t>Camera/NVR → private relay or local browser frame. Credentials and raw RTSP addresses must not leak to the browser or public network.</w:t>
      </w:r>
    </w:p>
    <w:p>
      <w:pPr>
        <w:pStyle w:val="Heading2"/>
      </w:pPr>
      <w:r>
        <w:t>4. Run configured inference</w:t>
      </w:r>
    </w:p>
    <w:p>
      <w:r>
        <w:t>If the inference dependencies, approved model files, and hardware are available, the frame endpoint can run person tracking, face localization, and ANPR adapters. It returns normalized boxes, confidence/module state, and latency. Face embedding comparison is separate and disabled by default.</w:t>
      </w:r>
    </w:p>
    <w:p>
      <w:r>
        <w:rPr>
          <w:b/>
        </w:rPr>
        <w:t xml:space="preserve">System path: </w:t>
      </w:r>
      <w:r>
        <w:t>Frame → `/api/inference/frame` → adapter results. The endpoint does not alone create a persistent incident, prove identity, or authorize response.</w:t>
      </w:r>
    </w:p>
    <w:p>
      <w:pPr>
        <w:pStyle w:val="Heading2"/>
      </w:pPr>
      <w:r>
        <w:t>5. Evaluate and review an incident</w:t>
      </w:r>
    </w:p>
    <w:p>
      <w:r>
        <w:t>Rules/triage can produce explainable candidate information. A candidate may come from an operator, community report, or separately integrated caller. An authorized person checks source, location, timing, evidence, false-positive risk, and policy before taking action.</w:t>
      </w:r>
    </w:p>
    <w:p>
      <w:r>
        <w:rPr>
          <w:b/>
        </w:rPr>
        <w:t xml:space="preserve">System path: </w:t>
      </w:r>
      <w:r>
        <w:t>Analytics/triage endpoints → candidate details → operator review → alert status/action APIs. Current risk indicators are heuristic, not validated predictive analytics.</w:t>
      </w:r>
    </w:p>
    <w:p>
      <w:pPr>
        <w:pStyle w:val="Heading2"/>
      </w:pPr>
      <w:r>
        <w:t>6. Add geographic context</w:t>
      </w:r>
    </w:p>
    <w:p>
      <w:r>
        <w:t>The operator selects an incident on the map, reviews available cameras/resources/communities/infrastructure, and can toggle map layers. A map viewport change requests the relevant spatial features. An admin can import a constrained GeoJSON FeatureCollection.</w:t>
      </w:r>
    </w:p>
    <w:p>
      <w:r>
        <w:rPr>
          <w:b/>
        </w:rPr>
        <w:t xml:space="preserve">System path: </w:t>
      </w:r>
      <w:r>
        <w:t>Leaflet UI → backend geospatial API → PostGIS indexed projection (production configuration). Data correctness, freshness, licensing, and completeness remain the deploying organization’s responsibility.</w:t>
      </w:r>
    </w:p>
    <w:p>
      <w:pPr>
        <w:pStyle w:val="Heading2"/>
      </w:pPr>
      <w:r>
        <w:t>7. Assign a responder</w:t>
      </w:r>
    </w:p>
    <w:p>
      <w:r>
        <w:t>A command/admin role selects or assigns a guard and requests dispatch. The API records assignment and creates a time-limited OTP with bounded verification attempts. Real SMS delivery depends on Exotel configuration; demo OTP is only for deliberately enabled local testing.</w:t>
      </w:r>
    </w:p>
    <w:p>
      <w:r>
        <w:rPr>
          <w:b/>
        </w:rPr>
        <w:t xml:space="preserve">System path: </w:t>
      </w:r>
      <w:r>
        <w:t>Dispatch API → OTP service/provider → guard receives code → authenticated verification endpoint → handover/activity records.</w:t>
      </w:r>
    </w:p>
    <w:p>
      <w:pPr>
        <w:pStyle w:val="Heading2"/>
      </w:pPr>
      <w:r>
        <w:t>8. Record evidence and integrity metadata</w:t>
      </w:r>
    </w:p>
    <w:p>
      <w:r>
        <w:t>When evidence services are invoked/configured, files can be hashed and event metadata can be recorded. Local audit-chain verification detects inconsistency against its stored chain. Optional adapters can sync records to Firestore, upload to private Pinata storage, or anchor hashes/custody events on a configured contract.</w:t>
      </w:r>
    </w:p>
    <w:p>
      <w:r>
        <w:rPr>
          <w:b/>
        </w:rPr>
        <w:t xml:space="preserve">System path: </w:t>
      </w:r>
      <w:r>
        <w:t>Evidence/outbox → SHA-256 → optional external sink/chain. Hashes are not encryption; external persistence and worker/provider wiring must be tested separately.</w:t>
      </w:r>
    </w:p>
    <w:p>
      <w:pPr>
        <w:pStyle w:val="Heading2"/>
      </w:pPr>
      <w:r>
        <w:t>9. Close and monitor</w:t>
      </w:r>
    </w:p>
    <w:p>
      <w:r>
        <w:t>The operator records the outcome and resolves or marks the alert false positive. Health, model metrics, Firebase/blockchain status, and audit verification endpoints provide diagnostic data. A production team must also configure centralized logs, alerts, backups, and recovery drills.</w:t>
      </w:r>
    </w:p>
    <w:p>
      <w:r>
        <w:rPr>
          <w:b/>
        </w:rPr>
        <w:t xml:space="preserve">System path: </w:t>
      </w:r>
      <w:r>
        <w:t>Alert/action and audit records → metrics/status endpoints → external operations process. No production on-call system is supplied by the repository.</w:t>
      </w:r>
    </w:p>
    <w:p>
      <w:pPr>
        <w:pStyle w:val="Heading2"/>
      </w:pPr>
      <w:r>
        <w:t>Workflow at a glance</w:t>
      </w:r>
    </w:p>
    <w:p>
      <w:pPr>
        <w:spacing w:before="80" w:after="240"/>
        <w:jc w:val="center"/>
      </w:pPr>
      <w:r>
        <w:rPr>
          <w:rFonts w:ascii="Aptos" w:hAnsi="Aptos"/>
          <w:b/>
          <w:color w:val="17365D"/>
          <w:sz w:val="22"/>
        </w:rPr>
        <w:t>SIGN IN  →  LOAD RECORDS  →  OBSERVE  →  INFER  →  HUMAN REVIEW</w:t>
        <w:br/>
        <w:t>→  MAP CONTEXT  →  ASSIGN  →  VERIFY HANDOVER  →  AUDIT AND CLOSE</w:t>
      </w:r>
    </w:p>
    <w:p>
      <w:pPr>
        <w:pStyle w:val="Heading1"/>
      </w:pPr>
      <w:r>
        <w:t>How the map and spatial features work</w:t>
      </w:r>
    </w:p>
    <w:p>
      <w:r>
        <w:t>The map is interactive: Leaflet handles pan/zoom and layer display, while Sentrix passes operational records and GIS features to map components. The UI exposes incidents, cameras, communities, resources, roads, risk zones, vulnerability, heatmap, and infrastructure layers. When the map viewport changes, the map can request spatial features in that area instead of requiring every geographic record at once.</w:t>
      </w:r>
    </w:p>
    <w:p>
      <w:r>
        <w:t>An admin import accepts GeoJSON FeatureCollections with Point geometry for communities, resources, and infrastructure, and LineString geometry for roads. Coordinate input uses GeoJSON longitude/latitude order and is converted to the app’s latitude/longitude object shape. It checks stable IDs, geometry types, coordinate bounds, payload size, and feature count. It does not validate government provenance or real-world accuracy.</w:t>
      </w:r>
    </w:p>
    <w:p>
      <w:r>
        <w:t>Nearby resource ordering and “nearest” labels use straight-line distance. Risk scoring uses rules over nearby/recent alerts, severity, and camera coverage. Community vulnerability uses supplied access/emergency-distance attributes and nearby alert/camera counts. Route advice uses configured road status and nearby incident points. These are useful display aids, not live traffic routing or forecast outputs.</w:t>
      </w:r>
    </w:p>
    <w:p>
      <w:pPr>
        <w:pStyle w:val="Heading1"/>
      </w:pPr>
      <w:r>
        <w:t>How AI and video features work</w:t>
      </w:r>
    </w:p>
    <w:p>
      <w:r>
        <w:t>The backend defines normalized detection contracts so enabled person, face, and ANPR modules can return a common result shape. Person tracking uses configured detector/tracker dependencies; face detection can use a configured model or a fallback face detector; ANPR uses vehicle/plate model paths and OCR, with a lower-quality fallback that scans vehicle crops when a plate model is absent. Optional InsightFace embeddings are a separately configured provider. Model weights are not checked into the repository.</w:t>
      </w:r>
    </w:p>
    <w:p>
      <w:r>
        <w:t>Inference availability is not accuracy. Before using results operationally, test on authorized and representative day/night/weather/camera-angle footage, measure precision/recall and false positive/negative rates, record exact model versions and licenses, and require trained human review. Face identity matching must remain explicitly authorized and consent-/policy-governed. A generic face box is not an identity match.</w:t>
      </w:r>
    </w:p>
    <w:p>
      <w:pPr>
        <w:pStyle w:val="Heading1"/>
      </w:pPr>
      <w:r>
        <w:t>What is still partial or not supplied</w:t>
      </w:r>
    </w:p>
    <w:p>
      <w:pPr>
        <w:pStyle w:val="ListBullet"/>
        <w:spacing w:after="60"/>
      </w:pPr>
      <w:r>
        <w:t>Production runtime: Docker services, PostGIS queries, Redis behavior, Caddy media authorization, and native/browser HLS compatibility were not end-to-end exercised in the earlier implementation pass.</w:t>
      </w:r>
    </w:p>
    <w:p>
      <w:pPr>
        <w:pStyle w:val="ListBullet"/>
        <w:spacing w:after="60"/>
      </w:pPr>
      <w:r>
        <w:t>State model: production operational state is a single JSONB payload. Record-level ownership/history, transaction isolation, and multi-instance concurrent write safety need a normalized domain schema and migration.</w:t>
      </w:r>
    </w:p>
    <w:p>
      <w:pPr>
        <w:pStyle w:val="ListBullet"/>
        <w:spacing w:after="60"/>
      </w:pPr>
      <w:r>
        <w:t>Real-time UX: no WebSocket/SSE live-update channel is implemented; console state is initially hydrated and updated through explicit API actions.</w:t>
      </w:r>
    </w:p>
    <w:p>
      <w:pPr>
        <w:pStyle w:val="ListBullet"/>
        <w:spacing w:after="60"/>
      </w:pPr>
      <w:r>
        <w:t>GIS: no CSV/KML importer, validated driving route engine, certified risk forecast, or verified source-dataset pipeline.</w:t>
      </w:r>
    </w:p>
    <w:p>
      <w:pPr>
        <w:pStyle w:val="ListBullet"/>
        <w:spacing w:after="60"/>
      </w:pPr>
      <w:r>
        <w:t>Camera operations: no demonstrated real camera fleet, robust reconnect/heartbeat service, camera outage paging, or production network/firewall configuration.</w:t>
      </w:r>
    </w:p>
    <w:p>
      <w:pPr>
        <w:pStyle w:val="ListBullet"/>
        <w:spacing w:after="60"/>
      </w:pPr>
      <w:r>
        <w:t>External providers: no real SMS, Firebase project, private evidence storage, deployed blockchain contract, or production identity provider is confirmed by the code being present.</w:t>
      </w:r>
    </w:p>
    <w:p>
      <w:pPr>
        <w:pStyle w:val="ListBullet"/>
        <w:spacing w:after="60"/>
      </w:pPr>
      <w:r>
        <w:t>Operations and security: no configured WAF, host firewall, central log/alert stack, disaster-recovery exercise, pentest, or production load test.</w:t>
      </w:r>
    </w:p>
    <w:p>
      <w:pPr>
        <w:pStyle w:val="ListBullet"/>
        <w:spacing w:after="60"/>
      </w:pPr>
      <w:r>
        <w:t>CI status: all nine latest push workflow runs failed at the backend test stage because the workflow did not install OpenCV. The latest frontend job passed; the backend configuration check was skipped after the test failure.</w:t>
      </w:r>
    </w:p>
    <w:p>
      <w:pPr>
        <w:pStyle w:val="Heading1"/>
      </w:pPr>
      <w:r>
        <w:t>GitHub notification explained</w:t>
      </w:r>
    </w:p>
    <w:p>
      <w:r>
        <w:t>The repository branch itself was pushed successfully: before this documentation update, local `main` and `origin/main` matched at `ea985e0`. GitHub’s red notifications referred to GitHub Actions workflow failures, not rejected Git pushes. The latest inspected run was “Document secure local-state migration”; frontend passed, and backend tests stopped at `test_resized_inference_scales_boxes_back_to_source_coordinates` because Python could not import `cv2`. The workflow installs `requirements-web.txt` and `requirements-services.txt`, while OpenCV is listed in `requirements-ai.txt`, which CI does not install. This is a CI dependency configuration issue to fix; it does not mean GitHub refused the commits.</w:t>
      </w:r>
    </w:p>
    <w:p>
      <w:r>
        <w:t>The README was then updated separately and pushed to main as commit `4b4f95c`. A new CI run for that README-only push may still fail until the missing dependency is addressed.</w:t>
      </w:r>
    </w:p>
    <w:p>
      <w:pPr>
        <w:pStyle w:val="Heading1"/>
      </w:pPr>
      <w:r>
        <w:t>Run the development app</w:t>
      </w:r>
    </w:p>
    <w:p>
      <w:r>
        <w:t>Start the backend in one terminal:</w:t>
      </w:r>
    </w:p>
    <w:p>
      <w:pPr>
        <w:ind w:left="360"/>
      </w:pPr>
      <w:r>
        <w:rPr>
          <w:rFonts w:ascii="Menlo" w:hAnsi="Menlo"/>
          <w:color w:val="243447"/>
          <w:sz w:val="18"/>
        </w:rPr>
        <w:t>cd backend</w:t>
        <w:br/>
        <w:t>python3 -m venv venv</w:t>
        <w:br/>
        <w:t>source venv/bin/activate</w:t>
        <w:br/>
        <w:t>python -m pip install -r requirements-web.txt -r requirements-services.txt</w:t>
        <w:br/>
        <w:t>python manage.py check</w:t>
        <w:br/>
        <w:t>python manage.py runserver 127.0.0.1:8000</w:t>
      </w:r>
    </w:p>
    <w:p>
      <w:r>
        <w:t>Start the frontend in another terminal:</w:t>
      </w:r>
    </w:p>
    <w:p>
      <w:pPr>
        <w:ind w:left="360"/>
      </w:pPr>
      <w:r>
        <w:rPr>
          <w:rFonts w:ascii="Menlo" w:hAnsi="Menlo"/>
          <w:color w:val="243447"/>
          <w:sz w:val="18"/>
        </w:rPr>
        <w:t>cd frontend</w:t>
        <w:br/>
        <w:t>npm ci</w:t>
        <w:br/>
        <w:t>npm run dev</w:t>
      </w:r>
    </w:p>
    <w:p>
      <w:r>
        <w:t>Open http://localhost:3000. The inference stack, camera relay, PostGIS, Redis, provider credentials, and model weights are optional for basic UI/API development but required for their associated integrations. Use the environment examples as references; use generated local secrets and never commit `.env` files.</w:t>
      </w:r>
    </w:p>
    <w:p>
      <w:pPr>
        <w:pStyle w:val="Heading1"/>
      </w:pPr>
      <w:r>
        <w:t>Before calling it production-ready</w:t>
      </w:r>
    </w:p>
    <w:p>
      <w:pPr>
        <w:pStyle w:val="ListBullet"/>
        <w:spacing w:after="60"/>
      </w:pPr>
      <w:r>
        <w:t>Fix the GitHub Actions OpenCV dependency and require both backend and frontend jobs to pass.</w:t>
      </w:r>
    </w:p>
    <w:p>
      <w:pPr>
        <w:pStyle w:val="ListBullet"/>
        <w:spacing w:after="60"/>
      </w:pPr>
      <w:r>
        <w:t>Launch the production Compose stack in an approved environment and verify migrations, health checks, Redis rate limits, PostGIS viewport queries, and backups/restores.</w:t>
      </w:r>
    </w:p>
    <w:p>
      <w:pPr>
        <w:pStyle w:val="ListBullet"/>
        <w:spacing w:after="60"/>
      </w:pPr>
      <w:r>
        <w:t>Test the actual Caddy → MediaMTX authorization and playback flow on supported browsers, including expired/revoked sessions.</w:t>
      </w:r>
    </w:p>
    <w:p>
      <w:pPr>
        <w:pStyle w:val="ListBullet"/>
        <w:spacing w:after="60"/>
      </w:pPr>
      <w:r>
        <w:t>Configure TLS, DNS, host/cloud firewall, private camera networks, WAF if required, secrets, logs, monitoring, retention, and incident-response ownership.</w:t>
      </w:r>
    </w:p>
    <w:p>
      <w:pPr>
        <w:pStyle w:val="ListBullet"/>
        <w:spacing w:after="60"/>
      </w:pPr>
      <w:r>
        <w:t>Connect and exercise only approved identity, SMS, Firebase, evidence-storage, and blockchain providers; run outage/retry/recovery drills.</w:t>
      </w:r>
    </w:p>
    <w:p>
      <w:pPr>
        <w:pStyle w:val="ListBullet"/>
        <w:spacing w:after="60"/>
      </w:pPr>
      <w:r>
        <w:t>Benchmark AI models on authorized representative data and document accuracy, limitations, license, and operator escalation rules.</w:t>
      </w:r>
    </w:p>
    <w:p>
      <w:pPr>
        <w:pStyle w:val="ListBullet"/>
        <w:spacing w:after="60"/>
      </w:pPr>
      <w:r>
        <w:t>Normalize state and test transactions/concurrency before scaling to multiple backend instances.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B78"/>
        <w:sz w:val="16"/>
      </w:rPr>
      <w:t xml:space="preserve">Repository implementation guide  •  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B78"/>
        <w:sz w:val="16"/>
      </w:rPr>
      <w:t>SENTRIX  /  FEATURES AND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878A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Sentrix Features and Workflow</dc:title>
  <dc:subject>Current feature inventory, system workflow, implementation status, and deployment boundaries</dc:subject>
  <dc:creator>Sentrix Project</dc:creator>
  <cp:keywords>Sentrix, features, workflow, implementation status, AI GIS</cp:keywords>
  <dc:description>generated by python-docx</dc:description>
  <cp:lastModifiedBy/>
  <cp:revision>1</cp:revision>
  <dcterms:created xsi:type="dcterms:W3CDTF">2013-12-23T23:15:00Z</dcterms:created>
  <dcterms:modified xsi:type="dcterms:W3CDTF">2013-12-23T23:15:00Z</dcterms:modified>
  <cp:category/>
</cp:coreProperties>
</file>