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</w:pPr>
      <w:r>
        <w:rPr>
          <w:b/>
          <w:bCs/>
          <w:color w:val="1F3864"/>
          <w:sz w:val="40"/>
          <w:szCs w:val="40"/>
        </w:rPr>
        <w:t xml:space="preserve">Instructions for Use (IFU)</w:t>
      </w:r>
    </w:p>
    <w:p>
      <w:pPr>
        <w:spacing w:after="300"/>
      </w:pPr>
      <w:r>
        <w:rPr>
          <w:i/>
          <w:iCs/>
          <w:color w:val="2E5395"/>
          <w:sz w:val="22"/>
          <w:szCs w:val="22"/>
        </w:rPr>
        <w:t xml:space="preserve">Labeling Documentation — PulseTrack Case Study</w:t>
      </w:r>
    </w:p>
    <w:p>
      <w:pPr>
        <w:spacing w:after="300"/>
      </w:pPr>
      <w:r>
        <w:rPr>
          <w:i/>
          <w:iCs/>
          <w:color w:val="7F7F7F"/>
          <w:sz w:val="18"/>
          <w:szCs w:val="18"/>
        </w:rPr>
        <w:t xml:space="preserve">NOTE: PulseTrack is a fictional device used for regulatory affairs training purposes. This document is a portfolio exercise, not a real regulatory filing.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Purpose</w:t>
      </w:r>
    </w:p>
    <w:p>
      <w:pPr>
        <w:pBdr>
          <w:bottom w:val="single" w:color="BFBFBF" w:sz="6" w:space="1"/>
        </w:pBdr>
        <w:spacing w:after="200"/>
      </w:pPr>
      <w:r>
        <w:t xml:space="preserve"/>
      </w:r>
    </w:p>
    <w:p>
      <w:pPr>
        <w:spacing w:after="160" w:line="276"/>
      </w:pPr>
      <w:r>
        <w:rPr>
          <w:sz w:val="22"/>
          <w:szCs w:val="22"/>
        </w:rPr>
        <w:t xml:space="preserve">The Instructions for Use (IFU) is both a usability document and a documented risk control under ISO 14971 — warnings and precautions listed here are formal 'information for safety' risk controls, traceable back to the Risk Management File, not just marketing or convenience text.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Device Description</w:t>
      </w:r>
    </w:p>
    <w:p>
      <w:pPr>
        <w:pBdr>
          <w:bottom w:val="single" w:color="BFBFBF" w:sz="6" w:space="1"/>
        </w:pBdr>
        <w:spacing w:after="200"/>
      </w:pPr>
      <w:r>
        <w:t xml:space="preserve"/>
      </w:r>
    </w:p>
    <w:p>
      <w:pPr>
        <w:spacing w:after="160" w:line="276"/>
      </w:pPr>
      <w:r>
        <w:rPr>
          <w:sz w:val="22"/>
          <w:szCs w:val="22"/>
        </w:rPr>
        <w:t xml:space="preserve">PulseTrack is a wireless fingertip pulse oximeter that measures blood oxygen saturation (SpO2) and pulse rate, transmitting readings via Bluetooth Low Energy to the PulseTrack companion mobile application.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Indications for Use</w:t>
      </w:r>
    </w:p>
    <w:p>
      <w:pPr>
        <w:pBdr>
          <w:bottom w:val="single" w:color="BFBFBF" w:sz="6" w:space="1"/>
        </w:pBdr>
        <w:spacing w:after="200"/>
      </w:pPr>
      <w:r>
        <w:t xml:space="preserve"/>
      </w:r>
    </w:p>
    <w:p>
      <w:pPr>
        <w:spacing w:after="160" w:line="276"/>
      </w:pPr>
      <w:r>
        <w:rPr>
          <w:sz w:val="22"/>
          <w:szCs w:val="22"/>
        </w:rPr>
        <w:t xml:space="preserve">For monitoring SpO2 and pulse rate in adult patients (18 years and older) with a physician-diagnosed respiratory condition placing them at risk of hypoxemia, in home and ambulatory non-clinical settings, as an adjunct to — not a replacement for — clinical judgment and physician-directed care.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4. Warnings</w:t>
      </w:r>
    </w:p>
    <w:p>
      <w:pPr>
        <w:pBdr>
          <w:bottom w:val="single" w:color="BFBFBF" w:sz="6" w:space="1"/>
        </w:pBdr>
        <w:spacing w:after="200"/>
      </w:pPr>
      <w:r>
        <w:t xml:space="preserve"/>
      </w:r>
    </w:p>
    <w:p>
      <w:pPr>
        <w:spacing w:after="160" w:line="276"/>
      </w:pPr>
      <w:r>
        <w:rPr>
          <w:sz w:val="22"/>
          <w:szCs w:val="22"/>
        </w:rPr>
        <w:t xml:space="preserve">• Do not use as the sole basis for diagnosis or treatment decisions.
• Do not use during transport, surgery, or in critical care environments.
• Seek immediate medical attention if you experience symptoms of low oxygen (shortness of breath, confusion, bluish lips or fingertips) regardless of the device reading.
• Nail polish, artificial nails, or poor peripheral circulation may cause inaccurate readings.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5. Precautions</w:t>
      </w:r>
    </w:p>
    <w:p>
      <w:pPr>
        <w:pBdr>
          <w:bottom w:val="single" w:color="BFBFBF" w:sz="6" w:space="1"/>
        </w:pBdr>
        <w:spacing w:after="200"/>
      </w:pPr>
      <w:r>
        <w:t xml:space="preserve"/>
      </w:r>
    </w:p>
    <w:p>
      <w:pPr>
        <w:spacing w:after="160" w:line="276"/>
      </w:pPr>
      <w:r>
        <w:rPr>
          <w:sz w:val="22"/>
          <w:szCs w:val="22"/>
        </w:rPr>
        <w:t xml:space="preserve">• Ensure the sensor is fully seated on a clean, dry finger.
• Keep your phone within 10 meters (33 feet) of the device to maintain Bluetooth connection.
• Charge the device fully before first use; a low-battery alert will appear at 20% and 10% remaining charge.
• Rotate finger placement or remove the device periodically during extended monitoring sessions to avoid skin irritation.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6. Instructions for Use — Step by Step</w:t>
      </w:r>
    </w:p>
    <w:p>
      <w:pPr>
        <w:pBdr>
          <w:bottom w:val="single" w:color="BFBFBF" w:sz="6" w:space="1"/>
        </w:pBdr>
        <w:spacing w:after="200"/>
      </w:pPr>
      <w:r>
        <w:t xml:space="preserve"/>
      </w:r>
    </w:p>
    <w:p>
      <w:pPr>
        <w:spacing w:after="160" w:line="276"/>
      </w:pPr>
      <w:r>
        <w:rPr>
          <w:sz w:val="22"/>
          <w:szCs w:val="22"/>
        </w:rPr>
        <w:t xml:space="preserve">1. Charge PulseTrack fully via the included USB-C cable.
2. Download and open the PulseTrack companion app; pair via Bluetooth following on-screen prompts.
3. Clip the sensor onto a clean, dry fingertip, ensuring the indicator light faces upward.
4. Wait 10 seconds for the reading to stabilize; the app will display SpO2 and pulse rate.
5. If the app displays a 'low signal quality' indicator instead of a numeric reading, reposition the sensor or try a different finger.
6. Configure your low-SpO2 alert threshold in the app settings as directed by your healthcare provider.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7. Maintenance and Cleaning</w:t>
      </w:r>
    </w:p>
    <w:p>
      <w:pPr>
        <w:pBdr>
          <w:bottom w:val="single" w:color="BFBFBF" w:sz="6" w:space="1"/>
        </w:pBdr>
        <w:spacing w:after="200"/>
      </w:pPr>
      <w:r>
        <w:t xml:space="preserve"/>
      </w:r>
    </w:p>
    <w:p>
      <w:pPr>
        <w:spacing w:after="160" w:line="276"/>
      </w:pPr>
      <w:r>
        <w:rPr>
          <w:sz w:val="22"/>
          <w:szCs w:val="22"/>
        </w:rPr>
        <w:t xml:space="preserve">Wipe the sensor with a soft cloth dampened with isopropyl alcohol (70%) between uses. Do not immerse in water. Do not sterilize by autoclave.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8. Electronic IFU (eIFU) Note</w:t>
      </w:r>
    </w:p>
    <w:p>
      <w:pPr>
        <w:pBdr>
          <w:bottom w:val="single" w:color="BFBFBF" w:sz="6" w:space="1"/>
        </w:pBdr>
        <w:spacing w:after="200"/>
      </w:pPr>
      <w:r>
        <w:t xml:space="preserve"/>
      </w:r>
    </w:p>
    <w:p>
      <w:pPr>
        <w:spacing w:after="160" w:line="276"/>
      </w:pPr>
      <w:r>
        <w:rPr>
          <w:sz w:val="22"/>
          <w:szCs w:val="22"/>
        </w:rPr>
        <w:t xml:space="preserve">This IFU content is also maintained in a structured XML format (see PulseTrack_IFU_Structured_XML_Sample.xml) to support electronic/multi-language labeling distribution consistent with current EU eIFU practices, enabling machine-readable content management across markets and translations without re-authoring the underlying text for each language version.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PulseTrack — Instructions for Use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2026-07-20T03:33:36.026Z</dcterms:created>
  <dcterms:modified xsi:type="dcterms:W3CDTF">2026-07-20T03:33:36.026Z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