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b/>
          <w:bCs/>
          <w:color w:val="1F3864"/>
          <w:sz w:val="40"/>
          <w:szCs w:val="40"/>
        </w:rPr>
        <w:t xml:space="preserve">QMSR (ISO 13485) / 21 CFR 820 Crosswalk</w:t>
      </w:r>
    </w:p>
    <w:p>
      <w:pPr>
        <w:spacing w:after="300"/>
      </w:pPr>
      <w:r>
        <w:rPr>
          <w:i/>
          <w:iCs/>
          <w:color w:val="2E5395"/>
          <w:sz w:val="22"/>
          <w:szCs w:val="22"/>
        </w:rPr>
        <w:t xml:space="preserve">Foundational QMS Documentation — PulseTrack Case Study</w:t>
      </w:r>
    </w:p>
    <w:p>
      <w:pPr>
        <w:spacing w:after="300"/>
      </w:pPr>
      <w:r>
        <w:rPr>
          <w:i/>
          <w:iCs/>
          <w:color w:val="7F7F7F"/>
          <w:sz w:val="18"/>
          <w:szCs w:val="18"/>
        </w:rPr>
        <w:t xml:space="preserve">NOTE: PulseTrack is a fictional device used for regulatory affairs training purposes. This document is a portfolio exercise, not a real regulatory filing.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Why This Crosswalk Matters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Effective February 2, 2026, FDA's Quality System Regulation (QSR) was restructured into the Quality Management System Regulation (QMSR), which incorporates ISO 13485:2016 by reference rather than restating equivalent requirements in separate US-specific language. For most clauses, 21 CFR 820 now simply points to the corresponding ISO 13485 clause instead of duplicating the text. A small number of provisions — such as the Device History Record and Device Master Record — were retained as distinct US-specific requirements because FDA determined ISO 13485 did not fully cover them.</w:t>
      </w:r>
    </w:p>
    <w:p>
      <w:pPr>
        <w:spacing w:after="160" w:line="276"/>
      </w:pPr>
      <w:r>
        <w:rPr>
          <w:sz w:val="22"/>
          <w:szCs w:val="22"/>
        </w:rPr>
        <w:t xml:space="preserve">Practically, this means a company already certified to ISO 13485 is most of the way to QMSR compliance, but still needs to confirm coverage of the handful of US-specific additions and update internal procedures/inspection-readiness documentation to reference the new structure.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Crosswalk Table (Illustrative Excerpt)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2544"/>
        <w:gridCol w:w="2544"/>
        <w:gridCol w:w="3425"/>
      </w:tblGrid>
      <w:tr>
        <w:trPr>
          <w:tblHeader/>
        </w:trPr>
        <w:tc>
          <w:tcPr>
            <w:tcW w:type="dxa" w:w="156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QSR Subpart</w:t>
            </w:r>
          </w:p>
        </w:tc>
        <w:tc>
          <w:tcPr>
            <w:tcW w:type="dxa" w:w="254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Legacy 820 Provision</w:t>
            </w:r>
          </w:p>
        </w:tc>
        <w:tc>
          <w:tcPr>
            <w:tcW w:type="dxa" w:w="254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Corresponding QMSR / ISO 13485 Reference</w:t>
            </w:r>
          </w:p>
        </w:tc>
        <w:tc>
          <w:tcPr>
            <w:tcW w:type="dxa" w:w="342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Subpart B</w:t>
            </w:r>
          </w:p>
        </w:tc>
        <w:tc>
          <w:tcPr>
            <w:tcW w:type="dxa" w:w="25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820.20 Management responsibility</w:t>
            </w:r>
          </w:p>
        </w:tc>
        <w:tc>
          <w:tcPr>
            <w:tcW w:type="dxa" w:w="25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Clause 5 — Management Responsibility</w:t>
            </w:r>
          </w:p>
        </w:tc>
        <w:tc>
          <w:tcPr>
            <w:tcW w:type="dxa" w:w="34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QMSR references ISO 13485 Clause 5 directly; FDA retains a few US-specific clarifications (e.g., management review inputs)</w:t>
            </w:r>
          </w:p>
        </w:tc>
      </w:tr>
      <w:tr>
        <w:tc>
          <w:tcPr>
            <w:tcW w:type="dxa" w:w="156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Subpart B</w:t>
            </w:r>
          </w:p>
        </w:tc>
        <w:tc>
          <w:tcPr>
            <w:tcW w:type="dxa" w:w="2544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820.22 Quality audit</w:t>
            </w:r>
          </w:p>
        </w:tc>
        <w:tc>
          <w:tcPr>
            <w:tcW w:type="dxa" w:w="2544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Clause 8.2.4 — Internal Audit</w:t>
            </w:r>
          </w:p>
        </w:tc>
        <w:tc>
          <w:tcPr>
            <w:tcW w:type="dxa" w:w="342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Harmonized; audit program requirements now point to ISO 13485 language</w:t>
            </w:r>
          </w:p>
        </w:tc>
      </w:tr>
      <w:tr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Subpart C</w:t>
            </w:r>
          </w:p>
        </w:tc>
        <w:tc>
          <w:tcPr>
            <w:tcW w:type="dxa" w:w="25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820.30 Design controls</w:t>
            </w:r>
          </w:p>
        </w:tc>
        <w:tc>
          <w:tcPr>
            <w:tcW w:type="dxa" w:w="25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Clause 7.3 — Design and Development</w:t>
            </w:r>
          </w:p>
        </w:tc>
        <w:tc>
          <w:tcPr>
            <w:tcW w:type="dxa" w:w="34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design control chain (inputs, outputs, verification, validation, transfer, changes) maps directly to 7.3.2–7.3.10</w:t>
            </w:r>
          </w:p>
        </w:tc>
      </w:tr>
      <w:tr>
        <w:tc>
          <w:tcPr>
            <w:tcW w:type="dxa" w:w="156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Subpart E</w:t>
            </w:r>
          </w:p>
        </w:tc>
        <w:tc>
          <w:tcPr>
            <w:tcW w:type="dxa" w:w="2544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820.50 Purchasing controls</w:t>
            </w:r>
          </w:p>
        </w:tc>
        <w:tc>
          <w:tcPr>
            <w:tcW w:type="dxa" w:w="2544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Clause 7.4 — Purchasing</w:t>
            </w:r>
          </w:p>
        </w:tc>
        <w:tc>
          <w:tcPr>
            <w:tcW w:type="dxa" w:w="342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Supplier evaluation/re-evaluation requirements now align with ISO 13485 supplier control language</w:t>
            </w:r>
          </w:p>
        </w:tc>
      </w:tr>
      <w:tr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Subpart G</w:t>
            </w:r>
          </w:p>
        </w:tc>
        <w:tc>
          <w:tcPr>
            <w:tcW w:type="dxa" w:w="25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820.70 Production and process controls</w:t>
            </w:r>
          </w:p>
        </w:tc>
        <w:tc>
          <w:tcPr>
            <w:tcW w:type="dxa" w:w="25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Clause 7.5 — Production and Service Provision</w:t>
            </w:r>
          </w:p>
        </w:tc>
        <w:tc>
          <w:tcPr>
            <w:tcW w:type="dxa" w:w="34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 validation and environmental control requirements harmonized</w:t>
            </w:r>
          </w:p>
        </w:tc>
      </w:tr>
      <w:tr>
        <w:tc>
          <w:tcPr>
            <w:tcW w:type="dxa" w:w="156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Subpart J</w:t>
            </w:r>
          </w:p>
        </w:tc>
        <w:tc>
          <w:tcPr>
            <w:tcW w:type="dxa" w:w="2544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820.100 Corrective and preventive action (CAPA)</w:t>
            </w:r>
          </w:p>
        </w:tc>
        <w:tc>
          <w:tcPr>
            <w:tcW w:type="dxa" w:w="2544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Clause 8.5.2 / 8.5.3 — Corrective/Preventive Action</w:t>
            </w:r>
          </w:p>
        </w:tc>
        <w:tc>
          <w:tcPr>
            <w:tcW w:type="dxa" w:w="342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 process expectations retained; FDA kept its own emphasis on statistical methodology in select areas</w:t>
            </w:r>
          </w:p>
        </w:tc>
      </w:tr>
      <w:tr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Subpart J</w:t>
            </w:r>
          </w:p>
        </w:tc>
        <w:tc>
          <w:tcPr>
            <w:tcW w:type="dxa" w:w="25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820.198 Complaint files</w:t>
            </w:r>
          </w:p>
        </w:tc>
        <w:tc>
          <w:tcPr>
            <w:tcW w:type="dxa" w:w="25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Clause 8.2.2 — Feedback / Complaint Handling</w:t>
            </w:r>
          </w:p>
        </w:tc>
        <w:tc>
          <w:tcPr>
            <w:tcW w:type="dxa" w:w="34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handling now explicitly tied to the broader feedback loop described in ISO 13485</w:t>
            </w:r>
          </w:p>
        </w:tc>
      </w:tr>
      <w:tr>
        <w:tc>
          <w:tcPr>
            <w:tcW w:type="dxa" w:w="156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Subpart M</w:t>
            </w:r>
          </w:p>
        </w:tc>
        <w:tc>
          <w:tcPr>
            <w:tcW w:type="dxa" w:w="2544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820.184 Device history record (DHR)</w:t>
            </w:r>
          </w:p>
        </w:tc>
        <w:tc>
          <w:tcPr>
            <w:tcW w:type="dxa" w:w="2544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Retained as US-specific QMSR requirement</w:t>
            </w:r>
          </w:p>
        </w:tc>
        <w:tc>
          <w:tcPr>
            <w:tcW w:type="dxa" w:w="342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of the areas FDA determined ISO 13485 did not fully cover — kept as an added US-specific clause</w:t>
            </w:r>
          </w:p>
        </w:tc>
      </w:tr>
      <w:tr>
        <w:tc>
          <w:tcPr>
            <w:tcW w:type="dxa" w:w="15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Subpart M</w:t>
            </w:r>
          </w:p>
        </w:tc>
        <w:tc>
          <w:tcPr>
            <w:tcW w:type="dxa" w:w="25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820.181 Device master record (DMR)</w:t>
            </w:r>
          </w:p>
        </w:tc>
        <w:tc>
          <w:tcPr>
            <w:tcW w:type="dxa" w:w="25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Retained as US-specific QMSR requirement</w:t>
            </w:r>
          </w:p>
        </w:tc>
        <w:tc>
          <w:tcPr>
            <w:tcW w:type="dxa" w:w="34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rationale — DMR concept preserved outside pure ISO 13485 text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Practical Impact for PulseTrack's QMS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For Vitalis Health's quality system, this transition means: (1) internal SOPs are being reviewed to reference ISO 13485 clause numbers alongside legacy 820 citations during the transition period; (2) the Device History Record and Device Master Record are maintained as distinct controlled documents, since these were retained as US-specific QMSR requirements; and (3) internal audit checklists were updated to reflect FDA's revised, risk-based inspection process rather than the legacy Quality System Inspection Technique (QSIT).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PulseTrack — QMSR / 21 CFR 820 Crosswalk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2026-07-20T03:33:35.963Z</dcterms:created>
  <dcterms:modified xsi:type="dcterms:W3CDTF">2026-07-20T03:33:35.980Z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