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40"/>
          <w:szCs w:val="40"/>
        </w:rPr>
        <w:t xml:space="preserve">Intended Use Statement</w:t>
      </w:r>
    </w:p>
    <w:p>
      <w:pPr>
        <w:spacing w:after="300"/>
      </w:pPr>
      <w:r>
        <w:rPr>
          <w:i/>
          <w:iCs/>
          <w:color w:val="2E5395"/>
          <w:sz w:val="22"/>
          <w:szCs w:val="22"/>
        </w:rPr>
        <w:t xml:space="preserve">Folder 01 — Intended Use &amp; Classification — PulseTrack Case Study</w:t>
      </w:r>
    </w:p>
    <w:p>
      <w:pPr>
        <w:spacing w:after="300"/>
      </w:pPr>
      <w:r>
        <w:rPr>
          <w:i/>
          <w:iCs/>
          <w:color w:val="7F7F7F"/>
          <w:sz w:val="18"/>
          <w:szCs w:val="18"/>
        </w:rPr>
        <w:t xml:space="preserve">NOTE: PulseTrack is a fictional device used for regulatory affairs training purposes. This document is a portfolio exercise, not a real regulatory filing.</w:t>
      </w:r>
    </w:p>
    <w:p>
      <w:pPr>
        <w:pStyle w:val="Heading1"/>
        <w:spacing w:after="160" w:before="360"/>
      </w:pPr>
      <w:r>
        <w:rPr>
          <w:b/>
          <w:bCs/>
          <w:color w:val="1F3864"/>
          <w:sz w:val="30"/>
          <w:szCs w:val="30"/>
        </w:rPr>
        <w:t xml:space="preserve">1. Purpose of This Document</w:t>
      </w:r>
    </w:p>
    <w:p>
      <w:pPr>
        <w:pBdr>
          <w:bottom w:val="single" w:color="BFBFBF" w:sz="6" w:space="1"/>
        </w:pBdr>
        <w:spacing w:after="200"/>
      </w:pPr>
      <w:r>
        <w:t xml:space="preserve"/>
      </w:r>
    </w:p>
    <w:p>
      <w:pPr>
        <w:spacing w:after="160" w:line="276"/>
      </w:pPr>
      <w:r>
        <w:rPr>
          <w:sz w:val="22"/>
          <w:szCs w:val="22"/>
        </w:rPr>
        <w:t xml:space="preserve">This Intended Use Statement defines the population, clinical context, and functional purpose of the PulseTrack device. It is the foundational document from which device classification, risk management scope, design inputs, and clinical evidence requirements are all derived.</w:t>
      </w:r>
    </w:p>
    <w:p>
      <w:pPr>
        <w:pStyle w:val="Heading1"/>
        <w:spacing w:after="160" w:before="360"/>
      </w:pPr>
      <w:r>
        <w:rPr>
          <w:b/>
          <w:bCs/>
          <w:color w:val="1F3864"/>
          <w:sz w:val="30"/>
          <w:szCs w:val="30"/>
        </w:rPr>
        <w:t xml:space="preserve">2. Intended Use Statement</w:t>
      </w:r>
    </w:p>
    <w:p>
      <w:pPr>
        <w:pBdr>
          <w:bottom w:val="single" w:color="BFBFBF" w:sz="6" w:space="1"/>
        </w:pBdr>
        <w:spacing w:after="200"/>
      </w:pPr>
      <w:r>
        <w:t xml:space="preserve"/>
      </w:r>
    </w:p>
    <w:p>
      <w:pPr>
        <w:spacing w:after="160" w:line="276"/>
      </w:pPr>
      <w:r>
        <w:rPr>
          <w:sz w:val="22"/>
          <w:szCs w:val="22"/>
        </w:rPr>
        <w:t xml:space="preserve">PulseTrack is a wireless fingertip pulse oximeter, used with its companion mobile application, intended for the non-invasive spot-check and continuous home monitoring of functional oxygen saturation (SpO2) and pulse rate in adult patients with diagnosed chronic obstructive pulmonary disease (COPD) or other conditions associated with risk of hypoxemia. PulseTrack is intended for use in home and non-clinical settings under the guidance of a prescribing healthcare provider. It is not intended for use as the sole basis for diagnosis or treatment decisions, and is not intended for use during transport, surgery, or in critical care environments.</w:t>
      </w:r>
    </w:p>
    <w:p>
      <w:pPr>
        <w:pStyle w:val="Heading1"/>
        <w:spacing w:after="160" w:before="360"/>
      </w:pPr>
      <w:r>
        <w:rPr>
          <w:b/>
          <w:bCs/>
          <w:color w:val="1F3864"/>
          <w:sz w:val="30"/>
          <w:szCs w:val="30"/>
        </w:rPr>
        <w:t xml:space="preserve">3. Indications for Use</w:t>
      </w:r>
    </w:p>
    <w:p>
      <w:pPr>
        <w:pBdr>
          <w:bottom w:val="single" w:color="BFBFBF" w:sz="6" w:space="1"/>
        </w:pBdr>
        <w:spacing w:after="200"/>
      </w:pPr>
      <w:r>
        <w:t xml:space="preserve"/>
      </w:r>
    </w:p>
    <w:p>
      <w:pPr>
        <w:spacing w:after="160" w:line="276"/>
      </w:pPr>
      <w:r>
        <w:rPr>
          <w:sz w:val="22"/>
          <w:szCs w:val="22"/>
        </w:rPr>
        <w:t xml:space="preserve">For monitoring SpO2 and pulse rate in adult patients (18 years and older) with a physician-diagnosed respiratory condition placing them at risk of hypoxemia, in home and ambulatory non-clinical settings, as an adjunct to — not a replacement for — clinical judgment and physician-directed care.</w:t>
      </w:r>
    </w:p>
    <w:p>
      <w:pPr>
        <w:pStyle w:val="Heading1"/>
        <w:spacing w:after="160" w:before="360"/>
      </w:pPr>
      <w:r>
        <w:rPr>
          <w:b/>
          <w:bCs/>
          <w:color w:val="1F3864"/>
          <w:sz w:val="30"/>
          <w:szCs w:val="30"/>
        </w:rPr>
        <w:t xml:space="preserve">4. Patient Population</w:t>
      </w:r>
    </w:p>
    <w:p>
      <w:pPr>
        <w:pBdr>
          <w:bottom w:val="single" w:color="BFBFBF" w:sz="6" w:space="1"/>
        </w:pBdr>
        <w:spacing w:after="200"/>
      </w:pPr>
      <w:r>
        <w:t xml:space="preserve"/>
      </w:r>
    </w:p>
    <w:p>
      <w:pPr>
        <w:spacing w:after="120" w:line="276"/>
      </w:pPr>
      <w:r>
        <w:rPr>
          <w:b/>
          <w:bCs/>
          <w:sz w:val="22"/>
          <w:szCs w:val="22"/>
        </w:rPr>
        <w:t xml:space="preserve">Age: </w:t>
      </w:r>
      <w:r>
        <w:rPr>
          <w:sz w:val="22"/>
          <w:szCs w:val="22"/>
        </w:rPr>
        <w:t xml:space="preserve">Adults, 18 years and older</w:t>
      </w:r>
    </w:p>
    <w:p>
      <w:pPr>
        <w:spacing w:after="120" w:line="276"/>
      </w:pPr>
      <w:r>
        <w:rPr>
          <w:b/>
          <w:bCs/>
          <w:sz w:val="22"/>
          <w:szCs w:val="22"/>
        </w:rPr>
        <w:t xml:space="preserve">Clinical context: </w:t>
      </w:r>
      <w:r>
        <w:rPr>
          <w:sz w:val="22"/>
          <w:szCs w:val="22"/>
        </w:rPr>
        <w:t xml:space="preserve">Diagnosed COPD or comparable condition with hypoxemia risk</w:t>
      </w:r>
    </w:p>
    <w:p>
      <w:pPr>
        <w:spacing w:after="120" w:line="276"/>
      </w:pPr>
      <w:r>
        <w:rPr>
          <w:b/>
          <w:bCs/>
          <w:sz w:val="22"/>
          <w:szCs w:val="22"/>
        </w:rPr>
        <w:t xml:space="preserve">Use environment: </w:t>
      </w:r>
      <w:r>
        <w:rPr>
          <w:sz w:val="22"/>
          <w:szCs w:val="22"/>
        </w:rPr>
        <w:t xml:space="preserve">Home / non-clinical, patient self-administered</w:t>
      </w:r>
    </w:p>
    <w:p>
      <w:pPr>
        <w:spacing w:after="120" w:line="276"/>
      </w:pPr>
      <w:r>
        <w:rPr>
          <w:b/>
          <w:bCs/>
          <w:sz w:val="22"/>
          <w:szCs w:val="22"/>
        </w:rPr>
        <w:t xml:space="preserve">Excluded uses: </w:t>
      </w:r>
      <w:r>
        <w:rPr>
          <w:sz w:val="22"/>
          <w:szCs w:val="22"/>
        </w:rPr>
        <w:t xml:space="preserve">Neonatal/pediatric monitoring, critical care, intra-operative use, motion-intensive activity</w:t>
      </w:r>
    </w:p>
    <w:p>
      <w:pPr>
        <w:pStyle w:val="Heading1"/>
        <w:spacing w:after="160" w:before="360"/>
      </w:pPr>
      <w:r>
        <w:rPr>
          <w:b/>
          <w:bCs/>
          <w:color w:val="1F3864"/>
          <w:sz w:val="30"/>
          <w:szCs w:val="30"/>
        </w:rPr>
        <w:t xml:space="preserve">5. Classification Rationale</w:t>
      </w:r>
    </w:p>
    <w:p>
      <w:pPr>
        <w:pBdr>
          <w:bottom w:val="single" w:color="BFBFBF" w:sz="6" w:space="1"/>
        </w:pBdr>
        <w:spacing w:after="200"/>
      </w:pPr>
      <w:r>
        <w:t xml:space="preserve"/>
      </w:r>
    </w:p>
    <w:p>
      <w:pPr>
        <w:spacing w:after="160" w:line="276"/>
      </w:pPr>
      <w:r>
        <w:rPr>
          <w:sz w:val="22"/>
          <w:szCs w:val="22"/>
        </w:rPr>
        <w:t xml:space="preserve">Based on the intended use above, PulseTrack is classified as a Class II device in the US (product code DQA — pulse oximeter) eligible for the 510(k) pathway, and as a Class IIa device under EU MDR (measuring function affecting patient management). This classification determines the applicable quality system requirements, the depth of clinical evidence needed, and the review pathway (510(k) with FDA vs. Technical File review by a Notified Body in the EU).</w:t>
      </w:r>
    </w:p>
    <w:p>
      <w:pPr>
        <w:pStyle w:val="Heading1"/>
        <w:spacing w:after="160" w:before="360"/>
      </w:pPr>
      <w:r>
        <w:rPr>
          <w:b/>
          <w:bCs/>
          <w:color w:val="1F3864"/>
          <w:sz w:val="30"/>
          <w:szCs w:val="30"/>
        </w:rPr>
        <w:t xml:space="preserve">6. Why This Framing Matters</w:t>
      </w:r>
    </w:p>
    <w:p>
      <w:pPr>
        <w:pBdr>
          <w:bottom w:val="single" w:color="BFBFBF" w:sz="6" w:space="1"/>
        </w:pBdr>
        <w:spacing w:after="200"/>
      </w:pPr>
      <w:r>
        <w:t xml:space="preserve"/>
      </w:r>
    </w:p>
    <w:p>
      <w:pPr>
        <w:spacing w:after="160" w:line="276"/>
      </w:pPr>
      <w:r>
        <w:rPr>
          <w:sz w:val="22"/>
          <w:szCs w:val="22"/>
        </w:rPr>
        <w:t xml:space="preserve">Note the deliberate boundary drawn above: PulseTrack is scoped to informational home monitoring of an already-diagnosed condition, explicitly excluding diagnostic and critical-care use. This single distinction is what keeps the device in a well-established, moderate-risk regulatory lane (Class II / 510(k) in the US; Class IIa under EU MDR) rather than pushing it toward a more burdensome pathway (PMA or full clinical investigation) that would require extensive new clinical trial data.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PulseTrack — Intended Use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2026-07-20T06:21:18.667Z</dcterms:created>
  <dcterms:modified xsi:type="dcterms:W3CDTF">2026-07-20T06:21:18.679Z</dcterms:modified>
</cp:coreProperties>
</file>

<file path=docProps/custom.xml><?xml version="1.0" encoding="utf-8"?>
<Properties xmlns="http://schemas.openxmlformats.org/officeDocument/2006/custom-properties" xmlns:vt="http://schemas.openxmlformats.org/officeDocument/2006/docPropsVTypes"/>
</file>