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864"/>
          <w:sz w:val="40"/>
          <w:szCs w:val="40"/>
        </w:rPr>
        <w:t xml:space="preserve">Predicate Device Comparison</w:t>
      </w:r>
    </w:p>
    <w:p>
      <w:pPr>
        <w:spacing w:after="300"/>
      </w:pPr>
      <w:r>
        <w:rPr>
          <w:i/>
          <w:iCs/>
          <w:color w:val="2E5395"/>
          <w:sz w:val="22"/>
          <w:szCs w:val="22"/>
        </w:rPr>
        <w:t xml:space="preserve">Folder 01 — Intended Use &amp; Classification — PulseTrack Case Study</w:t>
      </w:r>
    </w:p>
    <w:p>
      <w:pPr>
        <w:spacing w:after="300"/>
      </w:pPr>
      <w:r>
        <w:rPr>
          <w:i/>
          <w:iCs/>
          <w:color w:val="7F7F7F"/>
          <w:sz w:val="18"/>
          <w:szCs w:val="18"/>
        </w:rPr>
        <w:t xml:space="preserve">NOTE: PulseTrack is a fictional device used for regulatory affairs training purposes. This document is a portfolio exercise, not a real regulatory filing.</w:t>
      </w:r>
    </w:p>
    <w:p>
      <w:pPr>
        <w:pStyle w:val="Heading1"/>
        <w:spacing w:after="160" w:before="360"/>
      </w:pPr>
      <w:r>
        <w:rPr>
          <w:b/>
          <w:bCs/>
          <w:color w:val="1F3864"/>
          <w:sz w:val="30"/>
          <w:szCs w:val="30"/>
        </w:rPr>
        <w:t xml:space="preserve">1. Purpose of This Document</w:t>
      </w:r>
    </w:p>
    <w:p>
      <w:pPr>
        <w:pBdr>
          <w:bottom w:val="single" w:color="BFBFBF" w:sz="6" w:space="1"/>
        </w:pBdr>
        <w:spacing w:after="200"/>
      </w:pPr>
      <w:r>
        <w:t xml:space="preserve"/>
      </w:r>
    </w:p>
    <w:p>
      <w:pPr>
        <w:spacing w:after="160" w:line="276"/>
      </w:pPr>
      <w:r>
        <w:rPr>
          <w:sz w:val="22"/>
          <w:szCs w:val="22"/>
        </w:rPr>
        <w:t xml:space="preserve">Before drafting a full 510(k) submission, RA typically identifies and evaluates a candidate predicate device early — during the classification and regulatory strategy phase — to confirm that a substantial equivalence argument is viable before committing to the 510(k) pathway over a more burdensome route like De Novo or PMA. This document captures that early predicate research and comparison.</w:t>
      </w:r>
    </w:p>
    <w:p>
      <w:pPr>
        <w:pStyle w:val="Heading1"/>
        <w:spacing w:after="160" w:before="360"/>
      </w:pPr>
      <w:r>
        <w:rPr>
          <w:b/>
          <w:bCs/>
          <w:color w:val="1F3864"/>
          <w:sz w:val="30"/>
          <w:szCs w:val="30"/>
        </w:rPr>
        <w:t xml:space="preserve">2. Predicate Search Approach</w:t>
      </w:r>
    </w:p>
    <w:p>
      <w:pPr>
        <w:pBdr>
          <w:bottom w:val="single" w:color="BFBFBF" w:sz="6" w:space="1"/>
        </w:pBdr>
        <w:spacing w:after="200"/>
      </w:pPr>
      <w:r>
        <w:t xml:space="preserve"/>
      </w:r>
    </w:p>
    <w:p>
      <w:pPr>
        <w:spacing w:after="160" w:line="276"/>
      </w:pPr>
      <w:r>
        <w:rPr>
          <w:sz w:val="22"/>
          <w:szCs w:val="22"/>
        </w:rPr>
        <w:t xml:space="preserve">Candidate predicates were identified by searching the FDA 510(k) database for cleared devices sharing PulseTrack's product code (DQA — pulse oximeter, non-prescription or prescription home-use variants) and a comparable intended use. The candidate selected below reflects the closest match in intended use, patient population, and core measurement technology.</w:t>
      </w:r>
    </w:p>
    <w:p>
      <w:pPr>
        <w:pStyle w:val="Heading1"/>
        <w:spacing w:after="160" w:before="360"/>
      </w:pPr>
      <w:r>
        <w:rPr>
          <w:b/>
          <w:bCs/>
          <w:color w:val="1F3864"/>
          <w:sz w:val="30"/>
          <w:szCs w:val="30"/>
        </w:rPr>
        <w:t xml:space="preserve">3. Side-by-Side Comparison</w:t>
      </w:r>
    </w:p>
    <w:p>
      <w:pPr>
        <w:pBdr>
          <w:bottom w:val="single" w:color="BFBFBF" w:sz="6" w:space="1"/>
        </w:pBd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shd w:fill="1F3864" w:val="clear"/>
            <w:tcMar>
              <w:top w:type="dxa" w:w="80"/>
              <w:left w:type="dxa" w:w="100"/>
              <w:bottom w:type="dxa" w:w="80"/>
              <w:right w:type="dxa" w:w="100"/>
            </w:tcMar>
            <w:vAlign w:val="center"/>
          </w:tcPr>
          <w:p>
            <w:r>
              <w:rPr>
                <w:b/>
                <w:bCs/>
                <w:color w:val="FFFFFF"/>
                <w:sz w:val="18"/>
                <w:szCs w:val="18"/>
              </w:rPr>
              <w:t xml:space="preserve">Attribute</w:t>
            </w:r>
          </w:p>
        </w:tc>
        <w:tc>
          <w:tcPr>
            <w:tcW w:type="dxa" w:w="3780"/>
            <w:shd w:fill="1F3864" w:val="clear"/>
            <w:tcMar>
              <w:top w:type="dxa" w:w="80"/>
              <w:left w:type="dxa" w:w="100"/>
              <w:bottom w:type="dxa" w:w="80"/>
              <w:right w:type="dxa" w:w="100"/>
            </w:tcMar>
            <w:vAlign w:val="center"/>
          </w:tcPr>
          <w:p>
            <w:r>
              <w:rPr>
                <w:b/>
                <w:bCs/>
                <w:color w:val="FFFFFF"/>
                <w:sz w:val="18"/>
                <w:szCs w:val="18"/>
              </w:rPr>
              <w:t xml:space="preserve">PulseTrack (Subject Device)</w:t>
            </w:r>
          </w:p>
        </w:tc>
        <w:tc>
          <w:tcPr>
            <w:tcW w:type="dxa" w:w="3780"/>
            <w:shd w:fill="1F3864" w:val="clear"/>
            <w:tcMar>
              <w:top w:type="dxa" w:w="80"/>
              <w:left w:type="dxa" w:w="100"/>
              <w:bottom w:type="dxa" w:w="80"/>
              <w:right w:type="dxa" w:w="100"/>
            </w:tcMar>
            <w:vAlign w:val="center"/>
          </w:tcPr>
          <w:p>
            <w:r>
              <w:rPr>
                <w:b/>
                <w:bCs/>
                <w:color w:val="FFFFFF"/>
                <w:sz w:val="18"/>
                <w:szCs w:val="18"/>
              </w:rPr>
              <w:t xml:space="preserve">Predicate Device (Fictional, K-Number Placeholder)</w:t>
            </w:r>
          </w:p>
        </w:tc>
      </w:tr>
      <w:tr>
        <w:tc>
          <w:tcPr>
            <w:tcW w:type="dxa" w:w="2520"/>
            <w:tcMar>
              <w:top w:type="dxa" w:w="80"/>
              <w:left w:type="dxa" w:w="100"/>
              <w:bottom w:type="dxa" w:w="80"/>
              <w:right w:type="dxa" w:w="100"/>
            </w:tcMar>
            <w:vAlign w:val="center"/>
          </w:tcPr>
          <w:p>
            <w:r>
              <w:rPr>
                <w:b/>
                <w:bCs/>
                <w:sz w:val="18"/>
                <w:szCs w:val="18"/>
              </w:rPr>
              <w:t xml:space="preserve">Intended Use</w:t>
            </w:r>
          </w:p>
        </w:tc>
        <w:tc>
          <w:tcPr>
            <w:tcW w:type="dxa" w:w="3780"/>
            <w:tcMar>
              <w:top w:type="dxa" w:w="80"/>
              <w:left w:type="dxa" w:w="100"/>
              <w:bottom w:type="dxa" w:w="80"/>
              <w:right w:type="dxa" w:w="100"/>
            </w:tcMar>
            <w:vAlign w:val="center"/>
          </w:tcPr>
          <w:p>
            <w:r>
              <w:rPr>
                <w:b w:val="false"/>
                <w:bCs w:val="false"/>
                <w:sz w:val="18"/>
                <w:szCs w:val="18"/>
              </w:rPr>
              <w:t xml:space="preserve">Home spot-check and continuous monitoring of SpO2 and pulse rate in adult COPD patients</w:t>
            </w:r>
          </w:p>
        </w:tc>
        <w:tc>
          <w:tcPr>
            <w:tcW w:type="dxa" w:w="3780"/>
            <w:tcMar>
              <w:top w:type="dxa" w:w="80"/>
              <w:left w:type="dxa" w:w="100"/>
              <w:bottom w:type="dxa" w:w="80"/>
              <w:right w:type="dxa" w:w="100"/>
            </w:tcMar>
            <w:vAlign w:val="center"/>
          </w:tcPr>
          <w:p>
            <w:r>
              <w:rPr>
                <w:b w:val="false"/>
                <w:bCs w:val="false"/>
                <w:sz w:val="18"/>
                <w:szCs w:val="18"/>
              </w:rPr>
              <w:t xml:space="preserve">Home spot-check monitoring of SpO2 and pulse rate in adult patients with chronic respiratory conditions</w:t>
            </w:r>
          </w:p>
        </w:tc>
      </w:tr>
      <w:tr>
        <w:tc>
          <w:tcPr>
            <w:tcW w:type="dxa" w:w="2520"/>
            <w:shd w:fill="F2F2F2" w:val="clear"/>
            <w:tcMar>
              <w:top w:type="dxa" w:w="80"/>
              <w:left w:type="dxa" w:w="100"/>
              <w:bottom w:type="dxa" w:w="80"/>
              <w:right w:type="dxa" w:w="100"/>
            </w:tcMar>
            <w:vAlign w:val="center"/>
          </w:tcPr>
          <w:p>
            <w:r>
              <w:rPr>
                <w:b/>
                <w:bCs/>
                <w:sz w:val="18"/>
                <w:szCs w:val="18"/>
              </w:rPr>
              <w:t xml:space="preserve">Indications for Use</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Adjunctive monitoring; not for diagnosis or sole treatment basis</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Adjunctive monitoring; not for diagnosis or sole treatment basis</w:t>
            </w:r>
          </w:p>
        </w:tc>
      </w:tr>
      <w:tr>
        <w:tc>
          <w:tcPr>
            <w:tcW w:type="dxa" w:w="2520"/>
            <w:tcMar>
              <w:top w:type="dxa" w:w="80"/>
              <w:left w:type="dxa" w:w="100"/>
              <w:bottom w:type="dxa" w:w="80"/>
              <w:right w:type="dxa" w:w="100"/>
            </w:tcMar>
            <w:vAlign w:val="center"/>
          </w:tcPr>
          <w:p>
            <w:r>
              <w:rPr>
                <w:b/>
                <w:bCs/>
                <w:sz w:val="18"/>
                <w:szCs w:val="18"/>
              </w:rPr>
              <w:t xml:space="preserve">Measurement Technology</w:t>
            </w:r>
          </w:p>
        </w:tc>
        <w:tc>
          <w:tcPr>
            <w:tcW w:type="dxa" w:w="3780"/>
            <w:tcMar>
              <w:top w:type="dxa" w:w="80"/>
              <w:left w:type="dxa" w:w="100"/>
              <w:bottom w:type="dxa" w:w="80"/>
              <w:right w:type="dxa" w:w="100"/>
            </w:tcMar>
            <w:vAlign w:val="center"/>
          </w:tcPr>
          <w:p>
            <w:r>
              <w:rPr>
                <w:b w:val="false"/>
                <w:bCs w:val="false"/>
                <w:sz w:val="18"/>
                <w:szCs w:val="18"/>
              </w:rPr>
              <w:t xml:space="preserve">Reflectance pulse oximetry, dual-wavelength LED</w:t>
            </w:r>
          </w:p>
        </w:tc>
        <w:tc>
          <w:tcPr>
            <w:tcW w:type="dxa" w:w="3780"/>
            <w:tcMar>
              <w:top w:type="dxa" w:w="80"/>
              <w:left w:type="dxa" w:w="100"/>
              <w:bottom w:type="dxa" w:w="80"/>
              <w:right w:type="dxa" w:w="100"/>
            </w:tcMar>
            <w:vAlign w:val="center"/>
          </w:tcPr>
          <w:p>
            <w:r>
              <w:rPr>
                <w:b w:val="false"/>
                <w:bCs w:val="false"/>
                <w:sz w:val="18"/>
                <w:szCs w:val="18"/>
              </w:rPr>
              <w:t xml:space="preserve">Transmittance pulse oximetry, dual-wavelength LED</w:t>
            </w:r>
          </w:p>
        </w:tc>
      </w:tr>
      <w:tr>
        <w:tc>
          <w:tcPr>
            <w:tcW w:type="dxa" w:w="2520"/>
            <w:shd w:fill="F2F2F2" w:val="clear"/>
            <w:tcMar>
              <w:top w:type="dxa" w:w="80"/>
              <w:left w:type="dxa" w:w="100"/>
              <w:bottom w:type="dxa" w:w="80"/>
              <w:right w:type="dxa" w:w="100"/>
            </w:tcMar>
            <w:vAlign w:val="center"/>
          </w:tcPr>
          <w:p>
            <w:r>
              <w:rPr>
                <w:b/>
                <w:bCs/>
                <w:sz w:val="18"/>
                <w:szCs w:val="18"/>
              </w:rPr>
              <w:t xml:space="preserve">SpO2 Accuracy (Arms)</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±2% (70–100% range)</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±2% (70–100% range)</w:t>
            </w:r>
          </w:p>
        </w:tc>
      </w:tr>
      <w:tr>
        <w:tc>
          <w:tcPr>
            <w:tcW w:type="dxa" w:w="2520"/>
            <w:tcMar>
              <w:top w:type="dxa" w:w="80"/>
              <w:left w:type="dxa" w:w="100"/>
              <w:bottom w:type="dxa" w:w="80"/>
              <w:right w:type="dxa" w:w="100"/>
            </w:tcMar>
            <w:vAlign w:val="center"/>
          </w:tcPr>
          <w:p>
            <w:r>
              <w:rPr>
                <w:b/>
                <w:bCs/>
                <w:sz w:val="18"/>
                <w:szCs w:val="18"/>
              </w:rPr>
              <w:t xml:space="preserve">Connectivity</w:t>
            </w:r>
          </w:p>
        </w:tc>
        <w:tc>
          <w:tcPr>
            <w:tcW w:type="dxa" w:w="3780"/>
            <w:tcMar>
              <w:top w:type="dxa" w:w="80"/>
              <w:left w:type="dxa" w:w="100"/>
              <w:bottom w:type="dxa" w:w="80"/>
              <w:right w:type="dxa" w:w="100"/>
            </w:tcMar>
            <w:vAlign w:val="center"/>
          </w:tcPr>
          <w:p>
            <w:r>
              <w:rPr>
                <w:b w:val="false"/>
                <w:bCs w:val="false"/>
                <w:sz w:val="18"/>
                <w:szCs w:val="18"/>
              </w:rPr>
              <w:t xml:space="preserve">Bluetooth Low Energy to companion mobile app</w:t>
            </w:r>
          </w:p>
        </w:tc>
        <w:tc>
          <w:tcPr>
            <w:tcW w:type="dxa" w:w="3780"/>
            <w:tcMar>
              <w:top w:type="dxa" w:w="80"/>
              <w:left w:type="dxa" w:w="100"/>
              <w:bottom w:type="dxa" w:w="80"/>
              <w:right w:type="dxa" w:w="100"/>
            </w:tcMar>
            <w:vAlign w:val="center"/>
          </w:tcPr>
          <w:p>
            <w:r>
              <w:rPr>
                <w:b w:val="false"/>
                <w:bCs w:val="false"/>
                <w:sz w:val="18"/>
                <w:szCs w:val="18"/>
              </w:rPr>
              <w:t xml:space="preserve">Bluetooth Low Energy to companion mobile app</w:t>
            </w:r>
          </w:p>
        </w:tc>
      </w:tr>
      <w:tr>
        <w:tc>
          <w:tcPr>
            <w:tcW w:type="dxa" w:w="2520"/>
            <w:shd w:fill="F2F2F2" w:val="clear"/>
            <w:tcMar>
              <w:top w:type="dxa" w:w="80"/>
              <w:left w:type="dxa" w:w="100"/>
              <w:bottom w:type="dxa" w:w="80"/>
              <w:right w:type="dxa" w:w="100"/>
            </w:tcMar>
            <w:vAlign w:val="center"/>
          </w:tcPr>
          <w:p>
            <w:r>
              <w:rPr>
                <w:b/>
                <w:bCs/>
                <w:sz w:val="18"/>
                <w:szCs w:val="18"/>
              </w:rPr>
              <w:t xml:space="preserve">Alarm Function</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Configurable low-SpO2 audible/visual alert</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Configurable low-SpO2 audible/visual alert</w:t>
            </w:r>
          </w:p>
        </w:tc>
      </w:tr>
      <w:tr>
        <w:tc>
          <w:tcPr>
            <w:tcW w:type="dxa" w:w="2520"/>
            <w:tcMar>
              <w:top w:type="dxa" w:w="80"/>
              <w:left w:type="dxa" w:w="100"/>
              <w:bottom w:type="dxa" w:w="80"/>
              <w:right w:type="dxa" w:w="100"/>
            </w:tcMar>
            <w:vAlign w:val="center"/>
          </w:tcPr>
          <w:p>
            <w:r>
              <w:rPr>
                <w:b/>
                <w:bCs/>
                <w:sz w:val="18"/>
                <w:szCs w:val="18"/>
              </w:rPr>
              <w:t xml:space="preserve">Power Source</w:t>
            </w:r>
          </w:p>
        </w:tc>
        <w:tc>
          <w:tcPr>
            <w:tcW w:type="dxa" w:w="3780"/>
            <w:tcMar>
              <w:top w:type="dxa" w:w="80"/>
              <w:left w:type="dxa" w:w="100"/>
              <w:bottom w:type="dxa" w:w="80"/>
              <w:right w:type="dxa" w:w="100"/>
            </w:tcMar>
            <w:vAlign w:val="center"/>
          </w:tcPr>
          <w:p>
            <w:r>
              <w:rPr>
                <w:b w:val="false"/>
                <w:bCs w:val="false"/>
                <w:sz w:val="18"/>
                <w:szCs w:val="18"/>
              </w:rPr>
              <w:t xml:space="preserve">Rechargeable lithium-ion, USB-C</w:t>
            </w:r>
          </w:p>
        </w:tc>
        <w:tc>
          <w:tcPr>
            <w:tcW w:type="dxa" w:w="3780"/>
            <w:tcMar>
              <w:top w:type="dxa" w:w="80"/>
              <w:left w:type="dxa" w:w="100"/>
              <w:bottom w:type="dxa" w:w="80"/>
              <w:right w:type="dxa" w:w="100"/>
            </w:tcMar>
            <w:vAlign w:val="center"/>
          </w:tcPr>
          <w:p>
            <w:r>
              <w:rPr>
                <w:b w:val="false"/>
                <w:bCs w:val="false"/>
                <w:sz w:val="18"/>
                <w:szCs w:val="18"/>
              </w:rPr>
              <w:t xml:space="preserve">Replaceable AAA batteries</w:t>
            </w:r>
          </w:p>
        </w:tc>
      </w:tr>
      <w:tr>
        <w:tc>
          <w:tcPr>
            <w:tcW w:type="dxa" w:w="2520"/>
            <w:shd w:fill="F2F2F2" w:val="clear"/>
            <w:tcMar>
              <w:top w:type="dxa" w:w="80"/>
              <w:left w:type="dxa" w:w="100"/>
              <w:bottom w:type="dxa" w:w="80"/>
              <w:right w:type="dxa" w:w="100"/>
            </w:tcMar>
            <w:vAlign w:val="center"/>
          </w:tcPr>
          <w:p>
            <w:r>
              <w:rPr>
                <w:b/>
                <w:bCs/>
                <w:sz w:val="18"/>
                <w:szCs w:val="18"/>
              </w:rPr>
              <w:t xml:space="preserve">Sterilization</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Non-sterile, reusable, wipe-disinfected between uses</w:t>
            </w:r>
          </w:p>
        </w:tc>
        <w:tc>
          <w:tcPr>
            <w:tcW w:type="dxa" w:w="3780"/>
            <w:shd w:fill="F2F2F2" w:val="clear"/>
            <w:tcMar>
              <w:top w:type="dxa" w:w="80"/>
              <w:left w:type="dxa" w:w="100"/>
              <w:bottom w:type="dxa" w:w="80"/>
              <w:right w:type="dxa" w:w="100"/>
            </w:tcMar>
            <w:vAlign w:val="center"/>
          </w:tcPr>
          <w:p>
            <w:r>
              <w:rPr>
                <w:b w:val="false"/>
                <w:bCs w:val="false"/>
                <w:sz w:val="18"/>
                <w:szCs w:val="18"/>
              </w:rPr>
              <w:t xml:space="preserve">Non-sterile, reusable, wipe-disinfected between uses</w:t>
            </w:r>
          </w:p>
        </w:tc>
      </w:tr>
    </w:tbl>
    <w:p>
      <w:pPr>
        <w:pStyle w:val="Heading1"/>
        <w:spacing w:after="160" w:before="360"/>
      </w:pPr>
      <w:r>
        <w:rPr>
          <w:b/>
          <w:bCs/>
          <w:color w:val="1F3864"/>
          <w:sz w:val="30"/>
          <w:szCs w:val="30"/>
        </w:rPr>
        <w:t xml:space="preserve">4. Preliminary Equivalence Assessment</w:t>
      </w:r>
    </w:p>
    <w:p>
      <w:pPr>
        <w:pBdr>
          <w:bottom w:val="single" w:color="BFBFBF" w:sz="6" w:space="1"/>
        </w:pBdr>
        <w:spacing w:after="200"/>
      </w:pPr>
      <w:r>
        <w:t xml:space="preserve"/>
      </w:r>
    </w:p>
    <w:p>
      <w:pPr>
        <w:spacing w:after="160" w:line="276"/>
      </w:pPr>
      <w:r>
        <w:rPr>
          <w:sz w:val="22"/>
          <w:szCs w:val="22"/>
        </w:rPr>
        <w:t xml:space="preserve">Two differences are identified at this early stage: sensor technology (reflectance vs. transmittance) and power source (rechargeable vs. replaceable battery). Neither difference appears, on initial review, to alter the fundamental scientific technology used to measure SpO2. Both are flagged for confirmation through bench performance testing during the design verification phase, which will determine whether the full substantial equivalence argument in the eventual 510(k) submission is supportable.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PulseTrack — Predicate Device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2026-07-20T06:21:18.745Z</dcterms:created>
  <dcterms:modified xsi:type="dcterms:W3CDTF">2026-07-20T06:21:18.745Z</dcterms:modified>
</cp:coreProperties>
</file>

<file path=docProps/custom.xml><?xml version="1.0" encoding="utf-8"?>
<Properties xmlns="http://schemas.openxmlformats.org/officeDocument/2006/custom-properties" xmlns:vt="http://schemas.openxmlformats.org/officeDocument/2006/docPropsVTypes"/>
</file>