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w:hAnsi="Aptos"/>
          <w:b/>
          <w:color w:val="5046E5"/>
          <w:sz w:val="32"/>
        </w:rPr>
        <w:t>SkillLinkr</w:t>
      </w:r>
    </w:p>
    <w:p>
      <w:pPr>
        <w:jc w:val="center"/>
      </w:pPr>
      <w:r>
        <w:rPr>
          <w:rFonts w:ascii="Aptos" w:hAnsi="Aptos"/>
          <w:b/>
          <w:color w:val="1C2237"/>
          <w:sz w:val="62"/>
        </w:rPr>
        <w:t>Opportunity Management System</w:t>
      </w:r>
    </w:p>
    <w:p>
      <w:pPr>
        <w:spacing w:after="360"/>
        <w:jc w:val="center"/>
      </w:pPr>
      <w:r>
        <w:rPr>
          <w:rFonts w:ascii="Aptos" w:hAnsi="Aptos"/>
          <w:b/>
          <w:color w:val="009688"/>
          <w:sz w:val="30"/>
        </w:rPr>
        <w:t>Product Overview for Landing Page Design</w:t>
      </w:r>
    </w:p>
    <w:tbl>
      <w:tblPr>
        <w:tblW w:type="auto" w:w="0"/>
        <w:jc w:val="center"/>
        <w:tblLayout w:type="fixed"/>
        <w:tblLook w:firstColumn="1" w:firstRow="1" w:lastColumn="0" w:lastRow="0" w:noHBand="0" w:noVBand="1" w:val="04A0"/>
      </w:tblPr>
      <w:tblGrid>
        <w:gridCol w:w="9576"/>
      </w:tblGrid>
      <w:tr>
        <w:tc>
          <w:tcPr>
            <w:tcW w:type="dxa" w:w="9994"/>
            <w:shd w:fill="F3F5FF"/>
            <w:tcMar>
              <w:top w:w="220" w:type="dxa"/>
              <w:start w:w="240" w:type="dxa"/>
              <w:bottom w:w="220" w:type="dxa"/>
              <w:end w:w="240" w:type="dxa"/>
            </w:tcMar>
          </w:tcPr>
          <w:p>
            <w:pPr>
              <w:jc w:val="center"/>
            </w:pPr>
            <w:r>
              <w:rPr>
                <w:rFonts w:ascii="Aptos" w:hAnsi="Aptos"/>
                <w:b/>
                <w:color w:val="3E37B4"/>
                <w:sz w:val="30"/>
              </w:rPr>
              <w:t>One platform to submit, verify, manage, and publish campus opportunities.</w:t>
            </w:r>
          </w:p>
          <w:p>
            <w:pPr>
              <w:jc w:val="center"/>
            </w:pPr>
            <w:r>
              <w:rPr>
                <w:rFonts w:ascii="Aptos" w:hAnsi="Aptos"/>
                <w:color w:val="374152"/>
                <w:sz w:val="22"/>
              </w:rPr>
              <w:t>SkillLinkr OMS connects college societies, Campus Ambassadors, and administrators through a structured, college-specific workflow so trusted opportunities can reach students faster.</w:t>
            </w:r>
          </w:p>
        </w:tc>
      </w:tr>
    </w:tbl>
    <w:p>
      <w:pPr>
        <w:spacing w:before="440"/>
        <w:jc w:val="center"/>
      </w:pPr>
      <w:r>
        <w:rPr>
          <w:rFonts w:ascii="Aptos" w:hAnsi="Aptos"/>
          <w:b/>
          <w:color w:val="1976D2"/>
          <w:sz w:val="22"/>
        </w:rPr>
        <w:t>oms.skilllinkr.com</w:t>
      </w:r>
    </w:p>
    <w:p>
      <w:r>
        <w:br w:type="page"/>
      </w:r>
    </w:p>
    <w:p>
      <w:pPr>
        <w:pStyle w:val="Heading1"/>
      </w:pPr>
      <w:r>
        <w:t>1. What is SkillLinkr OMS?</w:t>
      </w:r>
    </w:p>
    <w:p>
      <w:r>
        <w:t>The SkillLinkr Opportunity Management System (OMS) is a dedicated platform for managing campus opportunities from creation to publication. It gives verified college societies a structured place to submit opportunities, Campus Ambassadors a controlled review environment for their own college, and Admins a central system for managing the wider opportunity network.</w:t>
      </w:r>
    </w:p>
    <w:p>
      <w:r>
        <w:rPr>
          <w:rFonts w:ascii="Aptos" w:hAnsi="Aptos"/>
          <w:b/>
          <w:color w:val="1C2237"/>
          <w:sz w:val="25"/>
        </w:rPr>
        <w:t>The problem it solves</w:t>
      </w:r>
    </w:p>
    <w:p>
      <w:r>
        <w:t>Student opportunities are often scattered across WhatsApp groups, Instagram posts, posters, email chains, forms, and individual society pages. This makes discovery inconsistent and verification difficult. OMS turns that fragmented process into one accountable publishing workflow.</w:t>
      </w:r>
    </w:p>
    <w:tbl>
      <w:tblPr>
        <w:tblW w:type="auto" w:w="0"/>
        <w:jc w:val="center"/>
        <w:tblLayout w:type="fixed"/>
        <w:tblLook w:firstColumn="1" w:firstRow="1" w:lastColumn="0" w:lastRow="0" w:noHBand="0" w:noVBand="1" w:val="04A0"/>
      </w:tblPr>
      <w:tblGrid>
        <w:gridCol w:w="3331"/>
        <w:gridCol w:w="3331"/>
        <w:gridCol w:w="3331"/>
      </w:tblGrid>
      <w:tr>
        <w:tc>
          <w:tcPr>
            <w:tcW w:type="dxa" w:w="3024"/>
            <w:shd w:fill="EEF7FF"/>
            <w:tcMar>
              <w:top w:w="180" w:type="dxa"/>
              <w:start w:w="160" w:type="dxa"/>
              <w:bottom w:w="180" w:type="dxa"/>
              <w:end w:w="160" w:type="dxa"/>
            </w:tcMar>
            <w:vAlign w:val="center"/>
          </w:tcPr>
          <w:p>
            <w:pPr>
              <w:jc w:val="center"/>
            </w:pPr>
            <w:r>
              <w:rPr>
                <w:rFonts w:ascii="Aptos" w:hAnsi="Aptos"/>
                <w:b/>
                <w:color w:val="2B3549"/>
                <w:sz w:val="24"/>
              </w:rPr>
              <w:t>TRUST</w:t>
            </w:r>
          </w:p>
          <w:p>
            <w:pPr>
              <w:jc w:val="center"/>
            </w:pPr>
            <w:r>
              <w:rPr>
                <w:rFonts w:ascii="Aptos" w:hAnsi="Aptos"/>
                <w:color w:val="3C4656"/>
                <w:sz w:val="19"/>
              </w:rPr>
              <w:t>Create a verification layer before an opportunity reaches students.</w:t>
            </w:r>
          </w:p>
        </w:tc>
        <w:tc>
          <w:tcPr>
            <w:tcW w:type="dxa" w:w="3024"/>
            <w:shd w:fill="F3F0FF"/>
            <w:tcMar>
              <w:top w:w="180" w:type="dxa"/>
              <w:start w:w="160" w:type="dxa"/>
              <w:bottom w:w="180" w:type="dxa"/>
              <w:end w:w="160" w:type="dxa"/>
            </w:tcMar>
            <w:vAlign w:val="center"/>
          </w:tcPr>
          <w:p>
            <w:pPr>
              <w:jc w:val="center"/>
            </w:pPr>
            <w:r>
              <w:rPr>
                <w:rFonts w:ascii="Aptos" w:hAnsi="Aptos"/>
                <w:b/>
                <w:color w:val="2B3549"/>
                <w:sz w:val="24"/>
              </w:rPr>
              <w:t>STRUCTURE</w:t>
            </w:r>
          </w:p>
          <w:p>
            <w:pPr>
              <w:jc w:val="center"/>
            </w:pPr>
            <w:r>
              <w:rPr>
                <w:rFonts w:ascii="Aptos" w:hAnsi="Aptos"/>
                <w:color w:val="3C4656"/>
                <w:sz w:val="19"/>
              </w:rPr>
              <w:t>Replace scattered manual coordination with a clear submission and review workflow.</w:t>
            </w:r>
          </w:p>
        </w:tc>
        <w:tc>
          <w:tcPr>
            <w:tcW w:type="dxa" w:w="3024"/>
            <w:shd w:fill="ECFAF5"/>
            <w:tcMar>
              <w:top w:w="180" w:type="dxa"/>
              <w:start w:w="160" w:type="dxa"/>
              <w:bottom w:w="180" w:type="dxa"/>
              <w:end w:w="160" w:type="dxa"/>
            </w:tcMar>
            <w:vAlign w:val="center"/>
          </w:tcPr>
          <w:p>
            <w:pPr>
              <w:jc w:val="center"/>
            </w:pPr>
            <w:r>
              <w:rPr>
                <w:rFonts w:ascii="Aptos" w:hAnsi="Aptos"/>
                <w:b/>
                <w:color w:val="2B3549"/>
                <w:sz w:val="24"/>
              </w:rPr>
              <w:t>SCALE</w:t>
            </w:r>
          </w:p>
          <w:p>
            <w:pPr>
              <w:jc w:val="center"/>
            </w:pPr>
            <w:r>
              <w:rPr>
                <w:rFonts w:ascii="Aptos" w:hAnsi="Aptos"/>
                <w:color w:val="3C4656"/>
                <w:sz w:val="19"/>
              </w:rPr>
              <w:t>Allow SkillLinkr to expand across colleges without central Admins manually reviewing every listing.</w:t>
            </w:r>
          </w:p>
        </w:tc>
      </w:tr>
    </w:tbl>
    <w:p>
      <w:pPr>
        <w:pStyle w:val="Heading1"/>
      </w:pPr>
      <w:r>
        <w:t>2. The Three Core Roles</w:t>
      </w:r>
    </w:p>
    <w:tbl>
      <w:tblPr>
        <w:tblW w:type="auto" w:w="0"/>
        <w:jc w:val="center"/>
        <w:tblLayout w:type="fixed"/>
        <w:tblLook w:firstColumn="1" w:firstRow="1" w:lastColumn="0" w:lastRow="0" w:noHBand="0" w:noVBand="1" w:val="04A0"/>
      </w:tblPr>
      <w:tblGrid>
        <w:gridCol w:w="3331"/>
        <w:gridCol w:w="3331"/>
        <w:gridCol w:w="3331"/>
      </w:tblGrid>
      <w:tr>
        <w:tc>
          <w:tcPr>
            <w:tcW w:type="dxa" w:w="3053"/>
            <w:shd w:fill="EEF2FF"/>
            <w:tcMar>
              <w:top w:w="170" w:type="dxa"/>
              <w:start w:w="155" w:type="dxa"/>
              <w:bottom w:w="170" w:type="dxa"/>
              <w:end w:w="155" w:type="dxa"/>
            </w:tcMar>
            <w:vAlign w:val="center"/>
          </w:tcPr>
          <w:p>
            <w:pPr>
              <w:jc w:val="center"/>
            </w:pPr>
            <w:r>
              <w:rPr>
                <w:rFonts w:ascii="Aptos" w:hAnsi="Aptos"/>
                <w:b/>
                <w:color w:val="283042"/>
                <w:sz w:val="24"/>
              </w:rPr>
              <w:t>ADMIN</w:t>
            </w:r>
          </w:p>
          <w:p>
            <w:pPr>
              <w:jc w:val="center"/>
            </w:pPr>
            <w:r>
              <w:rPr>
                <w:rFonts w:ascii="Aptos" w:hAnsi="Aptos"/>
                <w:b/>
                <w:color w:val="5A50D2"/>
                <w:sz w:val="19"/>
              </w:rPr>
              <w:t>Global control</w:t>
            </w:r>
          </w:p>
          <w:p>
            <w:pPr>
              <w:jc w:val="center"/>
            </w:pPr>
            <w:r>
              <w:rPr>
                <w:rFonts w:ascii="Aptos" w:hAnsi="Aptos"/>
                <w:color w:val="3A4250"/>
                <w:sz w:val="19"/>
              </w:rPr>
              <w:t>Adds and manages Campus Ambassadors and societies, oversees colleges, monitors opportunities across the platform, and handles system-wide governance.</w:t>
            </w:r>
          </w:p>
        </w:tc>
        <w:tc>
          <w:tcPr>
            <w:tcW w:type="dxa" w:w="3053"/>
            <w:shd w:fill="ECF9F5"/>
            <w:tcMar>
              <w:top w:w="170" w:type="dxa"/>
              <w:start w:w="155" w:type="dxa"/>
              <w:bottom w:w="170" w:type="dxa"/>
              <w:end w:w="155" w:type="dxa"/>
            </w:tcMar>
            <w:vAlign w:val="center"/>
          </w:tcPr>
          <w:p>
            <w:pPr>
              <w:jc w:val="center"/>
            </w:pPr>
            <w:r>
              <w:rPr>
                <w:rFonts w:ascii="Aptos" w:hAnsi="Aptos"/>
                <w:b/>
                <w:color w:val="283042"/>
                <w:sz w:val="24"/>
              </w:rPr>
              <w:t>CAMPUS AMBASSADOR</w:t>
            </w:r>
          </w:p>
          <w:p>
            <w:pPr>
              <w:jc w:val="center"/>
            </w:pPr>
            <w:r>
              <w:rPr>
                <w:rFonts w:ascii="Aptos" w:hAnsi="Aptos"/>
                <w:b/>
                <w:color w:val="5A50D2"/>
                <w:sz w:val="19"/>
              </w:rPr>
              <w:t>College-level verifier</w:t>
            </w:r>
          </w:p>
          <w:p>
            <w:pPr>
              <w:jc w:val="center"/>
            </w:pPr>
            <w:r>
              <w:rPr>
                <w:rFonts w:ascii="Aptos" w:hAnsi="Aptos"/>
                <w:color w:val="3A4250"/>
                <w:sz w:val="19"/>
              </w:rPr>
              <w:t>Can manage societies and opportunities only for their own college. Reviews submissions, requests corrections, approves or rejects opportunities.</w:t>
            </w:r>
          </w:p>
        </w:tc>
        <w:tc>
          <w:tcPr>
            <w:tcW w:type="dxa" w:w="3053"/>
            <w:shd w:fill="FFF7E8"/>
            <w:tcMar>
              <w:top w:w="170" w:type="dxa"/>
              <w:start w:w="155" w:type="dxa"/>
              <w:bottom w:w="170" w:type="dxa"/>
              <w:end w:w="155" w:type="dxa"/>
            </w:tcMar>
            <w:vAlign w:val="center"/>
          </w:tcPr>
          <w:p>
            <w:pPr>
              <w:jc w:val="center"/>
            </w:pPr>
            <w:r>
              <w:rPr>
                <w:rFonts w:ascii="Aptos" w:hAnsi="Aptos"/>
                <w:b/>
                <w:color w:val="283042"/>
                <w:sz w:val="24"/>
              </w:rPr>
              <w:t>SOCIETY</w:t>
            </w:r>
          </w:p>
          <w:p>
            <w:pPr>
              <w:jc w:val="center"/>
            </w:pPr>
            <w:r>
              <w:rPr>
                <w:rFonts w:ascii="Aptos" w:hAnsi="Aptos"/>
                <w:b/>
                <w:color w:val="5A50D2"/>
                <w:sz w:val="19"/>
              </w:rPr>
              <w:t>Opportunity creator</w:t>
            </w:r>
          </w:p>
          <w:p>
            <w:pPr>
              <w:jc w:val="center"/>
            </w:pPr>
            <w:r>
              <w:rPr>
                <w:rFonts w:ascii="Aptos" w:hAnsi="Aptos"/>
                <w:color w:val="3A4250"/>
                <w:sz w:val="19"/>
              </w:rPr>
              <w:t>Creates and submits opportunities for its college, uploads full details and posters, tracks review status, responds to correction requests, and manages its own listings.</w:t>
            </w:r>
          </w:p>
        </w:tc>
      </w:tr>
    </w:tbl>
    <w:p>
      <w:r>
        <w:br w:type="page"/>
      </w:r>
    </w:p>
    <w:p>
      <w:pPr>
        <w:pStyle w:val="Heading1"/>
      </w:pPr>
      <w:r>
        <w:t>3. How the OMS Works</w:t>
      </w:r>
    </w:p>
    <w:p>
      <w:r>
        <w:t>The OMS is designed around a simple, controlled publishing chain. Each role has a clear responsibility and every opportunity remains associated with the college and society that submitted it.</w:t>
      </w:r>
    </w:p>
    <w:tbl>
      <w:tblPr>
        <w:tblW w:type="auto" w:w="0"/>
        <w:jc w:val="center"/>
        <w:tblLayout w:type="fixed"/>
        <w:tblLook w:firstColumn="1" w:firstRow="1" w:lastColumn="0" w:lastRow="0" w:noHBand="0" w:noVBand="1" w:val="04A0"/>
      </w:tblPr>
      <w:tblGrid>
        <w:gridCol w:w="4997"/>
        <w:gridCol w:w="4997"/>
      </w:tblGrid>
      <w:tr>
        <w:tc>
          <w:tcPr>
            <w:tcW w:type="dxa" w:w="893"/>
            <w:shd w:fill="5146E5"/>
            <w:tcMar>
              <w:top w:w="130" w:type="dxa"/>
              <w:start w:w="90" w:type="dxa"/>
              <w:bottom w:w="130" w:type="dxa"/>
              <w:end w:w="90" w:type="dxa"/>
            </w:tcMar>
          </w:tcPr>
          <w:p>
            <w:pPr>
              <w:jc w:val="center"/>
            </w:pPr>
            <w:r>
              <w:rPr>
                <w:rFonts w:ascii="Aptos" w:hAnsi="Aptos"/>
                <w:b/>
                <w:color w:val="FFFFFF"/>
                <w:sz w:val="28"/>
              </w:rPr>
              <w:t>1</w:t>
            </w:r>
          </w:p>
        </w:tc>
        <w:tc>
          <w:tcPr>
            <w:tcW w:type="dxa" w:w="8496"/>
            <w:shd w:fill="F7F8FC"/>
            <w:tcMar>
              <w:top w:w="130" w:type="dxa"/>
              <w:start w:w="150" w:type="dxa"/>
              <w:bottom w:w="130" w:type="dxa"/>
              <w:end w:w="150" w:type="dxa"/>
            </w:tcMar>
          </w:tcPr>
          <w:p>
            <w:r>
              <w:rPr>
                <w:rFonts w:ascii="Aptos" w:hAnsi="Aptos"/>
                <w:b/>
                <w:color w:val="22283A"/>
                <w:sz w:val="22"/>
              </w:rPr>
              <w:t xml:space="preserve">Society Creates  </w:t>
            </w:r>
            <w:r>
              <w:rPr>
                <w:rFonts w:ascii="Aptos" w:hAnsi="Aptos"/>
                <w:color w:val="3D4553"/>
                <w:sz w:val="20"/>
              </w:rPr>
              <w:t>A verified Society member fills the opportunity form with title, description, category, eligibility, dates, mode, venue, registration link, benefits, tags, and poster/image.</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893"/>
            <w:shd w:fill="5146E5"/>
            <w:tcMar>
              <w:top w:w="130" w:type="dxa"/>
              <w:start w:w="90" w:type="dxa"/>
              <w:bottom w:w="130" w:type="dxa"/>
              <w:end w:w="90" w:type="dxa"/>
            </w:tcMar>
          </w:tcPr>
          <w:p>
            <w:pPr>
              <w:jc w:val="center"/>
            </w:pPr>
            <w:r>
              <w:rPr>
                <w:rFonts w:ascii="Aptos" w:hAnsi="Aptos"/>
                <w:b/>
                <w:color w:val="FFFFFF"/>
                <w:sz w:val="28"/>
              </w:rPr>
              <w:t>2</w:t>
            </w:r>
          </w:p>
        </w:tc>
        <w:tc>
          <w:tcPr>
            <w:tcW w:type="dxa" w:w="8496"/>
            <w:shd w:fill="F7F8FC"/>
            <w:tcMar>
              <w:top w:w="130" w:type="dxa"/>
              <w:start w:w="150" w:type="dxa"/>
              <w:bottom w:w="130" w:type="dxa"/>
              <w:end w:w="150" w:type="dxa"/>
            </w:tcMar>
          </w:tcPr>
          <w:p>
            <w:r>
              <w:rPr>
                <w:rFonts w:ascii="Aptos" w:hAnsi="Aptos"/>
                <w:b/>
                <w:color w:val="22283A"/>
                <w:sz w:val="22"/>
              </w:rPr>
              <w:t xml:space="preserve">Submit for Review  </w:t>
            </w:r>
            <w:r>
              <w:rPr>
                <w:rFonts w:ascii="Aptos" w:hAnsi="Aptos"/>
                <w:color w:val="3D4553"/>
                <w:sz w:val="20"/>
              </w:rPr>
              <w:t>The opportunity is submitted to the review queue for the Society's own college.</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893"/>
            <w:shd w:fill="5146E5"/>
            <w:tcMar>
              <w:top w:w="130" w:type="dxa"/>
              <w:start w:w="90" w:type="dxa"/>
              <w:bottom w:w="130" w:type="dxa"/>
              <w:end w:w="90" w:type="dxa"/>
            </w:tcMar>
          </w:tcPr>
          <w:p>
            <w:pPr>
              <w:jc w:val="center"/>
            </w:pPr>
            <w:r>
              <w:rPr>
                <w:rFonts w:ascii="Aptos" w:hAnsi="Aptos"/>
                <w:b/>
                <w:color w:val="FFFFFF"/>
                <w:sz w:val="28"/>
              </w:rPr>
              <w:t>3</w:t>
            </w:r>
          </w:p>
        </w:tc>
        <w:tc>
          <w:tcPr>
            <w:tcW w:type="dxa" w:w="8496"/>
            <w:shd w:fill="F7F8FC"/>
            <w:tcMar>
              <w:top w:w="130" w:type="dxa"/>
              <w:start w:w="150" w:type="dxa"/>
              <w:bottom w:w="130" w:type="dxa"/>
              <w:end w:w="150" w:type="dxa"/>
            </w:tcMar>
          </w:tcPr>
          <w:p>
            <w:r>
              <w:rPr>
                <w:rFonts w:ascii="Aptos" w:hAnsi="Aptos"/>
                <w:b/>
                <w:color w:val="22283A"/>
                <w:sz w:val="22"/>
              </w:rPr>
              <w:t xml:space="preserve">Campus Ambassador Reviews  </w:t>
            </w:r>
            <w:r>
              <w:rPr>
                <w:rFonts w:ascii="Aptos" w:hAnsi="Aptos"/>
                <w:color w:val="3D4553"/>
                <w:sz w:val="20"/>
              </w:rPr>
              <w:t>The same-college Ambassador checks the information, preview, links, dates, organizer details, poster, and overall authenticity.</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893"/>
            <w:shd w:fill="5146E5"/>
            <w:tcMar>
              <w:top w:w="130" w:type="dxa"/>
              <w:start w:w="90" w:type="dxa"/>
              <w:bottom w:w="130" w:type="dxa"/>
              <w:end w:w="90" w:type="dxa"/>
            </w:tcMar>
          </w:tcPr>
          <w:p>
            <w:pPr>
              <w:jc w:val="center"/>
            </w:pPr>
            <w:r>
              <w:rPr>
                <w:rFonts w:ascii="Aptos" w:hAnsi="Aptos"/>
                <w:b/>
                <w:color w:val="FFFFFF"/>
                <w:sz w:val="28"/>
              </w:rPr>
              <w:t>4</w:t>
            </w:r>
          </w:p>
        </w:tc>
        <w:tc>
          <w:tcPr>
            <w:tcW w:type="dxa" w:w="8496"/>
            <w:shd w:fill="F7F8FC"/>
            <w:tcMar>
              <w:top w:w="130" w:type="dxa"/>
              <w:start w:w="150" w:type="dxa"/>
              <w:bottom w:w="130" w:type="dxa"/>
              <w:end w:w="150" w:type="dxa"/>
            </w:tcMar>
          </w:tcPr>
          <w:p>
            <w:r>
              <w:rPr>
                <w:rFonts w:ascii="Aptos" w:hAnsi="Aptos"/>
                <w:b/>
                <w:color w:val="22283A"/>
                <w:sz w:val="22"/>
              </w:rPr>
              <w:t xml:space="preserve">Approve / Reject / Correct  </w:t>
            </w:r>
            <w:r>
              <w:rPr>
                <w:rFonts w:ascii="Aptos" w:hAnsi="Aptos"/>
                <w:color w:val="3D4553"/>
                <w:sz w:val="20"/>
              </w:rPr>
              <w:t>The Ambassador can approve, reject with a reason, or request corrections when information is incomplete or inaccurate.</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893"/>
            <w:shd w:fill="5146E5"/>
            <w:tcMar>
              <w:top w:w="130" w:type="dxa"/>
              <w:start w:w="90" w:type="dxa"/>
              <w:bottom w:w="130" w:type="dxa"/>
              <w:end w:w="90" w:type="dxa"/>
            </w:tcMar>
          </w:tcPr>
          <w:p>
            <w:pPr>
              <w:jc w:val="center"/>
            </w:pPr>
            <w:r>
              <w:rPr>
                <w:rFonts w:ascii="Aptos" w:hAnsi="Aptos"/>
                <w:b/>
                <w:color w:val="FFFFFF"/>
                <w:sz w:val="28"/>
              </w:rPr>
              <w:t>5</w:t>
            </w:r>
          </w:p>
        </w:tc>
        <w:tc>
          <w:tcPr>
            <w:tcW w:type="dxa" w:w="8496"/>
            <w:shd w:fill="F7F8FC"/>
            <w:tcMar>
              <w:top w:w="130" w:type="dxa"/>
              <w:start w:w="150" w:type="dxa"/>
              <w:bottom w:w="130" w:type="dxa"/>
              <w:end w:w="150" w:type="dxa"/>
            </w:tcMar>
          </w:tcPr>
          <w:p>
            <w:r>
              <w:rPr>
                <w:rFonts w:ascii="Aptos" w:hAnsi="Aptos"/>
                <w:b/>
                <w:color w:val="22283A"/>
                <w:sz w:val="22"/>
              </w:rPr>
              <w:t xml:space="preserve">Automatic Publication  </w:t>
            </w:r>
            <w:r>
              <w:rPr>
                <w:rFonts w:ascii="Aptos" w:hAnsi="Aptos"/>
                <w:color w:val="3D4553"/>
                <w:sz w:val="20"/>
              </w:rPr>
              <w:t>Once the authorized same-college Ambassador approves the opportunity, it is published without requiring a second normal Admin approval.</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893"/>
            <w:shd w:fill="5146E5"/>
            <w:tcMar>
              <w:top w:w="130" w:type="dxa"/>
              <w:start w:w="90" w:type="dxa"/>
              <w:bottom w:w="130" w:type="dxa"/>
              <w:end w:w="90" w:type="dxa"/>
            </w:tcMar>
          </w:tcPr>
          <w:p>
            <w:pPr>
              <w:jc w:val="center"/>
            </w:pPr>
            <w:r>
              <w:rPr>
                <w:rFonts w:ascii="Aptos" w:hAnsi="Aptos"/>
                <w:b/>
                <w:color w:val="FFFFFF"/>
                <w:sz w:val="28"/>
              </w:rPr>
              <w:t>6</w:t>
            </w:r>
          </w:p>
        </w:tc>
        <w:tc>
          <w:tcPr>
            <w:tcW w:type="dxa" w:w="8496"/>
            <w:shd w:fill="F7F8FC"/>
            <w:tcMar>
              <w:top w:w="130" w:type="dxa"/>
              <w:start w:w="150" w:type="dxa"/>
              <w:bottom w:w="130" w:type="dxa"/>
              <w:end w:w="150" w:type="dxa"/>
            </w:tcMar>
          </w:tcPr>
          <w:p>
            <w:r>
              <w:rPr>
                <w:rFonts w:ascii="Aptos" w:hAnsi="Aptos"/>
                <w:b/>
                <w:color w:val="22283A"/>
                <w:sz w:val="22"/>
              </w:rPr>
              <w:t xml:space="preserve">Students Discover  </w:t>
            </w:r>
            <w:r>
              <w:rPr>
                <w:rFonts w:ascii="Aptos" w:hAnsi="Aptos"/>
                <w:color w:val="3D4553"/>
                <w:sz w:val="20"/>
              </w:rPr>
              <w:t>Published opportunities become available through SkillLinkr's opportunity experience and public OMS data layer.</w:t>
            </w:r>
          </w:p>
        </w:tc>
      </w:tr>
    </w:tbl>
    <w:p>
      <w:pPr>
        <w:spacing w:after="20"/>
      </w:pPr>
    </w:p>
    <w:p>
      <w:pPr>
        <w:pStyle w:val="Heading1"/>
      </w:pPr>
      <w:r>
        <w:t>4. College-Specific Governance</w:t>
      </w:r>
    </w:p>
    <w:p>
      <w:r>
        <w:t>College isolation is a core OMS principle. A Campus Ambassador is bound to a specific college and must not be able to review or manage opportunities belonging to another institution.</w:t>
      </w:r>
    </w:p>
    <w:p>
      <w:pPr>
        <w:pStyle w:val="ListBullet"/>
        <w:spacing w:after="60" w:line="269" w:lineRule="auto"/>
      </w:pPr>
      <w:r>
        <w:rPr>
          <w:rFonts w:ascii="Aptos" w:hAnsi="Aptos"/>
          <w:color w:val="2D3748"/>
          <w:sz w:val="21"/>
        </w:rPr>
        <w:t>A KIIT Ambassador can manage KIIT societies and KIIT opportunities.</w:t>
      </w:r>
    </w:p>
    <w:p>
      <w:pPr>
        <w:pStyle w:val="ListBullet"/>
        <w:spacing w:after="60" w:line="269" w:lineRule="auto"/>
      </w:pPr>
      <w:r>
        <w:rPr>
          <w:rFonts w:ascii="Aptos" w:hAnsi="Aptos"/>
          <w:color w:val="2D3748"/>
          <w:sz w:val="21"/>
        </w:rPr>
        <w:t>The same Ambassador cannot review or approve an opportunity from VIT or another college.</w:t>
      </w:r>
    </w:p>
    <w:p>
      <w:pPr>
        <w:pStyle w:val="ListBullet"/>
        <w:spacing w:after="60" w:line="269" w:lineRule="auto"/>
      </w:pPr>
      <w:r>
        <w:rPr>
          <w:rFonts w:ascii="Aptos" w:hAnsi="Aptos"/>
          <w:color w:val="2D3748"/>
          <w:sz w:val="21"/>
        </w:rPr>
        <w:t>Admin retains global visibility and management access across colleges.</w:t>
      </w:r>
    </w:p>
    <w:p>
      <w:pPr>
        <w:pStyle w:val="ListBullet"/>
        <w:spacing w:after="60" w:line="269" w:lineRule="auto"/>
      </w:pPr>
      <w:r>
        <w:rPr>
          <w:rFonts w:ascii="Aptos" w:hAnsi="Aptos"/>
          <w:color w:val="2D3748"/>
          <w:sz w:val="21"/>
        </w:rPr>
        <w:t>College access must be enforced in the interface, API/server authorization, and database/RLS—not just hidden in the UI.</w:t>
      </w:r>
    </w:p>
    <w:p>
      <w:r>
        <w:br w:type="page"/>
      </w:r>
    </w:p>
    <w:p>
      <w:pPr>
        <w:pStyle w:val="Heading1"/>
      </w:pPr>
      <w:r>
        <w:t>5. Society Experience</w:t>
      </w:r>
    </w:p>
    <w:p>
      <w:r>
        <w:t>The Society portal is the content-creation side of OMS. It should feel simple enough for a society representative to publish a professional opportunity without needing technical knowledge.</w:t>
      </w:r>
    </w:p>
    <w:p>
      <w:pPr>
        <w:pStyle w:val="ListBullet"/>
        <w:spacing w:after="60" w:line="269" w:lineRule="auto"/>
      </w:pPr>
      <w:r>
        <w:rPr>
          <w:rFonts w:ascii="Aptos" w:hAnsi="Aptos"/>
          <w:color w:val="2D3748"/>
          <w:sz w:val="21"/>
        </w:rPr>
        <w:t>Create and save opportunity drafts.</w:t>
      </w:r>
    </w:p>
    <w:p>
      <w:pPr>
        <w:pStyle w:val="ListBullet"/>
        <w:spacing w:after="60" w:line="269" w:lineRule="auto"/>
      </w:pPr>
      <w:r>
        <w:rPr>
          <w:rFonts w:ascii="Aptos" w:hAnsi="Aptos"/>
          <w:color w:val="2D3748"/>
          <w:sz w:val="21"/>
        </w:rPr>
        <w:t>Enter complete opportunity information through a guided multi-step form.</w:t>
      </w:r>
    </w:p>
    <w:p>
      <w:pPr>
        <w:pStyle w:val="ListBullet"/>
        <w:spacing w:after="60" w:line="269" w:lineRule="auto"/>
      </w:pPr>
      <w:r>
        <w:rPr>
          <w:rFonts w:ascii="Aptos" w:hAnsi="Aptos"/>
          <w:color w:val="2D3748"/>
          <w:sz w:val="21"/>
        </w:rPr>
        <w:t>Upload a poster/supporting image with preview and validation.</w:t>
      </w:r>
    </w:p>
    <w:p>
      <w:pPr>
        <w:pStyle w:val="ListBullet"/>
        <w:spacing w:after="60" w:line="269" w:lineRule="auto"/>
      </w:pPr>
      <w:r>
        <w:rPr>
          <w:rFonts w:ascii="Aptos" w:hAnsi="Aptos"/>
          <w:color w:val="2D3748"/>
          <w:sz w:val="21"/>
        </w:rPr>
        <w:t>Preview exactly how the listing will appear before submission.</w:t>
      </w:r>
    </w:p>
    <w:p>
      <w:pPr>
        <w:pStyle w:val="ListBullet"/>
        <w:spacing w:after="60" w:line="269" w:lineRule="auto"/>
      </w:pPr>
      <w:r>
        <w:rPr>
          <w:rFonts w:ascii="Aptos" w:hAnsi="Aptos"/>
          <w:color w:val="2D3748"/>
          <w:sz w:val="21"/>
        </w:rPr>
        <w:t>Submit the opportunity for Campus Ambassador review.</w:t>
      </w:r>
    </w:p>
    <w:p>
      <w:pPr>
        <w:pStyle w:val="ListBullet"/>
        <w:spacing w:after="60" w:line="269" w:lineRule="auto"/>
      </w:pPr>
      <w:r>
        <w:rPr>
          <w:rFonts w:ascii="Aptos" w:hAnsi="Aptos"/>
          <w:color w:val="2D3748"/>
          <w:sz w:val="21"/>
        </w:rPr>
        <w:t>Track review status and lifecycle timeline.</w:t>
      </w:r>
    </w:p>
    <w:p>
      <w:pPr>
        <w:pStyle w:val="ListBullet"/>
        <w:spacing w:after="60" w:line="269" w:lineRule="auto"/>
      </w:pPr>
      <w:r>
        <w:rPr>
          <w:rFonts w:ascii="Aptos" w:hAnsi="Aptos"/>
          <w:color w:val="2D3748"/>
          <w:sz w:val="21"/>
        </w:rPr>
        <w:t>Receive correction requests or rejection reasons.</w:t>
      </w:r>
    </w:p>
    <w:p>
      <w:pPr>
        <w:pStyle w:val="ListBullet"/>
        <w:spacing w:after="60" w:line="269" w:lineRule="auto"/>
      </w:pPr>
      <w:r>
        <w:rPr>
          <w:rFonts w:ascii="Aptos" w:hAnsi="Aptos"/>
          <w:color w:val="2D3748"/>
          <w:sz w:val="21"/>
        </w:rPr>
        <w:t>Edit and resubmit corrected opportunities.</w:t>
      </w:r>
    </w:p>
    <w:p>
      <w:pPr>
        <w:pStyle w:val="ListBullet"/>
        <w:spacing w:after="60" w:line="269" w:lineRule="auto"/>
      </w:pPr>
      <w:r>
        <w:rPr>
          <w:rFonts w:ascii="Aptos" w:hAnsi="Aptos"/>
          <w:color w:val="2D3748"/>
          <w:sz w:val="21"/>
        </w:rPr>
        <w:t>See when an approved opportunity becomes published.</w:t>
      </w:r>
    </w:p>
    <w:p>
      <w:pPr>
        <w:pStyle w:val="Heading1"/>
      </w:pPr>
      <w:r>
        <w:t>6. Campus Ambassador Experience</w:t>
      </w:r>
    </w:p>
    <w:p>
      <w:r>
        <w:t>The Campus Ambassador is the trust layer between campus societies and the SkillLinkr student audience. Their portal should focus on efficient review, authenticity, and accountability within their assigned college.</w:t>
      </w:r>
    </w:p>
    <w:p>
      <w:pPr>
        <w:pStyle w:val="ListBullet"/>
        <w:spacing w:after="60" w:line="269" w:lineRule="auto"/>
      </w:pPr>
      <w:r>
        <w:rPr>
          <w:rFonts w:ascii="Aptos" w:hAnsi="Aptos"/>
          <w:color w:val="2D3748"/>
          <w:sz w:val="21"/>
        </w:rPr>
        <w:t>View pending submissions from own college only.</w:t>
      </w:r>
    </w:p>
    <w:p>
      <w:pPr>
        <w:pStyle w:val="ListBullet"/>
        <w:spacing w:after="60" w:line="269" w:lineRule="auto"/>
      </w:pPr>
      <w:r>
        <w:rPr>
          <w:rFonts w:ascii="Aptos" w:hAnsi="Aptos"/>
          <w:color w:val="2D3748"/>
          <w:sz w:val="21"/>
        </w:rPr>
        <w:t>Open a full opportunity preview before taking action.</w:t>
      </w:r>
    </w:p>
    <w:p>
      <w:pPr>
        <w:pStyle w:val="ListBullet"/>
        <w:spacing w:after="60" w:line="269" w:lineRule="auto"/>
      </w:pPr>
      <w:r>
        <w:rPr>
          <w:rFonts w:ascii="Aptos" w:hAnsi="Aptos"/>
          <w:color w:val="2D3748"/>
          <w:sz w:val="21"/>
        </w:rPr>
        <w:t>Review the society, organizer, links, dates, eligibility, poster, venue, and opportunity details.</w:t>
      </w:r>
    </w:p>
    <w:p>
      <w:pPr>
        <w:pStyle w:val="ListBullet"/>
        <w:spacing w:after="60" w:line="269" w:lineRule="auto"/>
      </w:pPr>
      <w:r>
        <w:rPr>
          <w:rFonts w:ascii="Aptos" w:hAnsi="Aptos"/>
          <w:color w:val="2D3748"/>
          <w:sz w:val="21"/>
        </w:rPr>
        <w:t>Approve valid opportunities.</w:t>
      </w:r>
    </w:p>
    <w:p>
      <w:pPr>
        <w:pStyle w:val="ListBullet"/>
        <w:spacing w:after="60" w:line="269" w:lineRule="auto"/>
      </w:pPr>
      <w:r>
        <w:rPr>
          <w:rFonts w:ascii="Aptos" w:hAnsi="Aptos"/>
          <w:color w:val="2D3748"/>
          <w:sz w:val="21"/>
        </w:rPr>
        <w:t>Reject invalid or inappropriate submissions with a reason.</w:t>
      </w:r>
    </w:p>
    <w:p>
      <w:pPr>
        <w:pStyle w:val="ListBullet"/>
        <w:spacing w:after="60" w:line="269" w:lineRule="auto"/>
      </w:pPr>
      <w:r>
        <w:rPr>
          <w:rFonts w:ascii="Aptos" w:hAnsi="Aptos"/>
          <w:color w:val="2D3748"/>
          <w:sz w:val="21"/>
        </w:rPr>
        <w:t>Request field-specific corrections instead of forcing a full rejection.</w:t>
      </w:r>
    </w:p>
    <w:p>
      <w:pPr>
        <w:pStyle w:val="ListBullet"/>
        <w:spacing w:after="60" w:line="269" w:lineRule="auto"/>
      </w:pPr>
      <w:r>
        <w:rPr>
          <w:rFonts w:ascii="Aptos" w:hAnsi="Aptos"/>
          <w:color w:val="2D3748"/>
          <w:sz w:val="21"/>
        </w:rPr>
        <w:t>View status history and previous versions where available.</w:t>
      </w:r>
    </w:p>
    <w:p>
      <w:pPr>
        <w:pStyle w:val="ListBullet"/>
        <w:spacing w:after="60" w:line="269" w:lineRule="auto"/>
      </w:pPr>
      <w:r>
        <w:rPr>
          <w:rFonts w:ascii="Aptos" w:hAnsi="Aptos"/>
          <w:color w:val="2D3748"/>
          <w:sz w:val="21"/>
        </w:rPr>
        <w:t>Manage societies associated with the Ambassador's own college, subject to Admin-created permissions.</w:t>
      </w:r>
    </w:p>
    <w:p>
      <w:pPr>
        <w:pStyle w:val="Heading1"/>
      </w:pPr>
      <w:r>
        <w:t>7. Admin Experience</w:t>
      </w:r>
    </w:p>
    <w:p>
      <w:r>
        <w:t>Admin acts as the platform-level operator. The Admin role is not intended to manually approve every normal opportunity; instead, it establishes the network and supervises its quality.</w:t>
      </w:r>
    </w:p>
    <w:p>
      <w:pPr>
        <w:pStyle w:val="ListBullet"/>
        <w:spacing w:after="60" w:line="269" w:lineRule="auto"/>
      </w:pPr>
      <w:r>
        <w:rPr>
          <w:rFonts w:ascii="Aptos" w:hAnsi="Aptos"/>
          <w:color w:val="2D3748"/>
          <w:sz w:val="21"/>
        </w:rPr>
        <w:t>Add and manage Campus Ambassadors.</w:t>
      </w:r>
    </w:p>
    <w:p>
      <w:pPr>
        <w:pStyle w:val="ListBullet"/>
        <w:spacing w:after="60" w:line="269" w:lineRule="auto"/>
      </w:pPr>
      <w:r>
        <w:rPr>
          <w:rFonts w:ascii="Aptos" w:hAnsi="Aptos"/>
          <w:color w:val="2D3748"/>
          <w:sz w:val="21"/>
        </w:rPr>
        <w:t>Add and manage Society accounts.</w:t>
      </w:r>
    </w:p>
    <w:p>
      <w:pPr>
        <w:pStyle w:val="ListBullet"/>
        <w:spacing w:after="60" w:line="269" w:lineRule="auto"/>
      </w:pPr>
      <w:r>
        <w:rPr>
          <w:rFonts w:ascii="Aptos" w:hAnsi="Aptos"/>
          <w:color w:val="2D3748"/>
          <w:sz w:val="21"/>
        </w:rPr>
        <w:t>Manage colleges and their institutional configuration.</w:t>
      </w:r>
    </w:p>
    <w:p>
      <w:pPr>
        <w:pStyle w:val="ListBullet"/>
        <w:spacing w:after="60" w:line="269" w:lineRule="auto"/>
      </w:pPr>
      <w:r>
        <w:rPr>
          <w:rFonts w:ascii="Aptos" w:hAnsi="Aptos"/>
          <w:color w:val="2D3748"/>
          <w:sz w:val="21"/>
        </w:rPr>
        <w:t>View opportunities across all colleges and statuses.</w:t>
      </w:r>
    </w:p>
    <w:p>
      <w:pPr>
        <w:pStyle w:val="ListBullet"/>
        <w:spacing w:after="60" w:line="269" w:lineRule="auto"/>
      </w:pPr>
      <w:r>
        <w:rPr>
          <w:rFonts w:ascii="Aptos" w:hAnsi="Aptos"/>
          <w:color w:val="2D3748"/>
          <w:sz w:val="21"/>
        </w:rPr>
        <w:t>Access analytics, audit history, categories, configuration, and platform-level controls.</w:t>
      </w:r>
    </w:p>
    <w:p>
      <w:pPr>
        <w:pStyle w:val="ListBullet"/>
        <w:spacing w:after="60" w:line="269" w:lineRule="auto"/>
      </w:pPr>
      <w:r>
        <w:rPr>
          <w:rFonts w:ascii="Aptos" w:hAnsi="Aptos"/>
          <w:color w:val="2D3748"/>
          <w:sz w:val="21"/>
        </w:rPr>
        <w:t>Intervene globally when moderation, compliance, correction, or account management requires it.</w:t>
      </w:r>
    </w:p>
    <w:p>
      <w:r>
        <w:br w:type="page"/>
      </w:r>
    </w:p>
    <w:p>
      <w:pPr>
        <w:pStyle w:val="Heading1"/>
      </w:pPr>
      <w:r>
        <w:t>8. What the Landing Page Should Communicate</w:t>
      </w:r>
    </w:p>
    <w:p>
      <w:r>
        <w:t>The landing page should explain OMS as a trusted campus opportunity infrastructure—not just another event-listing page. A visitor should understand within a few seconds who the platform is for, how the approval flow works, and why the system is useful.</w:t>
      </w:r>
    </w:p>
    <w:tbl>
      <w:tblPr>
        <w:tblW w:type="auto" w:w="0"/>
        <w:jc w:val="center"/>
        <w:tblLayout w:type="fixed"/>
        <w:tblLook w:firstColumn="1" w:firstRow="1" w:lastColumn="0" w:lastRow="0" w:noHBand="0" w:noVBand="1" w:val="04A0"/>
      </w:tblPr>
      <w:tblGrid>
        <w:gridCol w:w="9360"/>
      </w:tblGrid>
      <w:tr>
        <w:tc>
          <w:tcPr>
            <w:tcW w:type="dxa" w:w="9994"/>
            <w:shd w:fill="F2F4FF"/>
            <w:tcMar>
              <w:top w:w="190" w:type="dxa"/>
              <w:start w:w="220" w:type="dxa"/>
              <w:bottom w:w="190" w:type="dxa"/>
              <w:end w:w="220" w:type="dxa"/>
            </w:tcMar>
          </w:tcPr>
          <w:p>
            <w:pPr>
              <w:jc w:val="center"/>
            </w:pPr>
            <w:r>
              <w:rPr>
                <w:rFonts w:ascii="Aptos" w:hAnsi="Aptos"/>
                <w:b/>
                <w:color w:val="3732AA"/>
                <w:sz w:val="36"/>
              </w:rPr>
              <w:t>Opportunities, Managed the Right Way.</w:t>
            </w:r>
          </w:p>
          <w:p>
            <w:pPr>
              <w:jc w:val="center"/>
            </w:pPr>
            <w:r>
              <w:rPr>
                <w:rFonts w:ascii="Aptos" w:hAnsi="Aptos"/>
                <w:color w:val="3E4757"/>
                <w:sz w:val="22"/>
              </w:rPr>
              <w:t>A structured system for societies to submit opportunities, Campus Ambassadors to verify them, and SkillLinkr to publish trusted opportunities to students.</w:t>
            </w:r>
          </w:p>
        </w:tc>
      </w:tr>
    </w:tbl>
    <w:p>
      <w:pPr>
        <w:pStyle w:val="Heading2"/>
      </w:pPr>
      <w:r>
        <w:t>Suggested Landing Page Narrative</w:t>
      </w:r>
    </w:p>
    <w:tbl>
      <w:tblPr>
        <w:tblW w:type="auto" w:w="0"/>
        <w:jc w:val="center"/>
        <w:tblLayout w:type="fixed"/>
        <w:tblLook w:firstColumn="1" w:firstRow="1" w:lastColumn="0" w:lastRow="0" w:noHBand="0" w:noVBand="1" w:val="04A0"/>
      </w:tblPr>
      <w:tblGrid>
        <w:gridCol w:w="4997"/>
        <w:gridCol w:w="4997"/>
      </w:tblGrid>
      <w:tr>
        <w:tc>
          <w:tcPr>
            <w:tcW w:type="dxa" w:w="2376"/>
            <w:shd w:fill="5146E5"/>
            <w:tcMar>
              <w:top w:w="120" w:type="dxa"/>
              <w:start w:w="140" w:type="dxa"/>
              <w:bottom w:w="120" w:type="dxa"/>
              <w:end w:w="140" w:type="dxa"/>
            </w:tcMar>
          </w:tcPr>
          <w:p>
            <w:r>
              <w:rPr>
                <w:rFonts w:ascii="Aptos" w:hAnsi="Aptos"/>
                <w:b/>
                <w:color w:val="FFFFFF"/>
                <w:sz w:val="21"/>
              </w:rPr>
              <w:t>Section</w:t>
            </w:r>
          </w:p>
        </w:tc>
        <w:tc>
          <w:tcPr>
            <w:tcW w:type="dxa" w:w="6984"/>
            <w:shd w:fill="5146E5"/>
            <w:tcMar>
              <w:top w:w="120" w:type="dxa"/>
              <w:start w:w="140" w:type="dxa"/>
              <w:bottom w:w="120" w:type="dxa"/>
              <w:end w:w="140" w:type="dxa"/>
            </w:tcMar>
          </w:tcPr>
          <w:p>
            <w:r>
              <w:rPr>
                <w:rFonts w:ascii="Aptos" w:hAnsi="Aptos"/>
                <w:b/>
                <w:color w:val="FFFFFF"/>
                <w:sz w:val="21"/>
              </w:rPr>
              <w:t>Purpose</w:t>
            </w:r>
          </w:p>
        </w:tc>
      </w:tr>
      <w:tr>
        <w:tc>
          <w:tcPr>
            <w:tcW w:type="dxa" w:w="4997"/>
            <w:tcMar>
              <w:top w:w="100" w:type="dxa"/>
              <w:start w:w="120" w:type="dxa"/>
              <w:bottom w:w="100" w:type="dxa"/>
              <w:end w:w="120" w:type="dxa"/>
            </w:tcMar>
          </w:tcPr>
          <w:p>
            <w:r>
              <w:rPr>
                <w:rFonts w:ascii="Aptos" w:hAnsi="Aptos"/>
                <w:b/>
                <w:color w:val="2D3649"/>
                <w:sz w:val="20"/>
              </w:rPr>
              <w:t>Hero</w:t>
            </w:r>
          </w:p>
        </w:tc>
        <w:tc>
          <w:tcPr>
            <w:tcW w:type="dxa" w:w="4997"/>
            <w:tcMar>
              <w:top w:w="100" w:type="dxa"/>
              <w:start w:w="120" w:type="dxa"/>
              <w:bottom w:w="100" w:type="dxa"/>
              <w:end w:w="120" w:type="dxa"/>
            </w:tcMar>
          </w:tcPr>
          <w:p>
            <w:r>
              <w:rPr>
                <w:rFonts w:ascii="Aptos" w:hAnsi="Aptos"/>
                <w:color w:val="3C4554"/>
                <w:sz w:val="19"/>
              </w:rPr>
              <w:t>Make the value immediately clear: submit, verify, publish, discover.</w:t>
            </w:r>
          </w:p>
        </w:tc>
      </w:tr>
      <w:tr>
        <w:tc>
          <w:tcPr>
            <w:tcW w:type="dxa" w:w="4997"/>
            <w:tcMar>
              <w:top w:w="100" w:type="dxa"/>
              <w:start w:w="120" w:type="dxa"/>
              <w:bottom w:w="100" w:type="dxa"/>
              <w:end w:w="120" w:type="dxa"/>
            </w:tcMar>
          </w:tcPr>
          <w:p>
            <w:r>
              <w:rPr>
                <w:rFonts w:ascii="Aptos" w:hAnsi="Aptos"/>
                <w:b/>
                <w:color w:val="2D3649"/>
                <w:sz w:val="20"/>
              </w:rPr>
              <w:t>Who It Is For</w:t>
            </w:r>
          </w:p>
        </w:tc>
        <w:tc>
          <w:tcPr>
            <w:tcW w:type="dxa" w:w="4997"/>
            <w:tcMar>
              <w:top w:w="100" w:type="dxa"/>
              <w:start w:w="120" w:type="dxa"/>
              <w:bottom w:w="100" w:type="dxa"/>
              <w:end w:w="120" w:type="dxa"/>
            </w:tcMar>
          </w:tcPr>
          <w:p>
            <w:r>
              <w:rPr>
                <w:rFonts w:ascii="Aptos" w:hAnsi="Aptos"/>
                <w:color w:val="3C4554"/>
                <w:sz w:val="19"/>
              </w:rPr>
              <w:t>Show three role cards: Society, Campus Ambassador, Admin.</w:t>
            </w:r>
          </w:p>
        </w:tc>
      </w:tr>
      <w:tr>
        <w:tc>
          <w:tcPr>
            <w:tcW w:type="dxa" w:w="4997"/>
            <w:tcMar>
              <w:top w:w="100" w:type="dxa"/>
              <w:start w:w="120" w:type="dxa"/>
              <w:bottom w:w="100" w:type="dxa"/>
              <w:end w:w="120" w:type="dxa"/>
            </w:tcMar>
          </w:tcPr>
          <w:p>
            <w:r>
              <w:rPr>
                <w:rFonts w:ascii="Aptos" w:hAnsi="Aptos"/>
                <w:b/>
                <w:color w:val="2D3649"/>
                <w:sz w:val="20"/>
              </w:rPr>
              <w:t>How It Works</w:t>
            </w:r>
          </w:p>
        </w:tc>
        <w:tc>
          <w:tcPr>
            <w:tcW w:type="dxa" w:w="4997"/>
            <w:tcMar>
              <w:top w:w="100" w:type="dxa"/>
              <w:start w:w="120" w:type="dxa"/>
              <w:bottom w:w="100" w:type="dxa"/>
              <w:end w:w="120" w:type="dxa"/>
            </w:tcMar>
          </w:tcPr>
          <w:p>
            <w:r>
              <w:rPr>
                <w:rFonts w:ascii="Aptos" w:hAnsi="Aptos"/>
                <w:color w:val="3C4554"/>
                <w:sz w:val="19"/>
              </w:rPr>
              <w:t>Use a visual five-step flow: Create → Submit → Review → Approve → Publish.</w:t>
            </w:r>
          </w:p>
        </w:tc>
      </w:tr>
      <w:tr>
        <w:tc>
          <w:tcPr>
            <w:tcW w:type="dxa" w:w="4997"/>
            <w:tcMar>
              <w:top w:w="100" w:type="dxa"/>
              <w:start w:w="120" w:type="dxa"/>
              <w:bottom w:w="100" w:type="dxa"/>
              <w:end w:w="120" w:type="dxa"/>
            </w:tcMar>
          </w:tcPr>
          <w:p>
            <w:r>
              <w:rPr>
                <w:rFonts w:ascii="Aptos" w:hAnsi="Aptos"/>
                <w:b/>
                <w:color w:val="2D3649"/>
                <w:sz w:val="20"/>
              </w:rPr>
              <w:t>Why OMS Exists</w:t>
            </w:r>
          </w:p>
        </w:tc>
        <w:tc>
          <w:tcPr>
            <w:tcW w:type="dxa" w:w="4997"/>
            <w:tcMar>
              <w:top w:w="100" w:type="dxa"/>
              <w:start w:w="120" w:type="dxa"/>
              <w:bottom w:w="100" w:type="dxa"/>
              <w:end w:w="120" w:type="dxa"/>
            </w:tcMar>
          </w:tcPr>
          <w:p>
            <w:r>
              <w:rPr>
                <w:rFonts w:ascii="Aptos" w:hAnsi="Aptos"/>
                <w:color w:val="3C4554"/>
                <w:sz w:val="19"/>
              </w:rPr>
              <w:t>Explain the problem of scattered, unverified campus opportunities and how OMS creates structure and trust.</w:t>
            </w:r>
          </w:p>
        </w:tc>
      </w:tr>
      <w:tr>
        <w:tc>
          <w:tcPr>
            <w:tcW w:type="dxa" w:w="4997"/>
            <w:tcMar>
              <w:top w:w="100" w:type="dxa"/>
              <w:start w:w="120" w:type="dxa"/>
              <w:bottom w:w="100" w:type="dxa"/>
              <w:end w:w="120" w:type="dxa"/>
            </w:tcMar>
          </w:tcPr>
          <w:p>
            <w:r>
              <w:rPr>
                <w:rFonts w:ascii="Aptos" w:hAnsi="Aptos"/>
                <w:b/>
                <w:color w:val="2D3649"/>
                <w:sz w:val="20"/>
              </w:rPr>
              <w:t>College-Level Verification</w:t>
            </w:r>
          </w:p>
        </w:tc>
        <w:tc>
          <w:tcPr>
            <w:tcW w:type="dxa" w:w="4997"/>
            <w:tcMar>
              <w:top w:w="100" w:type="dxa"/>
              <w:start w:w="120" w:type="dxa"/>
              <w:bottom w:w="100" w:type="dxa"/>
              <w:end w:w="120" w:type="dxa"/>
            </w:tcMar>
          </w:tcPr>
          <w:p>
            <w:r>
              <w:rPr>
                <w:rFonts w:ascii="Aptos" w:hAnsi="Aptos"/>
                <w:color w:val="3C4554"/>
                <w:sz w:val="19"/>
              </w:rPr>
              <w:t>Highlight that Campus Ambassadors only review their own college and act as the local verification layer.</w:t>
            </w:r>
          </w:p>
        </w:tc>
      </w:tr>
      <w:tr>
        <w:tc>
          <w:tcPr>
            <w:tcW w:type="dxa" w:w="4997"/>
            <w:tcMar>
              <w:top w:w="100" w:type="dxa"/>
              <w:start w:w="120" w:type="dxa"/>
              <w:bottom w:w="100" w:type="dxa"/>
              <w:end w:w="120" w:type="dxa"/>
            </w:tcMar>
          </w:tcPr>
          <w:p>
            <w:r>
              <w:rPr>
                <w:rFonts w:ascii="Aptos" w:hAnsi="Aptos"/>
                <w:b/>
                <w:color w:val="2D3649"/>
                <w:sz w:val="20"/>
              </w:rPr>
              <w:t>For Societies</w:t>
            </w:r>
          </w:p>
        </w:tc>
        <w:tc>
          <w:tcPr>
            <w:tcW w:type="dxa" w:w="4997"/>
            <w:tcMar>
              <w:top w:w="100" w:type="dxa"/>
              <w:start w:w="120" w:type="dxa"/>
              <w:bottom w:w="100" w:type="dxa"/>
              <w:end w:w="120" w:type="dxa"/>
            </w:tcMar>
          </w:tcPr>
          <w:p>
            <w:r>
              <w:rPr>
                <w:rFonts w:ascii="Aptos" w:hAnsi="Aptos"/>
                <w:color w:val="3C4554"/>
                <w:sz w:val="19"/>
              </w:rPr>
              <w:t>Focus on reach, simple submission, status tracking, corrections, and publication.</w:t>
            </w:r>
          </w:p>
        </w:tc>
      </w:tr>
      <w:tr>
        <w:tc>
          <w:tcPr>
            <w:tcW w:type="dxa" w:w="4997"/>
            <w:tcMar>
              <w:top w:w="100" w:type="dxa"/>
              <w:start w:w="120" w:type="dxa"/>
              <w:bottom w:w="100" w:type="dxa"/>
              <w:end w:w="120" w:type="dxa"/>
            </w:tcMar>
          </w:tcPr>
          <w:p>
            <w:r>
              <w:rPr>
                <w:rFonts w:ascii="Aptos" w:hAnsi="Aptos"/>
                <w:b/>
                <w:color w:val="2D3649"/>
                <w:sz w:val="20"/>
              </w:rPr>
              <w:t>For Ambassadors</w:t>
            </w:r>
          </w:p>
        </w:tc>
        <w:tc>
          <w:tcPr>
            <w:tcW w:type="dxa" w:w="4997"/>
            <w:tcMar>
              <w:top w:w="100" w:type="dxa"/>
              <w:start w:w="120" w:type="dxa"/>
              <w:bottom w:w="100" w:type="dxa"/>
              <w:end w:w="120" w:type="dxa"/>
            </w:tcMar>
          </w:tcPr>
          <w:p>
            <w:r>
              <w:rPr>
                <w:rFonts w:ascii="Aptos" w:hAnsi="Aptos"/>
                <w:color w:val="3C4554"/>
                <w:sz w:val="19"/>
              </w:rPr>
              <w:t>Focus on college ownership, review tools, accountability, and maintaining opportunity quality.</w:t>
            </w:r>
          </w:p>
        </w:tc>
      </w:tr>
      <w:tr>
        <w:tc>
          <w:tcPr>
            <w:tcW w:type="dxa" w:w="4997"/>
            <w:tcMar>
              <w:top w:w="100" w:type="dxa"/>
              <w:start w:w="120" w:type="dxa"/>
              <w:bottom w:w="100" w:type="dxa"/>
              <w:end w:w="120" w:type="dxa"/>
            </w:tcMar>
          </w:tcPr>
          <w:p>
            <w:r>
              <w:rPr>
                <w:rFonts w:ascii="Aptos" w:hAnsi="Aptos"/>
                <w:b/>
                <w:color w:val="2D3649"/>
                <w:sz w:val="20"/>
              </w:rPr>
              <w:t>For Admins</w:t>
            </w:r>
          </w:p>
        </w:tc>
        <w:tc>
          <w:tcPr>
            <w:tcW w:type="dxa" w:w="4997"/>
            <w:tcMar>
              <w:top w:w="100" w:type="dxa"/>
              <w:start w:w="120" w:type="dxa"/>
              <w:bottom w:w="100" w:type="dxa"/>
              <w:end w:w="120" w:type="dxa"/>
            </w:tcMar>
          </w:tcPr>
          <w:p>
            <w:r>
              <w:rPr>
                <w:rFonts w:ascii="Aptos" w:hAnsi="Aptos"/>
                <w:color w:val="3C4554"/>
                <w:sz w:val="19"/>
              </w:rPr>
              <w:t>Focus on network management, analytics, governance, colleges, Ambassadors, societies, and audit.</w:t>
            </w:r>
          </w:p>
        </w:tc>
      </w:tr>
      <w:tr>
        <w:tc>
          <w:tcPr>
            <w:tcW w:type="dxa" w:w="4997"/>
            <w:tcMar>
              <w:top w:w="100" w:type="dxa"/>
              <w:start w:w="120" w:type="dxa"/>
              <w:bottom w:w="100" w:type="dxa"/>
              <w:end w:w="120" w:type="dxa"/>
            </w:tcMar>
          </w:tcPr>
          <w:p>
            <w:r>
              <w:rPr>
                <w:rFonts w:ascii="Aptos" w:hAnsi="Aptos"/>
                <w:b/>
                <w:color w:val="2D3649"/>
                <w:sz w:val="20"/>
              </w:rPr>
              <w:t>Student Impact</w:t>
            </w:r>
          </w:p>
        </w:tc>
        <w:tc>
          <w:tcPr>
            <w:tcW w:type="dxa" w:w="4997"/>
            <w:tcMar>
              <w:top w:w="100" w:type="dxa"/>
              <w:start w:w="120" w:type="dxa"/>
              <w:bottom w:w="100" w:type="dxa"/>
              <w:end w:w="120" w:type="dxa"/>
            </w:tcMar>
          </w:tcPr>
          <w:p>
            <w:r>
              <w:rPr>
                <w:rFonts w:ascii="Aptos" w:hAnsi="Aptos"/>
                <w:color w:val="3C4554"/>
                <w:sz w:val="19"/>
              </w:rPr>
              <w:t>Explain that students ultimately receive a cleaner, verified opportunity feed through SkillLinkr.</w:t>
            </w:r>
          </w:p>
        </w:tc>
      </w:tr>
      <w:tr>
        <w:tc>
          <w:tcPr>
            <w:tcW w:type="dxa" w:w="4997"/>
            <w:tcMar>
              <w:top w:w="100" w:type="dxa"/>
              <w:start w:w="120" w:type="dxa"/>
              <w:bottom w:w="100" w:type="dxa"/>
              <w:end w:w="120" w:type="dxa"/>
            </w:tcMar>
          </w:tcPr>
          <w:p>
            <w:r>
              <w:rPr>
                <w:rFonts w:ascii="Aptos" w:hAnsi="Aptos"/>
                <w:b/>
                <w:color w:val="2D3649"/>
                <w:sz w:val="20"/>
              </w:rPr>
              <w:t>Final CTA</w:t>
            </w:r>
          </w:p>
        </w:tc>
        <w:tc>
          <w:tcPr>
            <w:tcW w:type="dxa" w:w="4997"/>
            <w:tcMar>
              <w:top w:w="100" w:type="dxa"/>
              <w:start w:w="120" w:type="dxa"/>
              <w:bottom w:w="100" w:type="dxa"/>
              <w:end w:w="120" w:type="dxa"/>
            </w:tcMar>
          </w:tcPr>
          <w:p>
            <w:r>
              <w:rPr>
                <w:rFonts w:ascii="Aptos" w:hAnsi="Aptos"/>
                <w:color w:val="3C4554"/>
                <w:sz w:val="19"/>
              </w:rPr>
              <w:t>Invite societies to list opportunities, Ambassadors to manage their campus, and authorized users to sign in.</w:t>
            </w:r>
          </w:p>
        </w:tc>
      </w:tr>
    </w:tbl>
    <w:p>
      <w:pPr>
        <w:pStyle w:val="Heading1"/>
      </w:pPr>
      <w:r>
        <w:t>9. Ready-to-Use Landing Page Copy</w:t>
      </w:r>
    </w:p>
    <w:p>
      <w:pPr>
        <w:pStyle w:val="Heading2"/>
      </w:pPr>
      <w:r>
        <w:t>Hero Headline</w:t>
      </w:r>
    </w:p>
    <w:p>
      <w:r>
        <w:rPr>
          <w:rFonts w:ascii="Aptos" w:hAnsi="Aptos"/>
          <w:b/>
          <w:color w:val="1C2237"/>
          <w:sz w:val="34"/>
        </w:rPr>
        <w:t>One Platform for Every Campus Opportunity.</w:t>
      </w:r>
    </w:p>
    <w:p>
      <w:pPr>
        <w:pStyle w:val="Heading2"/>
      </w:pPr>
      <w:r>
        <w:t>Hero Description</w:t>
      </w:r>
    </w:p>
    <w:p>
      <w:r>
        <w:t>SkillLinkr OMS brings Societies, Campus Ambassadors, and Administrators into one structured workflow—so campus opportunities can be submitted, verified, managed, and published with confidence.</w:t>
      </w:r>
    </w:p>
    <w:p>
      <w:pPr>
        <w:pStyle w:val="Heading2"/>
      </w:pPr>
      <w:r>
        <w:t>Core Flow</w:t>
      </w:r>
    </w:p>
    <w:p>
      <w:pPr>
        <w:jc w:val="center"/>
      </w:pPr>
      <w:r>
        <w:rPr>
          <w:rFonts w:ascii="Aptos" w:hAnsi="Aptos"/>
          <w:b/>
          <w:color w:val="3732AA"/>
          <w:sz w:val="24"/>
        </w:rPr>
        <w:t>Create</w:t>
      </w:r>
      <w:r>
        <w:rPr>
          <w:rFonts w:ascii="Aptos" w:hAnsi="Aptos"/>
          <w:b/>
          <w:color w:val="787E91"/>
          <w:sz w:val="24"/>
        </w:rPr>
        <w:t xml:space="preserve">  →  </w:t>
      </w:r>
      <w:r>
        <w:rPr>
          <w:rFonts w:ascii="Aptos" w:hAnsi="Aptos"/>
          <w:b/>
          <w:color w:val="3732AA"/>
          <w:sz w:val="24"/>
        </w:rPr>
        <w:t>Submit</w:t>
      </w:r>
      <w:r>
        <w:rPr>
          <w:rFonts w:ascii="Aptos" w:hAnsi="Aptos"/>
          <w:b/>
          <w:color w:val="787E91"/>
          <w:sz w:val="24"/>
        </w:rPr>
        <w:t xml:space="preserve">  →  </w:t>
      </w:r>
      <w:r>
        <w:rPr>
          <w:rFonts w:ascii="Aptos" w:hAnsi="Aptos"/>
          <w:b/>
          <w:color w:val="3732AA"/>
          <w:sz w:val="24"/>
        </w:rPr>
        <w:t>Review</w:t>
      </w:r>
      <w:r>
        <w:rPr>
          <w:rFonts w:ascii="Aptos" w:hAnsi="Aptos"/>
          <w:b/>
          <w:color w:val="787E91"/>
          <w:sz w:val="24"/>
        </w:rPr>
        <w:t xml:space="preserve">  →  </w:t>
      </w:r>
      <w:r>
        <w:rPr>
          <w:rFonts w:ascii="Aptos" w:hAnsi="Aptos"/>
          <w:b/>
          <w:color w:val="3732AA"/>
          <w:sz w:val="24"/>
        </w:rPr>
        <w:t>Verify</w:t>
      </w:r>
      <w:r>
        <w:rPr>
          <w:rFonts w:ascii="Aptos" w:hAnsi="Aptos"/>
          <w:b/>
          <w:color w:val="787E91"/>
          <w:sz w:val="24"/>
        </w:rPr>
        <w:t xml:space="preserve">  →  </w:t>
      </w:r>
      <w:r>
        <w:rPr>
          <w:rFonts w:ascii="Aptos" w:hAnsi="Aptos"/>
          <w:b/>
          <w:color w:val="3732AA"/>
          <w:sz w:val="24"/>
        </w:rPr>
        <w:t>Publish</w:t>
      </w:r>
      <w:r>
        <w:rPr>
          <w:rFonts w:ascii="Aptos" w:hAnsi="Aptos"/>
          <w:b/>
          <w:color w:val="787E91"/>
          <w:sz w:val="24"/>
        </w:rPr>
        <w:t xml:space="preserve">  →  </w:t>
      </w:r>
      <w:r>
        <w:rPr>
          <w:rFonts w:ascii="Aptos" w:hAnsi="Aptos"/>
          <w:b/>
          <w:color w:val="3732AA"/>
          <w:sz w:val="24"/>
        </w:rPr>
        <w:t>Discover</w:t>
      </w:r>
    </w:p>
    <w:p>
      <w:pPr>
        <w:pStyle w:val="Heading2"/>
      </w:pPr>
      <w:r>
        <w:t>Role Copy</w:t>
      </w:r>
    </w:p>
    <w:p>
      <w:r>
        <w:rPr>
          <w:rFonts w:ascii="Aptos" w:hAnsi="Aptos"/>
          <w:b/>
          <w:color w:val="1976D2"/>
          <w:sz w:val="22"/>
        </w:rPr>
        <w:t xml:space="preserve">For Societies: </w:t>
      </w:r>
      <w:r>
        <w:rPr>
          <w:rFonts w:ascii="Aptos" w:hAnsi="Aptos"/>
          <w:color w:val="373F4E"/>
          <w:sz w:val="21"/>
        </w:rPr>
        <w:t>List events, hackathons, competitions, recruitment drives, internships, workshops, and other opportunities through one dedicated portal.</w:t>
      </w:r>
    </w:p>
    <w:p>
      <w:r>
        <w:rPr>
          <w:rFonts w:ascii="Aptos" w:hAnsi="Aptos"/>
          <w:b/>
          <w:color w:val="1976D2"/>
          <w:sz w:val="22"/>
        </w:rPr>
        <w:t xml:space="preserve">For Campus Ambassadors: </w:t>
      </w:r>
      <w:r>
        <w:rPr>
          <w:rFonts w:ascii="Aptos" w:hAnsi="Aptos"/>
          <w:color w:val="373F4E"/>
          <w:sz w:val="21"/>
        </w:rPr>
        <w:t>Review and verify opportunities from your own college, request corrections when needed, and approve trusted listings for publication.</w:t>
      </w:r>
    </w:p>
    <w:p>
      <w:r>
        <w:rPr>
          <w:rFonts w:ascii="Aptos" w:hAnsi="Aptos"/>
          <w:b/>
          <w:color w:val="1976D2"/>
          <w:sz w:val="22"/>
        </w:rPr>
        <w:t xml:space="preserve">For Administrators: </w:t>
      </w:r>
      <w:r>
        <w:rPr>
          <w:rFonts w:ascii="Aptos" w:hAnsi="Aptos"/>
          <w:color w:val="373F4E"/>
          <w:sz w:val="21"/>
        </w:rPr>
        <w:t>Manage colleges, Ambassadors, societies, opportunities, analytics, governance, and the complete SkillLinkr opportunity network from one place.</w:t>
      </w:r>
    </w:p>
    <w:p>
      <w:r>
        <w:br w:type="page"/>
      </w:r>
    </w:p>
    <w:p>
      <w:pPr>
        <w:pStyle w:val="Heading1"/>
      </w:pPr>
      <w:r>
        <w:t>10. Key Capabilities to Highlight Visually</w:t>
      </w:r>
    </w:p>
    <w:tbl>
      <w:tblPr>
        <w:tblW w:type="auto" w:w="0"/>
        <w:jc w:val="center"/>
        <w:tblLayout w:type="fixed"/>
        <w:tblLook w:firstColumn="1" w:firstRow="1" w:lastColumn="0" w:lastRow="0" w:noHBand="0" w:noVBand="1" w:val="04A0"/>
      </w:tblPr>
      <w:tblGrid>
        <w:gridCol w:w="4997"/>
        <w:gridCol w:w="4997"/>
      </w:tblGrid>
      <w:tr>
        <w:tc>
          <w:tcPr>
            <w:tcW w:type="dxa" w:w="4997"/>
            <w:shd w:fill="F0F3FF"/>
            <w:tcMar>
              <w:top w:w="110" w:type="dxa"/>
              <w:start w:w="130" w:type="dxa"/>
              <w:bottom w:w="110" w:type="dxa"/>
              <w:end w:w="130" w:type="dxa"/>
            </w:tcMar>
            <w:vAlign w:val="center"/>
          </w:tcPr>
          <w:p>
            <w:r>
              <w:rPr>
                <w:rFonts w:ascii="Aptos" w:hAnsi="Aptos"/>
                <w:b/>
                <w:color w:val="3C36B4"/>
                <w:sz w:val="20"/>
              </w:rPr>
              <w:t>Role-Based Access</w:t>
            </w:r>
          </w:p>
        </w:tc>
        <w:tc>
          <w:tcPr>
            <w:tcW w:type="dxa" w:w="4997"/>
            <w:shd w:fill="FAFBFD"/>
            <w:tcMar>
              <w:top w:w="110" w:type="dxa"/>
              <w:start w:w="130" w:type="dxa"/>
              <w:bottom w:w="110" w:type="dxa"/>
              <w:end w:w="130" w:type="dxa"/>
            </w:tcMar>
            <w:vAlign w:val="center"/>
          </w:tcPr>
          <w:p>
            <w:r>
              <w:rPr>
                <w:rFonts w:ascii="Aptos" w:hAnsi="Aptos"/>
                <w:color w:val="394252"/>
                <w:sz w:val="19"/>
              </w:rPr>
              <w:t>Three controlled portals with different responsibilities.</w:t>
            </w:r>
          </w:p>
        </w:tc>
      </w:tr>
      <w:tr>
        <w:tc>
          <w:tcPr>
            <w:tcW w:type="dxa" w:w="4997"/>
            <w:shd w:fill="F0F3FF"/>
            <w:tcMar>
              <w:top w:w="110" w:type="dxa"/>
              <w:start w:w="130" w:type="dxa"/>
              <w:bottom w:w="110" w:type="dxa"/>
              <w:end w:w="130" w:type="dxa"/>
            </w:tcMar>
            <w:vAlign w:val="center"/>
          </w:tcPr>
          <w:p>
            <w:r>
              <w:rPr>
                <w:rFonts w:ascii="Aptos" w:hAnsi="Aptos"/>
                <w:b/>
                <w:color w:val="3C36B4"/>
                <w:sz w:val="20"/>
              </w:rPr>
              <w:t>College Isolation</w:t>
            </w:r>
          </w:p>
        </w:tc>
        <w:tc>
          <w:tcPr>
            <w:tcW w:type="dxa" w:w="4997"/>
            <w:shd w:fill="FAFBFD"/>
            <w:tcMar>
              <w:top w:w="110" w:type="dxa"/>
              <w:start w:w="130" w:type="dxa"/>
              <w:bottom w:w="110" w:type="dxa"/>
              <w:end w:w="130" w:type="dxa"/>
            </w:tcMar>
            <w:vAlign w:val="center"/>
          </w:tcPr>
          <w:p>
            <w:r>
              <w:rPr>
                <w:rFonts w:ascii="Aptos" w:hAnsi="Aptos"/>
                <w:color w:val="394252"/>
                <w:sz w:val="19"/>
              </w:rPr>
              <w:t>Ambassadors manage only the colleges assigned to them.</w:t>
            </w:r>
          </w:p>
        </w:tc>
      </w:tr>
      <w:tr>
        <w:tc>
          <w:tcPr>
            <w:tcW w:type="dxa" w:w="4997"/>
            <w:shd w:fill="F0F3FF"/>
            <w:tcMar>
              <w:top w:w="110" w:type="dxa"/>
              <w:start w:w="130" w:type="dxa"/>
              <w:bottom w:w="110" w:type="dxa"/>
              <w:end w:w="130" w:type="dxa"/>
            </w:tcMar>
            <w:vAlign w:val="center"/>
          </w:tcPr>
          <w:p>
            <w:r>
              <w:rPr>
                <w:rFonts w:ascii="Aptos" w:hAnsi="Aptos"/>
                <w:b/>
                <w:color w:val="3C36B4"/>
                <w:sz w:val="20"/>
              </w:rPr>
              <w:t>Society Submission</w:t>
            </w:r>
          </w:p>
        </w:tc>
        <w:tc>
          <w:tcPr>
            <w:tcW w:type="dxa" w:w="4997"/>
            <w:shd w:fill="FAFBFD"/>
            <w:tcMar>
              <w:top w:w="110" w:type="dxa"/>
              <w:start w:w="130" w:type="dxa"/>
              <w:bottom w:w="110" w:type="dxa"/>
              <w:end w:w="130" w:type="dxa"/>
            </w:tcMar>
            <w:vAlign w:val="center"/>
          </w:tcPr>
          <w:p>
            <w:r>
              <w:rPr>
                <w:rFonts w:ascii="Aptos" w:hAnsi="Aptos"/>
                <w:color w:val="394252"/>
                <w:sz w:val="19"/>
              </w:rPr>
              <w:t>Guided opportunity creation with complete event/opportunity details.</w:t>
            </w:r>
          </w:p>
        </w:tc>
      </w:tr>
      <w:tr>
        <w:tc>
          <w:tcPr>
            <w:tcW w:type="dxa" w:w="4997"/>
            <w:shd w:fill="F0F3FF"/>
            <w:tcMar>
              <w:top w:w="110" w:type="dxa"/>
              <w:start w:w="130" w:type="dxa"/>
              <w:bottom w:w="110" w:type="dxa"/>
              <w:end w:w="130" w:type="dxa"/>
            </w:tcMar>
            <w:vAlign w:val="center"/>
          </w:tcPr>
          <w:p>
            <w:r>
              <w:rPr>
                <w:rFonts w:ascii="Aptos" w:hAnsi="Aptos"/>
                <w:b/>
                <w:color w:val="3C36B4"/>
                <w:sz w:val="20"/>
              </w:rPr>
              <w:t>Review Workflow</w:t>
            </w:r>
          </w:p>
        </w:tc>
        <w:tc>
          <w:tcPr>
            <w:tcW w:type="dxa" w:w="4997"/>
            <w:shd w:fill="FAFBFD"/>
            <w:tcMar>
              <w:top w:w="110" w:type="dxa"/>
              <w:start w:w="130" w:type="dxa"/>
              <w:bottom w:w="110" w:type="dxa"/>
              <w:end w:w="130" w:type="dxa"/>
            </w:tcMar>
            <w:vAlign w:val="center"/>
          </w:tcPr>
          <w:p>
            <w:r>
              <w:rPr>
                <w:rFonts w:ascii="Aptos" w:hAnsi="Aptos"/>
                <w:color w:val="394252"/>
                <w:sz w:val="19"/>
              </w:rPr>
              <w:t>Approve, reject, or request corrections before publication.</w:t>
            </w:r>
          </w:p>
        </w:tc>
      </w:tr>
      <w:tr>
        <w:tc>
          <w:tcPr>
            <w:tcW w:type="dxa" w:w="4997"/>
            <w:shd w:fill="F0F3FF"/>
            <w:tcMar>
              <w:top w:w="110" w:type="dxa"/>
              <w:start w:w="130" w:type="dxa"/>
              <w:bottom w:w="110" w:type="dxa"/>
              <w:end w:w="130" w:type="dxa"/>
            </w:tcMar>
            <w:vAlign w:val="center"/>
          </w:tcPr>
          <w:p>
            <w:r>
              <w:rPr>
                <w:rFonts w:ascii="Aptos" w:hAnsi="Aptos"/>
                <w:b/>
                <w:color w:val="3C36B4"/>
                <w:sz w:val="20"/>
              </w:rPr>
              <w:t>Automatic Publish</w:t>
            </w:r>
          </w:p>
        </w:tc>
        <w:tc>
          <w:tcPr>
            <w:tcW w:type="dxa" w:w="4997"/>
            <w:shd w:fill="FAFBFD"/>
            <w:tcMar>
              <w:top w:w="110" w:type="dxa"/>
              <w:start w:w="130" w:type="dxa"/>
              <w:bottom w:w="110" w:type="dxa"/>
              <w:end w:w="130" w:type="dxa"/>
            </w:tcMar>
            <w:vAlign w:val="center"/>
          </w:tcPr>
          <w:p>
            <w:r>
              <w:rPr>
                <w:rFonts w:ascii="Aptos" w:hAnsi="Aptos"/>
                <w:color w:val="394252"/>
                <w:sz w:val="19"/>
              </w:rPr>
              <w:t>Valid same-college Ambassador approval can publish directly.</w:t>
            </w:r>
          </w:p>
        </w:tc>
      </w:tr>
      <w:tr>
        <w:tc>
          <w:tcPr>
            <w:tcW w:type="dxa" w:w="4997"/>
            <w:shd w:fill="F0F3FF"/>
            <w:tcMar>
              <w:top w:w="110" w:type="dxa"/>
              <w:start w:w="130" w:type="dxa"/>
              <w:bottom w:w="110" w:type="dxa"/>
              <w:end w:w="130" w:type="dxa"/>
            </w:tcMar>
            <w:vAlign w:val="center"/>
          </w:tcPr>
          <w:p>
            <w:r>
              <w:rPr>
                <w:rFonts w:ascii="Aptos" w:hAnsi="Aptos"/>
                <w:b/>
                <w:color w:val="3C36B4"/>
                <w:sz w:val="20"/>
              </w:rPr>
              <w:t>Status Tracking</w:t>
            </w:r>
          </w:p>
        </w:tc>
        <w:tc>
          <w:tcPr>
            <w:tcW w:type="dxa" w:w="4997"/>
            <w:shd w:fill="FAFBFD"/>
            <w:tcMar>
              <w:top w:w="110" w:type="dxa"/>
              <w:start w:w="130" w:type="dxa"/>
              <w:bottom w:w="110" w:type="dxa"/>
              <w:end w:w="130" w:type="dxa"/>
            </w:tcMar>
            <w:vAlign w:val="center"/>
          </w:tcPr>
          <w:p>
            <w:r>
              <w:rPr>
                <w:rFonts w:ascii="Aptos" w:hAnsi="Aptos"/>
                <w:color w:val="394252"/>
                <w:sz w:val="19"/>
              </w:rPr>
              <w:t>Societies can follow the full lifecycle of their submissions.</w:t>
            </w:r>
          </w:p>
        </w:tc>
      </w:tr>
      <w:tr>
        <w:tc>
          <w:tcPr>
            <w:tcW w:type="dxa" w:w="4997"/>
            <w:shd w:fill="F0F3FF"/>
            <w:tcMar>
              <w:top w:w="110" w:type="dxa"/>
              <w:start w:w="130" w:type="dxa"/>
              <w:bottom w:w="110" w:type="dxa"/>
              <w:end w:w="130" w:type="dxa"/>
            </w:tcMar>
            <w:vAlign w:val="center"/>
          </w:tcPr>
          <w:p>
            <w:r>
              <w:rPr>
                <w:rFonts w:ascii="Aptos" w:hAnsi="Aptos"/>
                <w:b/>
                <w:color w:val="3C36B4"/>
                <w:sz w:val="20"/>
              </w:rPr>
              <w:t>Notifications</w:t>
            </w:r>
          </w:p>
        </w:tc>
        <w:tc>
          <w:tcPr>
            <w:tcW w:type="dxa" w:w="4997"/>
            <w:shd w:fill="FAFBFD"/>
            <w:tcMar>
              <w:top w:w="110" w:type="dxa"/>
              <w:start w:w="130" w:type="dxa"/>
              <w:bottom w:w="110" w:type="dxa"/>
              <w:end w:w="130" w:type="dxa"/>
            </w:tcMar>
            <w:vAlign w:val="center"/>
          </w:tcPr>
          <w:p>
            <w:r>
              <w:rPr>
                <w:rFonts w:ascii="Aptos" w:hAnsi="Aptos"/>
                <w:color w:val="394252"/>
                <w:sz w:val="19"/>
              </w:rPr>
              <w:t>Important submission, correction, approval, rejection, and publication events can be surfaced.</w:t>
            </w:r>
          </w:p>
        </w:tc>
      </w:tr>
      <w:tr>
        <w:tc>
          <w:tcPr>
            <w:tcW w:type="dxa" w:w="4997"/>
            <w:shd w:fill="F0F3FF"/>
            <w:tcMar>
              <w:top w:w="110" w:type="dxa"/>
              <w:start w:w="130" w:type="dxa"/>
              <w:bottom w:w="110" w:type="dxa"/>
              <w:end w:w="130" w:type="dxa"/>
            </w:tcMar>
            <w:vAlign w:val="center"/>
          </w:tcPr>
          <w:p>
            <w:r>
              <w:rPr>
                <w:rFonts w:ascii="Aptos" w:hAnsi="Aptos"/>
                <w:b/>
                <w:color w:val="3C36B4"/>
                <w:sz w:val="20"/>
              </w:rPr>
              <w:t>Auditability</w:t>
            </w:r>
          </w:p>
        </w:tc>
        <w:tc>
          <w:tcPr>
            <w:tcW w:type="dxa" w:w="4997"/>
            <w:shd w:fill="FAFBFD"/>
            <w:tcMar>
              <w:top w:w="110" w:type="dxa"/>
              <w:start w:w="130" w:type="dxa"/>
              <w:bottom w:w="110" w:type="dxa"/>
              <w:end w:w="130" w:type="dxa"/>
            </w:tcMar>
            <w:vAlign w:val="center"/>
          </w:tcPr>
          <w:p>
            <w:r>
              <w:rPr>
                <w:rFonts w:ascii="Aptos" w:hAnsi="Aptos"/>
                <w:color w:val="394252"/>
                <w:sz w:val="19"/>
              </w:rPr>
              <w:t>Critical actions and status changes can be preserved for accountability.</w:t>
            </w:r>
          </w:p>
        </w:tc>
      </w:tr>
      <w:tr>
        <w:tc>
          <w:tcPr>
            <w:tcW w:type="dxa" w:w="4997"/>
            <w:shd w:fill="F0F3FF"/>
            <w:tcMar>
              <w:top w:w="110" w:type="dxa"/>
              <w:start w:w="130" w:type="dxa"/>
              <w:bottom w:w="110" w:type="dxa"/>
              <w:end w:w="130" w:type="dxa"/>
            </w:tcMar>
            <w:vAlign w:val="center"/>
          </w:tcPr>
          <w:p>
            <w:r>
              <w:rPr>
                <w:rFonts w:ascii="Aptos" w:hAnsi="Aptos"/>
                <w:b/>
                <w:color w:val="3C36B4"/>
                <w:sz w:val="20"/>
              </w:rPr>
              <w:t>Public Opportunity Feed</w:t>
            </w:r>
          </w:p>
        </w:tc>
        <w:tc>
          <w:tcPr>
            <w:tcW w:type="dxa" w:w="4997"/>
            <w:shd w:fill="FAFBFD"/>
            <w:tcMar>
              <w:top w:w="110" w:type="dxa"/>
              <w:start w:w="130" w:type="dxa"/>
              <w:bottom w:w="110" w:type="dxa"/>
              <w:end w:w="130" w:type="dxa"/>
            </w:tcMar>
            <w:vAlign w:val="center"/>
          </w:tcPr>
          <w:p>
            <w:r>
              <w:rPr>
                <w:rFonts w:ascii="Aptos" w:hAnsi="Aptos"/>
                <w:color w:val="394252"/>
                <w:sz w:val="19"/>
              </w:rPr>
              <w:t>Only published/live opportunity data should reach the student-facing SkillLinkr experience.</w:t>
            </w:r>
          </w:p>
        </w:tc>
      </w:tr>
      <w:tr>
        <w:tc>
          <w:tcPr>
            <w:tcW w:type="dxa" w:w="4997"/>
            <w:shd w:fill="F0F3FF"/>
            <w:tcMar>
              <w:top w:w="110" w:type="dxa"/>
              <w:start w:w="130" w:type="dxa"/>
              <w:bottom w:w="110" w:type="dxa"/>
              <w:end w:w="130" w:type="dxa"/>
            </w:tcMar>
            <w:vAlign w:val="center"/>
          </w:tcPr>
          <w:p>
            <w:r>
              <w:rPr>
                <w:rFonts w:ascii="Aptos" w:hAnsi="Aptos"/>
                <w:b/>
                <w:color w:val="3C36B4"/>
                <w:sz w:val="20"/>
              </w:rPr>
              <w:t>Scalable College Network</w:t>
            </w:r>
          </w:p>
        </w:tc>
        <w:tc>
          <w:tcPr>
            <w:tcW w:type="dxa" w:w="4997"/>
            <w:shd w:fill="FAFBFD"/>
            <w:tcMar>
              <w:top w:w="110" w:type="dxa"/>
              <w:start w:w="130" w:type="dxa"/>
              <w:bottom w:w="110" w:type="dxa"/>
              <w:end w:w="130" w:type="dxa"/>
            </w:tcMar>
            <w:vAlign w:val="center"/>
          </w:tcPr>
          <w:p>
            <w:r>
              <w:rPr>
                <w:rFonts w:ascii="Aptos" w:hAnsi="Aptos"/>
                <w:color w:val="394252"/>
                <w:sz w:val="19"/>
              </w:rPr>
              <w:t>Designed to expand across many colleges without centralizing every review with Admin.</w:t>
            </w:r>
          </w:p>
        </w:tc>
      </w:tr>
    </w:tbl>
    <w:p>
      <w:pPr>
        <w:pStyle w:val="Heading1"/>
      </w:pPr>
      <w:r>
        <w:t>11. Product Positioning in One Paragraph</w:t>
      </w:r>
    </w:p>
    <w:p>
      <w:r>
        <w:rPr>
          <w:rFonts w:ascii="Aptos" w:hAnsi="Aptos"/>
          <w:b/>
          <w:color w:val="1C2237"/>
          <w:sz w:val="23"/>
        </w:rPr>
        <w:t xml:space="preserve">SkillLinkr OMS is the operational backbone for campus opportunities. </w:t>
      </w:r>
      <w:r>
        <w:rPr>
          <w:rFonts w:ascii="Aptos" w:hAnsi="Aptos"/>
          <w:color w:val="303948"/>
          <w:sz w:val="22"/>
        </w:rPr>
        <w:t>It gives societies an easy publishing workflow, Campus Ambassadors a college-specific verification system, and Admins a scalable governance layer. The result is a cleaner and more trustworthy opportunity ecosystem where approved campus opportunities can move from the organization that creates them to the students who need them—without relying on scattered messages, manual forwarding, or uncontrolled publishing.</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28896"/>
        <w:sz w:val="17"/>
      </w:rPr>
      <w:t>SkillLinkr Opportunity Management System • Product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4D46E5"/>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976D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2237"/>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