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p>
    <w:p>
      <w:pPr>
        <w:numPr>
          <w:ilvl w:val="0"/>
          <w:numId w:val="1005"/>
        </w:numPr>
        <w:pStyle w:val="Compact"/>
      </w:pPr>
      <w:r>
        <w:t xml:space="preserve">TIP: Bookmark this page so that you can easily access it throughout the course.</w:t>
      </w:r>
    </w:p>
    <w:p>
      <w:pPr>
        <w:numPr>
          <w:ilvl w:val="0"/>
          <w:numId w:val="1006"/>
        </w:numPr>
        <w:pStyle w:val="Compact"/>
      </w:pPr>
      <w:r>
        <w:t xml:space="preserve">Click</w:t>
      </w:r>
      <w:r>
        <w:t xml:space="preserve"> </w:t>
      </w:r>
      <w:r>
        <w:t xml:space="preserve">“</w:t>
      </w:r>
      <w:r>
        <w:rPr>
          <w:bCs/>
          <w:b/>
        </w:rPr>
        <w:t xml:space="preserve">Login to Sciserver</w:t>
      </w:r>
      <w:r>
        <w:t xml:space="preserve">”</w:t>
      </w:r>
    </w:p>
    <w:p>
      <w:pPr>
        <w:numPr>
          <w:ilvl w:val="0"/>
          <w:numId w:val="1006"/>
        </w:numPr>
        <w:pStyle w:val="Compact"/>
      </w:pPr>
      <w:r>
        <w:t xml:space="preserve">Click</w:t>
      </w:r>
      <w:r>
        <w:t xml:space="preserve"> </w:t>
      </w:r>
      <w:r>
        <w:t xml:space="preserve">“</w:t>
      </w:r>
      <w:r>
        <w:rPr>
          <w:bCs/>
          <w:b/>
        </w:rPr>
        <w:t xml:space="preserve">Create a new account</w:t>
      </w:r>
      <w:r>
        <w:t xml:space="preserve">”</w:t>
      </w:r>
    </w:p>
    <w:p>
      <w:pPr>
        <w:numPr>
          <w:ilvl w:val="0"/>
          <w:numId w:val="1006"/>
        </w:numPr>
        <w:pStyle w:val="Compact"/>
      </w:pPr>
      <w:r>
        <w:t xml:space="preserve">Enter a username, email, etc. and click</w:t>
      </w:r>
      <w:r>
        <w:t xml:space="preserve"> </w:t>
      </w:r>
      <w:r>
        <w:t xml:space="preserve">“</w:t>
      </w:r>
      <w:r>
        <w:rPr>
          <w:bCs/>
          <w:b/>
        </w:rPr>
        <w:t xml:space="preserve">Create account</w:t>
      </w:r>
      <w:r>
        <w:t xml:space="preserve">”</w:t>
      </w:r>
    </w:p>
    <w:p>
      <w:pPr>
        <w:numPr>
          <w:ilvl w:val="0"/>
          <w:numId w:val="1007"/>
        </w:numPr>
        <w:pStyle w:val="Compact"/>
      </w:pP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8"/>
        </w:numPr>
        <w:pStyle w:val="Compact"/>
      </w:pPr>
      <w:r>
        <w:rPr>
          <w:bCs/>
          <w:b/>
        </w:rPr>
        <w:t xml:space="preserve">Important!</w:t>
      </w:r>
      <w:r>
        <w:t xml:space="preserve">: Click the verification link in your email inbox.</w:t>
      </w:r>
    </w:p>
    <w:p>
      <w:pPr>
        <w:numPr>
          <w:ilvl w:val="0"/>
          <w:numId w:val="1009"/>
        </w:numPr>
        <w:pStyle w:val="Compact"/>
      </w:pPr>
      <w:r>
        <w:t xml:space="preserve">If you don’t verify your account, you will get locked out and will need to contact your instructor to unlock your account.</w:t>
      </w:r>
    </w:p>
    <w:p>
      <w:pPr>
        <w:numPr>
          <w:ilvl w:val="0"/>
          <w:numId w:val="1009"/>
        </w:numPr>
        <w:pStyle w:val="Compact"/>
      </w:pPr>
      <w:r>
        <w:t xml:space="preserve">If you don’t see an email, try checking your spam folder.</w:t>
      </w:r>
    </w:p>
    <w:p>
      <w:pPr>
        <w:numPr>
          <w:ilvl w:val="0"/>
          <w:numId w:val="1010"/>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11"/>
        </w:numPr>
        <w:pStyle w:val="Compact"/>
      </w:pPr>
      <w:r>
        <w:t xml:space="preserve">Confirm access to STAC Administrators Group</w:t>
      </w:r>
    </w:p>
    <w:p>
      <w:pPr>
        <w:numPr>
          <w:ilvl w:val="0"/>
          <w:numId w:val="1011"/>
        </w:numPr>
        <w:pStyle w:val="Compact"/>
      </w:pPr>
      <w:r>
        <w:t xml:space="preserve">Launch cellxgene</w:t>
      </w:r>
    </w:p>
    <w:p>
      <w:pPr>
        <w:numPr>
          <w:ilvl w:val="0"/>
          <w:numId w:val="1011"/>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12"/>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12"/>
        </w:numPr>
        <w:pStyle w:val="Compact"/>
      </w:pPr>
      <w:r>
        <w:t xml:space="preserve">Log in with the SciServer account you created in Part 1.</w:t>
      </w:r>
    </w:p>
    <w:p>
      <w:pPr>
        <w:numPr>
          <w:ilvl w:val="0"/>
          <w:numId w:val="1012"/>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12"/>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13"/>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13"/>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3"/>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3"/>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13"/>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14"/>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14"/>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4"/>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4"/>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14"/>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about-the-authors"/>
    <w:p>
      <w:pPr>
        <w:pStyle w:val="Heading1"/>
      </w:pPr>
      <w:r>
        <w:t xml:space="preserve">About the Authors</w:t>
      </w:r>
    </w:p>
    <w:p>
      <w:pPr>
        <w:pStyle w:val="FirstParagraph"/>
      </w:pPr>
      <w:r>
        <w:t xml:space="preserve">These credits are based on our</w:t>
      </w:r>
      <w:r>
        <w:t xml:space="preserve"> </w:t>
      </w:r>
      <w:hyperlink r:id="rId4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r>
              <w:t xml:space="preserve">,</w:t>
            </w:r>
            <w:r>
              <w:t xml:space="preserve"> </w:t>
            </w:r>
            <w:hyperlink r:id="rId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0">
              <w:r>
                <w:rPr>
                  <w:rStyle w:val="Hyperlink"/>
                </w:rPr>
                <w:t xml:space="preserve">Carrie Wright</w:t>
              </w:r>
            </w:hyperlink>
            <w:r>
              <w:t xml:space="preserve">,</w:t>
            </w:r>
            <w:r>
              <w:t xml:space="preserve"> </w:t>
            </w:r>
            <w:hyperlink r:id="rId51">
              <w:r>
                <w:rPr>
                  <w:rStyle w:val="Hyperlink"/>
                </w:rPr>
                <w:t xml:space="preserve">Ava Hoffman</w:t>
              </w:r>
            </w:hyperlink>
            <w:r>
              <w:t xml:space="preserve">,</w:t>
            </w:r>
            <w:r>
              <w:t xml:space="preserve"> </w:t>
            </w:r>
            <w:hyperlink r:id="rId49">
              <w:r>
                <w:rPr>
                  <w:rStyle w:val="Hyperlink"/>
                </w:rPr>
                <w:t xml:space="preserve">Candace Savonen</w:t>
              </w:r>
            </w:hyperlink>
          </w:p>
        </w:tc>
      </w:tr>
      <w:tr>
        <w:tc>
          <w:tcPr/>
          <w:p>
            <w:pPr>
              <w:pStyle w:val="Compact"/>
              <w:jc w:val="left"/>
            </w:pPr>
            <w:r>
              <w:t xml:space="preserve">Package Developers (</w:t>
            </w:r>
            <w:hyperlink r:id="rId52">
              <w:r>
                <w:rPr>
                  <w:rStyle w:val="Hyperlink"/>
                </w:rPr>
                <w:t xml:space="preserve">ottrpal</w:t>
              </w:r>
            </w:hyperlink>
            <w:r>
              <w:t xml:space="preserve">)</w:t>
            </w:r>
            <w:r>
              <w:t xml:space="preserve"> </w:t>
            </w:r>
            <w:hyperlink r:id="rId49">
              <w:r>
                <w:rPr>
                  <w:rStyle w:val="Hyperlink"/>
                </w:rPr>
                <w:t xml:space="preserve">Candace Savonen</w:t>
              </w:r>
            </w:hyperlink>
            <w:r>
              <w:t xml:space="preserve">,</w:t>
            </w:r>
            <w:r>
              <w:t xml:space="preserve"> </w:t>
            </w:r>
            <w:hyperlink r:id="rId53">
              <w:r>
                <w:rPr>
                  <w:rStyle w:val="Hyperlink"/>
                </w:rPr>
                <w:t xml:space="preserve">John Muschelli</w:t>
              </w:r>
            </w:hyperlink>
            <w:r>
              <w:t xml:space="preserve">,</w:t>
            </w:r>
            <w:r>
              <w:t xml:space="preserve"> </w:t>
            </w:r>
            <w:hyperlink r:id="rId5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4"/>
    <w:bookmarkStart w:id="55" w:name="references-1"/>
    <w:p>
      <w:pPr>
        <w:pStyle w:val="Heading1"/>
      </w:pPr>
      <w:r>
        <w:rPr>
          <w:rStyle w:val="SectionNumber"/>
        </w:rPr>
        <w:t xml:space="preserve">4</w:t>
      </w:r>
      <w:r>
        <w:tab/>
      </w:r>
      <w:r>
        <w:t xml:space="preserve">References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8" Target="link%20to%20personal%20website" TargetMode="External" /><Relationship Type="http://schemas.openxmlformats.org/officeDocument/2006/relationships/hyperlink" Id="rId32" Target="sciserver.org"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8" Target="link%20to%20personal%20website" TargetMode="External" /><Relationship Type="http://schemas.openxmlformats.org/officeDocument/2006/relationships/hyperlink" Id="rId32" Target="sciser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2023-06-30T16:24:24Z</dcterms:created>
  <dcterms:modified xsi:type="dcterms:W3CDTF">2023-06-30T16:24:24Z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