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turnos para lavadero</w:t>
      </w:r>
    </w:p>
    <w:p>
      <w:pPr>
        <w:pStyle w:val="Subtitle"/>
      </w:pPr>
      <w:r>
        <w:t>Actores alcance y casos de uso</w:t>
      </w:r>
    </w:p>
    <w:p>
      <w:r>
        <w:t>Grupo 9 · Tomás Martín Ponce y Juan Jesús Baigorria</w:t>
        <w:br/>
        <w:t>Prácticas Profesionalizantes I · TSDS · 2026</w:t>
      </w:r>
    </w:p>
    <w:p>
      <w:r>
        <w:t>Este documento resume el alcance y los trece casos de uso del sistema. Las especificaciones detalladas, los contratos HTTP y las pruebas asociadas se encuentran en los archivos Markdown de Documentos/Entregas TP.</w:t>
      </w:r>
    </w:p>
    <w:p>
      <w:pPr>
        <w:pStyle w:val="Heading1"/>
      </w:pPr>
      <w:r>
        <w:t>Actores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c>
          <w:tcPr>
            <w:tcW w:type="dxa" w:w="1872"/>
            <w:vAlign w:val="center"/>
            <w:shd w:fill="E7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type="dxa" w:w="8064"/>
            <w:vAlign w:val="center"/>
            <w:shd w:fill="E7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Responsabilidades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Registrarse e iniciar sesión. Consultar servicios, disponibilidad y turnos propios. Solicitar, modificar y cancelar sus turnos. Actualizar sus datos y preferencias.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Empleado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Gestionar clientes y turnos de cualquier cliente y consultar la agenda diaria.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Administrador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Realizar las operaciones del empleado, administrar servicios e importes y ejecutar manualmente el procesamiento de recordatorios.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Proceso programado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Procesar periódicamente los recordatorios de turnos futuros, sin una acción del cliente.</w:t>
            </w:r>
          </w:p>
        </w:tc>
      </w:tr>
    </w:tbl>
    <w:p/>
    <w:p>
      <w:pPr>
        <w:pStyle w:val="Heading1"/>
      </w:pPr>
      <w:r>
        <w:t>Entidades y alcance</w:t>
      </w:r>
    </w:p>
    <w:p>
      <w:r>
        <w:t>Cliente, Servicio y Turno son las entidades principales. Usuario permite autenticar y asignar roles; Recordatorio registra el resultado de cada intento. Los vehículos no se administran como entidad independiente en esta versión.</w:t>
      </w:r>
    </w:p>
    <w:p>
      <w:pPr>
        <w:pStyle w:val="Heading1"/>
      </w:pPr>
      <w:r>
        <w:t>Recordatorios</w:t>
      </w:r>
    </w:p>
    <w:p>
      <w:r>
        <w:t>El envío se realiza por correo electrónico mediante SMTP. La ejecución automática requiere configurar el proveedor y habilitar Recordatorios:Habilitados. La ventana predeterminada es de 24 horas y se revisa cada 5 minutos. Se registran envíos, fallos y omisiones; un intento procesado no se repite. SMS queda fuera de esta versión.</w:t>
      </w:r>
    </w:p>
    <w:p>
      <w:r>
        <w:br w:type="page"/>
      </w:r>
    </w:p>
    <w:p>
      <w:pPr>
        <w:pStyle w:val="Heading1"/>
      </w:pPr>
      <w:r>
        <w:t>Índice de casos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4392"/>
      </w:tblGrid>
      <w:tr>
        <w:tc>
          <w:tcPr>
            <w:tcW w:type="dxa" w:w="936"/>
            <w:vAlign w:val="center"/>
            <w:shd w:fill="E7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608"/>
            <w:vAlign w:val="center"/>
            <w:shd w:fill="E7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Caso de uso</w:t>
            </w:r>
          </w:p>
        </w:tc>
        <w:tc>
          <w:tcPr>
            <w:tcW w:type="dxa" w:w="4392"/>
            <w:vAlign w:val="center"/>
            <w:shd w:fill="E7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20"/>
              </w:rPr>
              <w:t>Actor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Solicitar Turno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CU-02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Procesar Recordatorios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Proceso programado o Administrador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Crear Turno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Empleado o Administrador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CU-04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Modificar Turno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 o Personal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Cancelar Turno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 o Personal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CU-06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Gestionar Servicios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Administrador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Registrar Cliente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Persona que desea registrarse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CU-08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Iniciar Sesión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 o Personal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CU-09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Consultar Disponibilidad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 o Personal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CU-10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Consultar Turnos Propios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CU-11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Consultar Agenda Diaria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Empleado o Administrador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CU-12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Gestionar Clientes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Personal y Cliente propietario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CU-13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Consultar Servicios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Cliente o Personal</w:t>
            </w:r>
          </w:p>
        </w:tc>
      </w:tr>
    </w:tbl>
    <w:p/>
    <w:p>
      <w:pPr>
        <w:pStyle w:val="Heading1"/>
      </w:pPr>
      <w:r>
        <w:t>Reglas comunes</w:t>
      </w:r>
    </w:p>
    <w:p>
      <w:r>
        <w:t>Los turnos deben ser futuros y no compartir fecha y hora con otro turno confirmado. Cada turno referencia un cliente existente y un servicio activo. Solo se modifican o cancelan turnos confirmados y futuros. Los clientes operan exclusivamente sobre sus propios turnos.</w:t>
      </w:r>
    </w:p>
    <w:p>
      <w:r>
        <w:t>El administrador gestiona servicios con nombres únicos e importes positivos. Un servicio relacionado con turnos no se elimina. Los avisos respetan las preferencias de notificación y requieren un correo válido.</w:t>
      </w:r>
    </w:p>
    <w:p>
      <w:pPr>
        <w:pStyle w:val="Heading1"/>
      </w:pPr>
      <w:r>
        <w:t>Documentación de referencia</w:t>
      </w:r>
    </w:p>
    <w:p>
      <w:r>
        <w:t>Consultar README.md, Alcance del Sistema.md, Reglas de Negocio.md y TRAZABILIDAD.md en Documentos/Entregas TP. Para ejecutar la API y configurar SMTP, consultar Documentos/GUIA-TECNICA.md y Documentos/RECORDATORIOS.md.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