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 exposición de F&amp;R</w:t>
      </w:r>
    </w:p>
    <w:p>
      <w:r>
        <w:rPr>
          <w:b/>
        </w:rPr>
        <w:t>Presentación ICES · 20 minutos formales + 10 minutos opcionales</w:t>
      </w:r>
    </w:p>
    <w:p>
      <w:r>
        <w:t>Este documento acompaña el PowerPoint y permite explicar F&amp;R con naturalidad. La ruta formal sigue el orden problema u oportunidad, solución, funcionamiento, funciones, calidad y cierre. La demostración del navegador está integrada en el tiempo de exposición. Las capturas recibidas son evidencia de pantallas reales; los casos de uso de la matriz se proponen para organizar la exposición porque el PDF no los identifica formalmente.</w:t>
      </w:r>
    </w:p>
    <w:p>
      <w:pPr>
        <w:pStyle w:val="Heading1"/>
      </w:pPr>
      <w:r>
        <w:t>Guion por diapositiva</w:t>
      </w:r>
    </w:p>
    <w:p>
      <w:pPr>
        <w:pStyle w:val="Heading2"/>
      </w:pPr>
      <w:r>
        <w:t>1. F&amp;R</w:t>
      </w:r>
    </w:p>
    <w:p>
      <w:r>
        <w:rPr>
          <w:b/>
        </w:rPr>
        <w:t xml:space="preserve">Tiempo </w:t>
      </w:r>
      <w:r>
        <w:t>1:00</w:t>
      </w:r>
    </w:p>
    <w:p>
      <w:r>
        <w:rPr>
          <w:b/>
        </w:rPr>
        <w:t xml:space="preserve">Idea para decir </w:t>
      </w:r>
      <w:r>
        <w:t>Presento F&amp;R, un proyecto académico de ICES para una tienda de indumentaria. Integra la experiencia de compra con herramientas para gestionar el catálogo.</w:t>
      </w:r>
    </w:p>
    <w:p>
      <w:r>
        <w:rPr>
          <w:b/>
        </w:rPr>
        <w:t xml:space="preserve">Qué mostrar </w:t>
      </w:r>
      <w:r>
        <w:t>Portada con la captura del catálogo.</w:t>
      </w:r>
    </w:p>
    <w:p>
      <w:r>
        <w:rPr>
          <w:b/>
        </w:rPr>
        <w:t xml:space="preserve">Enlace </w:t>
      </w:r>
      <w:r>
        <w:t>Pasar a la pregunta: ¿qué necesidad intenta resolver?</w:t>
      </w:r>
    </w:p>
    <w:p>
      <w:pPr>
        <w:pStyle w:val="Heading2"/>
      </w:pPr>
      <w:r>
        <w:t>2. Problema y oportunidad</w:t>
      </w:r>
    </w:p>
    <w:p>
      <w:r>
        <w:rPr>
          <w:b/>
        </w:rPr>
        <w:t xml:space="preserve">Tiempo </w:t>
      </w:r>
      <w:r>
        <w:t>1:30</w:t>
      </w:r>
    </w:p>
    <w:p>
      <w:r>
        <w:rPr>
          <w:b/>
        </w:rPr>
        <w:t xml:space="preserve">Idea para decir </w:t>
      </w:r>
      <w:r>
        <w:t>La documentación parte de una tienda que quiere ampliar su alcance con presencia web, pero necesita organizar productos, pedidos y stock. F&amp;R responde a esa oportunidad con una plataforma para consultar y comprar prendas.</w:t>
      </w:r>
    </w:p>
    <w:p>
      <w:r>
        <w:rPr>
          <w:b/>
        </w:rPr>
        <w:t xml:space="preserve">Qué mostrar </w:t>
      </w:r>
      <w:r>
        <w:t>Solo diapositiva. No afirmar cifras de mercado.</w:t>
      </w:r>
    </w:p>
    <w:p>
      <w:r>
        <w:rPr>
          <w:b/>
        </w:rPr>
        <w:t xml:space="preserve">Enlace </w:t>
      </w:r>
      <w:r>
        <w:t>Presentar la solución concreta.</w:t>
      </w:r>
    </w:p>
    <w:p>
      <w:pPr>
        <w:pStyle w:val="Heading2"/>
      </w:pPr>
      <w:r>
        <w:t>3. Solución</w:t>
      </w:r>
    </w:p>
    <w:p>
      <w:r>
        <w:rPr>
          <w:b/>
        </w:rPr>
        <w:t xml:space="preserve">Tiempo </w:t>
      </w:r>
      <w:r>
        <w:t>1:00</w:t>
      </w:r>
    </w:p>
    <w:p>
      <w:r>
        <w:rPr>
          <w:b/>
        </w:rPr>
        <w:t xml:space="preserve">Idea para decir </w:t>
      </w:r>
      <w:r>
        <w:t>Para el cliente, el flujo empieza en el catálogo y continúa con selección y carrito. Para quien administra, hay una pantalla de gestión que mantiene los productos. La captura muestra la interfaz real.</w:t>
      </w:r>
    </w:p>
    <w:p>
      <w:r>
        <w:rPr>
          <w:b/>
        </w:rPr>
        <w:t xml:space="preserve">Qué mostrar </w:t>
      </w:r>
      <w:r>
        <w:t>Captura de catálogo; indicar que la administración se ve en la demo posterior.</w:t>
      </w:r>
    </w:p>
    <w:p>
      <w:r>
        <w:rPr>
          <w:b/>
        </w:rPr>
        <w:t xml:space="preserve">Enlace </w:t>
      </w:r>
      <w:r>
        <w:t>Explicar qué componentes hacen posible ese recorrido.</w:t>
      </w:r>
    </w:p>
    <w:p>
      <w:pPr>
        <w:pStyle w:val="Heading2"/>
      </w:pPr>
      <w:r>
        <w:t>4. Cómo funciona</w:t>
      </w:r>
    </w:p>
    <w:p>
      <w:r>
        <w:rPr>
          <w:b/>
        </w:rPr>
        <w:t xml:space="preserve">Tiempo </w:t>
      </w:r>
      <w:r>
        <w:t>2:00</w:t>
      </w:r>
    </w:p>
    <w:p>
      <w:r>
        <w:rPr>
          <w:b/>
        </w:rPr>
        <w:t xml:space="preserve">Idea para decir </w:t>
      </w:r>
      <w:r>
        <w:t>La vista MVC/Razor muestra la interfaz. El frontend se comunica por HTTP con FYR-API, que organiza las operaciones mediante endpoints, servicios y repositorios. Entity Framework Core trabaja con SQL Server para persistir datos. Como ejemplo, el catálogo se consulta desde la API y se representa en el frontend.</w:t>
      </w:r>
    </w:p>
    <w:p>
      <w:r>
        <w:rPr>
          <w:b/>
        </w:rPr>
        <w:t xml:space="preserve">Qué mostrar </w:t>
      </w:r>
      <w:r>
        <w:t>Diagrama de arquitectura. Código opcional: HomeController.Catalogo o PedidoEndpoints/PedidoService.</w:t>
      </w:r>
    </w:p>
    <w:p>
      <w:r>
        <w:rPr>
          <w:b/>
        </w:rPr>
        <w:t xml:space="preserve">Enlace </w:t>
      </w:r>
      <w:r>
        <w:t>Vincular arquitectura con requisitos verificables.</w:t>
      </w:r>
    </w:p>
    <w:p>
      <w:pPr>
        <w:pStyle w:val="Heading2"/>
      </w:pPr>
      <w:r>
        <w:t>5. Funciones y casos 1–3</w:t>
      </w:r>
    </w:p>
    <w:p>
      <w:r>
        <w:rPr>
          <w:b/>
        </w:rPr>
        <w:t xml:space="preserve">Tiempo </w:t>
      </w:r>
      <w:r>
        <w:t>2:00</w:t>
      </w:r>
    </w:p>
    <w:p>
      <w:r>
        <w:rPr>
          <w:b/>
        </w:rPr>
        <w:t xml:space="preserve">Idea para decir </w:t>
      </w:r>
      <w:r>
        <w:t>Relaciono tres requerimientos del documento con actores y pantallas. El administrador gestiona productos; el cliente busca y filtra; el usuario inicia sesión y ve una navegación acorde al rol. Los casos de uso se proponen para esta presentación. En acceso por rol, aclaro que la separación de menús no prueba autorización completa en la API.</w:t>
      </w:r>
    </w:p>
    <w:p>
      <w:r>
        <w:rPr>
          <w:b/>
        </w:rPr>
        <w:t xml:space="preserve">Qué mostrar </w:t>
      </w:r>
      <w:r>
        <w:t>Capturas/tabla. La demo de catálogo y productos viene después.</w:t>
      </w:r>
    </w:p>
    <w:p>
      <w:r>
        <w:rPr>
          <w:b/>
        </w:rPr>
        <w:t xml:space="preserve">Enlace </w:t>
      </w:r>
      <w:r>
        <w:t>Seguir con compra e historial.</w:t>
      </w:r>
    </w:p>
    <w:p>
      <w:pPr>
        <w:pStyle w:val="Heading2"/>
      </w:pPr>
      <w:r>
        <w:t>6. Funciones y casos 4–5</w:t>
      </w:r>
    </w:p>
    <w:p>
      <w:r>
        <w:rPr>
          <w:b/>
        </w:rPr>
        <w:t xml:space="preserve">Tiempo </w:t>
      </w:r>
      <w:r>
        <w:t>2:00</w:t>
      </w:r>
    </w:p>
    <w:p>
      <w:r>
        <w:rPr>
          <w:b/>
        </w:rPr>
        <w:t xml:space="preserve">Idea para decir </w:t>
      </w:r>
      <w:r>
        <w:t>El cliente agrega artículos, ajusta cantidades y genera un pedido. Después puede consultar la compra y sus datos. El pago actual es simulado, por eso no lo presento como integración bancaria. Los estados que muestra la interfaz no prueban seguimiento con una empresa logística externa.</w:t>
      </w:r>
    </w:p>
    <w:p>
      <w:r>
        <w:rPr>
          <w:b/>
        </w:rPr>
        <w:t xml:space="preserve">Qué mostrar </w:t>
      </w:r>
      <w:r>
        <w:t>Capturas del carrito e historial.</w:t>
      </w:r>
    </w:p>
    <w:p>
      <w:r>
        <w:rPr>
          <w:b/>
        </w:rPr>
        <w:t xml:space="preserve">Enlace </w:t>
      </w:r>
      <w:r>
        <w:t>Pasar del esquema a la web para comprobarlo.</w:t>
      </w:r>
    </w:p>
    <w:p>
      <w:pPr>
        <w:pStyle w:val="Heading2"/>
      </w:pPr>
      <w:r>
        <w:t>7. Demo formal</w:t>
      </w:r>
    </w:p>
    <w:p>
      <w:r>
        <w:rPr>
          <w:b/>
        </w:rPr>
        <w:t xml:space="preserve">Tiempo </w:t>
      </w:r>
      <w:r>
        <w:t>5:00</w:t>
      </w:r>
    </w:p>
    <w:p>
      <w:r>
        <w:rPr>
          <w:b/>
        </w:rPr>
        <w:t xml:space="preserve">Idea para decir </w:t>
      </w:r>
      <w:r>
        <w:t>Muestro el recorrido en vivo. Primero filtro el catálogo, después entro al detalle y señalo talle, color, cantidad y stock. Agrego al carrito, verifico total y, si el entorno está listo, finalizo una compra de prueba y abro Mis compras. Cierro aclarando que el cobro es simulado.</w:t>
      </w:r>
    </w:p>
    <w:p>
      <w:r>
        <w:rPr>
          <w:b/>
        </w:rPr>
        <w:t xml:space="preserve">Qué mostrar </w:t>
      </w:r>
      <w:r>
        <w:t>Pasar de la diapositiva al navegador. Usar sesión de cliente y datos ficticios preparados previamente. Volver al PowerPoint al terminar.</w:t>
      </w:r>
    </w:p>
    <w:p>
      <w:r>
        <w:rPr>
          <w:b/>
        </w:rPr>
        <w:t xml:space="preserve">Enlace </w:t>
      </w:r>
      <w:r>
        <w:t>Mostrar la gestión interna y luego explicar los atributos de calidad.</w:t>
      </w:r>
    </w:p>
    <w:p>
      <w:pPr>
        <w:pStyle w:val="Heading2"/>
      </w:pPr>
      <w:r>
        <w:t>8. Gestión y calidad</w:t>
      </w:r>
    </w:p>
    <w:p>
      <w:r>
        <w:rPr>
          <w:b/>
        </w:rPr>
        <w:t xml:space="preserve">Tiempo </w:t>
      </w:r>
      <w:r>
        <w:t>2:30</w:t>
      </w:r>
    </w:p>
    <w:p>
      <w:r>
        <w:rPr>
          <w:b/>
        </w:rPr>
        <w:t xml:space="preserve">Idea para decir </w:t>
      </w:r>
      <w:r>
        <w:t>En el panel se ve gestión del catálogo. En calidad, distingo evidencia de promesa: BCrypt, HTTPS redirect y antiforgery aparecen en el código, pero la protección completa de la API no está confirmada. Bootstrap favorece la adaptación visual; accesibilidad requiere prueba. La separación por componentes y capas ayuda al mantenimiento. La persistencia usa API, EF Core y SQL Server. Rendimiento, backups y disponibilidad requieren trabajo y medición.</w:t>
      </w:r>
    </w:p>
    <w:p>
      <w:r>
        <w:rPr>
          <w:b/>
        </w:rPr>
        <w:t xml:space="preserve">Qué mostrar </w:t>
      </w:r>
      <w:r>
        <w:t>45 segundos de pantalla de administración; después slide. Opcional: AuthService y Program.cs.</w:t>
      </w:r>
    </w:p>
    <w:p>
      <w:r>
        <w:rPr>
          <w:b/>
        </w:rPr>
        <w:t xml:space="preserve">Enlace </w:t>
      </w:r>
      <w:r>
        <w:t>Cerrar con resultados alcanzados y evolución futura.</w:t>
      </w:r>
    </w:p>
    <w:p>
      <w:pPr>
        <w:pStyle w:val="Heading2"/>
      </w:pPr>
      <w:r>
        <w:t>9. Logros y mejoras</w:t>
      </w:r>
    </w:p>
    <w:p>
      <w:r>
        <w:rPr>
          <w:b/>
        </w:rPr>
        <w:t xml:space="preserve">Tiempo </w:t>
      </w:r>
      <w:r>
        <w:t>1:30</w:t>
      </w:r>
    </w:p>
    <w:p>
      <w:r>
        <w:rPr>
          <w:b/>
        </w:rPr>
        <w:t xml:space="preserve">Idea para decir </w:t>
      </w:r>
      <w:r>
        <w:t>Ya se puede demostrar catálogo filtrable, gestión de productos, carrito, pedido e historial. La documentación propone tabla de talles y más imágenes. También conviene completar pago real, autorización, aislamiento multiempresa, transacciones y pruebas. El proyecto resuelve un recorrido base y deja clara una agenda técnica para hacerlo más confiable.</w:t>
      </w:r>
    </w:p>
    <w:p>
      <w:r>
        <w:rPr>
          <w:b/>
        </w:rPr>
        <w:t xml:space="preserve">Qué mostrar </w:t>
      </w:r>
      <w:r>
        <w:t>PowerPoint. Preparar transición a preguntas.</w:t>
      </w:r>
    </w:p>
    <w:p>
      <w:r>
        <w:rPr>
          <w:b/>
        </w:rPr>
        <w:t xml:space="preserve">Enlace </w:t>
      </w:r>
      <w:r>
        <w:t>Agradecer y habilitar preguntas.</w:t>
      </w:r>
    </w:p>
    <w:p>
      <w:pPr>
        <w:pStyle w:val="Heading2"/>
      </w:pPr>
      <w:r>
        <w:t>10. Cierre</w:t>
      </w:r>
    </w:p>
    <w:p>
      <w:r>
        <w:rPr>
          <w:b/>
        </w:rPr>
        <w:t xml:space="preserve">Tiempo </w:t>
      </w:r>
      <w:r>
        <w:t>1:30</w:t>
      </w:r>
    </w:p>
    <w:p>
      <w:r>
        <w:rPr>
          <w:b/>
        </w:rPr>
        <w:t xml:space="preserve">Idea para decir </w:t>
      </w:r>
      <w:r>
        <w:t>Agradezco y pregunto qué parte del recorrido quieren revisar. La exposición formal termina aquí; los diez minutos restantes quedan para ampliar la demo y responder.</w:t>
      </w:r>
    </w:p>
    <w:p>
      <w:r>
        <w:rPr>
          <w:b/>
        </w:rPr>
        <w:t xml:space="preserve">Qué mostrar </w:t>
      </w:r>
      <w:r>
        <w:t>PowerPoint; luego navegador o código según preguntas.</w:t>
      </w:r>
    </w:p>
    <w:p>
      <w:r>
        <w:rPr>
          <w:b/>
        </w:rPr>
        <w:t xml:space="preserve">Enlace </w:t>
      </w:r>
      <w:r>
        <w:t>Fin de la exposición formal.</w:t>
      </w:r>
    </w:p>
    <w:p>
      <w:pPr>
        <w:pStyle w:val="Heading1"/>
      </w:pPr>
      <w:r>
        <w:t>Matriz resumida de contraste</w:t>
      </w:r>
    </w:p>
    <w:p>
      <w:r>
        <w:t>La comparación usa el PDF de requerimientos (incluye en sus páginas 11–13 un resumen de cumplimiento), el análisis técnico adjunto y el código del repositorio disponible para esta exposición.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61616"/>
            <w:vAlign w:val="center"/>
          </w:tcPr>
          <w:p>
            <w:r>
              <w:rPr>
                <w:b/>
                <w:color w:val="FFFFFF"/>
                <w:sz w:val="16"/>
              </w:rPr>
              <w:t>Tema</w:t>
            </w:r>
          </w:p>
        </w:tc>
        <w:tc>
          <w:tcPr>
            <w:tcW w:type="dxa" w:w="2520"/>
            <w:shd w:fill="161616"/>
            <w:vAlign w:val="center"/>
          </w:tcPr>
          <w:p>
            <w:r>
              <w:rPr>
                <w:b/>
                <w:color w:val="FFFFFF"/>
                <w:sz w:val="16"/>
              </w:rPr>
              <w:t>Documentación</w:t>
            </w:r>
          </w:p>
        </w:tc>
        <w:tc>
          <w:tcPr>
            <w:tcW w:type="dxa" w:w="2520"/>
            <w:shd w:fill="161616"/>
            <w:vAlign w:val="center"/>
          </w:tcPr>
          <w:p>
            <w:r>
              <w:rPr>
                <w:b/>
                <w:color w:val="FFFFFF"/>
                <w:sz w:val="16"/>
              </w:rPr>
              <w:t>Análisis técnico / código</w:t>
            </w:r>
          </w:p>
        </w:tc>
        <w:tc>
          <w:tcPr>
            <w:tcW w:type="dxa" w:w="2520"/>
            <w:shd w:fill="161616"/>
            <w:vAlign w:val="center"/>
          </w:tcPr>
          <w:p>
            <w:r>
              <w:rPr>
                <w:b/>
                <w:color w:val="FFFFFF"/>
                <w:sz w:val="16"/>
              </w:rPr>
              <w:t>Decisión para la exposición</w:t>
            </w:r>
          </w:p>
        </w:tc>
      </w:tr>
      <w:tr>
        <w:tc>
          <w:tcPr>
            <w:tcW w:type="dxa" w:w="2520"/>
            <w:vAlign w:val="center"/>
          </w:tcPr>
          <w:p>
            <w:r>
              <w:rPr>
                <w:sz w:val="16"/>
              </w:rPr>
              <w:t>Catálogo y productos</w:t>
            </w:r>
          </w:p>
        </w:tc>
        <w:tc>
          <w:tcPr>
            <w:tcW w:type="dxa" w:w="2520"/>
            <w:vAlign w:val="center"/>
          </w:tcPr>
          <w:p>
            <w:r>
              <w:rPr>
                <w:sz w:val="16"/>
              </w:rPr>
              <w:t>RF y cumplimiento descritos (PDF 7, 11)</w:t>
            </w:r>
          </w:p>
        </w:tc>
        <w:tc>
          <w:tcPr>
            <w:tcW w:type="dxa" w:w="2520"/>
            <w:vAlign w:val="center"/>
          </w:tcPr>
          <w:p>
            <w:r>
              <w:rPr>
                <w:sz w:val="16"/>
              </w:rPr>
              <w:t>Controllers y vistas de catálogo/productos disponibles en el repositorio</w:t>
            </w:r>
          </w:p>
        </w:tc>
        <w:tc>
          <w:tcPr>
            <w:tcW w:type="dxa" w:w="2520"/>
            <w:vAlign w:val="center"/>
          </w:tcPr>
          <w:p>
            <w:r>
              <w:rPr>
                <w:sz w:val="16"/>
              </w:rPr>
              <w:t>Coincidencia sustancial; mostrar gestión y filtro.</w:t>
            </w:r>
          </w:p>
        </w:tc>
      </w:tr>
      <w:tr>
        <w:tc>
          <w:tcPr>
            <w:tcW w:type="dxa" w:w="2520"/>
            <w:vAlign w:val="center"/>
            <w:shd w:fill="F4EFE8"/>
          </w:tcPr>
          <w:p>
            <w:r>
              <w:rPr>
                <w:sz w:val="16"/>
              </w:rPr>
              <w:t>Carrito / pedido / pago</w:t>
            </w:r>
          </w:p>
        </w:tc>
        <w:tc>
          <w:tcPr>
            <w:tcW w:type="dxa" w:w="2520"/>
            <w:vAlign w:val="center"/>
            <w:shd w:fill="F4EFE8"/>
          </w:tcPr>
          <w:p>
            <w:r>
              <w:rPr>
                <w:sz w:val="16"/>
              </w:rPr>
              <w:t>Carrito, checkout y pago; error claro ante rechazo (PDF 8, 11)</w:t>
            </w:r>
          </w:p>
        </w:tc>
        <w:tc>
          <w:tcPr>
            <w:tcW w:type="dxa" w:w="2520"/>
            <w:vAlign w:val="center"/>
            <w:shd w:fill="F4EFE8"/>
          </w:tcPr>
          <w:p>
            <w:r>
              <w:rPr>
                <w:sz w:val="16"/>
              </w:rPr>
              <w:t>Carrito y registro de pedido descritos; checkout simulado, sin pasarela</w:t>
            </w:r>
          </w:p>
        </w:tc>
        <w:tc>
          <w:tcPr>
            <w:tcW w:type="dxa" w:w="2520"/>
            <w:vAlign w:val="center"/>
            <w:shd w:fill="F4EFE8"/>
          </w:tcPr>
          <w:p>
            <w:r>
              <w:rPr>
                <w:sz w:val="16"/>
              </w:rPr>
              <w:t>No llamar pago real al flujo. Validaciones/transacciones tienen límites.</w:t>
            </w:r>
          </w:p>
        </w:tc>
      </w:tr>
      <w:tr>
        <w:tc>
          <w:tcPr>
            <w:tcW w:type="dxa" w:w="2520"/>
            <w:vAlign w:val="center"/>
          </w:tcPr>
          <w:p>
            <w:r>
              <w:rPr>
                <w:sz w:val="16"/>
              </w:rPr>
              <w:t>Roles y permisos</w:t>
            </w:r>
          </w:p>
        </w:tc>
        <w:tc>
          <w:tcPr>
            <w:tcW w:type="dxa" w:w="2520"/>
            <w:vAlign w:val="center"/>
          </w:tcPr>
          <w:p>
            <w:r>
              <w:rPr>
                <w:sz w:val="16"/>
              </w:rPr>
              <w:t>Tres roles y acceso restringido por empresa/rol (PDF 6–7, 11)</w:t>
            </w:r>
          </w:p>
        </w:tc>
        <w:tc>
          <w:tcPr>
            <w:tcW w:type="dxa" w:w="2520"/>
            <w:vAlign w:val="center"/>
          </w:tcPr>
          <w:p>
            <w:r>
              <w:rPr>
                <w:sz w:val="16"/>
              </w:rPr>
              <w:t>Roles en frontend y sesión; análisis no encuentra autorización uniforme en API</w:t>
            </w:r>
          </w:p>
        </w:tc>
        <w:tc>
          <w:tcPr>
            <w:tcW w:type="dxa" w:w="2520"/>
            <w:vAlign w:val="center"/>
          </w:tcPr>
          <w:p>
            <w:r>
              <w:rPr>
                <w:sz w:val="16"/>
              </w:rPr>
              <w:t>Mostrar menús diferenciados, aclarar brecha de autorización.</w:t>
            </w:r>
          </w:p>
        </w:tc>
      </w:tr>
      <w:tr>
        <w:tc>
          <w:tcPr>
            <w:tcW w:type="dxa" w:w="2520"/>
            <w:vAlign w:val="center"/>
            <w:shd w:fill="F4EFE8"/>
          </w:tcPr>
          <w:p>
            <w:r>
              <w:rPr>
                <w:sz w:val="16"/>
              </w:rPr>
              <w:t>Multiempresa</w:t>
            </w:r>
          </w:p>
        </w:tc>
        <w:tc>
          <w:tcPr>
            <w:tcW w:type="dxa" w:w="2520"/>
            <w:vAlign w:val="center"/>
            <w:shd w:fill="F4EFE8"/>
          </w:tcPr>
          <w:p>
            <w:r>
              <w:rPr>
                <w:sz w:val="16"/>
              </w:rPr>
              <w:t>Aislamiento por EmpresaId (PDF 5–6)</w:t>
            </w:r>
          </w:p>
        </w:tc>
        <w:tc>
          <w:tcPr>
            <w:tcW w:type="dxa" w:w="2520"/>
            <w:vAlign w:val="center"/>
            <w:shd w:fill="F4EFE8"/>
          </w:tcPr>
          <w:p>
            <w:r>
              <w:rPr>
                <w:sz w:val="16"/>
              </w:rPr>
              <w:t>Modelo/campos presentes; filtros obligatorios no demostrados</w:t>
            </w:r>
          </w:p>
        </w:tc>
        <w:tc>
          <w:tcPr>
            <w:tcW w:type="dxa" w:w="2520"/>
            <w:vAlign w:val="center"/>
            <w:shd w:fill="F4EFE8"/>
          </w:tcPr>
          <w:p>
            <w:r>
              <w:rPr>
                <w:sz w:val="16"/>
              </w:rPr>
              <w:t>Diseño previsto; aislamiento aún no confirmado.</w:t>
            </w:r>
          </w:p>
        </w:tc>
      </w:tr>
      <w:tr>
        <w:tc>
          <w:tcPr>
            <w:tcW w:type="dxa" w:w="2520"/>
            <w:vAlign w:val="center"/>
          </w:tcPr>
          <w:p>
            <w:r>
              <w:rPr>
                <w:sz w:val="16"/>
              </w:rPr>
              <w:t>Seguridad y recuperación</w:t>
            </w:r>
          </w:p>
        </w:tc>
        <w:tc>
          <w:tcPr>
            <w:tcW w:type="dxa" w:w="2520"/>
            <w:vAlign w:val="center"/>
          </w:tcPr>
          <w:p>
            <w:r>
              <w:rPr>
                <w:sz w:val="16"/>
              </w:rPr>
              <w:t>HTTPS, segundo factor opcional, defensa web y enlaces de recuperación (PDF 9–10)</w:t>
            </w:r>
          </w:p>
        </w:tc>
        <w:tc>
          <w:tcPr>
            <w:tcW w:type="dxa" w:w="2520"/>
            <w:vAlign w:val="center"/>
          </w:tcPr>
          <w:p>
            <w:r>
              <w:rPr>
                <w:sz w:val="16"/>
              </w:rPr>
              <w:t>BCrypt y mecanismos parciales; recuperación por diccionario estático según análisis; no MFA demostrado</w:t>
            </w:r>
          </w:p>
        </w:tc>
        <w:tc>
          <w:tcPr>
            <w:tcW w:type="dxa" w:w="2520"/>
            <w:vAlign w:val="center"/>
          </w:tcPr>
          <w:p>
            <w:r>
              <w:rPr>
                <w:sz w:val="16"/>
              </w:rPr>
              <w:t>No declarar seguridad completa ni recuperación acorde al documento.</w:t>
            </w:r>
          </w:p>
        </w:tc>
      </w:tr>
      <w:tr>
        <w:tc>
          <w:tcPr>
            <w:tcW w:type="dxa" w:w="2520"/>
            <w:vAlign w:val="center"/>
            <w:shd w:fill="F4EFE8"/>
          </w:tcPr>
          <w:p>
            <w:r>
              <w:rPr>
                <w:sz w:val="16"/>
              </w:rPr>
              <w:t>Calidad</w:t>
            </w:r>
          </w:p>
        </w:tc>
        <w:tc>
          <w:tcPr>
            <w:tcW w:type="dxa" w:w="2520"/>
            <w:vAlign w:val="center"/>
            <w:shd w:fill="F4EFE8"/>
          </w:tcPr>
          <w:p>
            <w:r>
              <w:rPr>
                <w:sz w:val="16"/>
              </w:rPr>
              <w:t>Pide rendimiento &lt;3 s, concurrencia, disponibilidad, accesibilidad y backups (PDF 9)</w:t>
            </w:r>
          </w:p>
        </w:tc>
        <w:tc>
          <w:tcPr>
            <w:tcW w:type="dxa" w:w="2520"/>
            <w:vAlign w:val="center"/>
            <w:shd w:fill="F4EFE8"/>
          </w:tcPr>
          <w:p>
            <w:r>
              <w:rPr>
                <w:sz w:val="16"/>
              </w:rPr>
              <w:t>Bootstrap responsivo, capas modulares, persistencia y validaciones descritas</w:t>
            </w:r>
          </w:p>
        </w:tc>
        <w:tc>
          <w:tcPr>
            <w:tcW w:type="dxa" w:w="2520"/>
            <w:vAlign w:val="center"/>
            <w:shd w:fill="F4EFE8"/>
          </w:tcPr>
          <w:p>
            <w:r>
              <w:rPr>
                <w:sz w:val="16"/>
              </w:rPr>
              <w:t>Hay evidencia parcial de calidad; métricas/pruebas faltantes.</w:t>
            </w:r>
          </w:p>
        </w:tc>
      </w:tr>
      <w:tr>
        <w:tc>
          <w:tcPr>
            <w:tcW w:type="dxa" w:w="2520"/>
            <w:vAlign w:val="center"/>
          </w:tcPr>
          <w:p>
            <w:r>
              <w:rPr>
                <w:sz w:val="16"/>
              </w:rPr>
              <w:t>Casos de uso</w:t>
            </w:r>
          </w:p>
        </w:tc>
        <w:tc>
          <w:tcPr>
            <w:tcW w:type="dxa" w:w="2520"/>
            <w:vAlign w:val="center"/>
          </w:tcPr>
          <w:p>
            <w:r>
              <w:rPr>
                <w:sz w:val="16"/>
              </w:rPr>
              <w:t>Requerimientos funcionales; no se hallaron fichas CU identificadas</w:t>
            </w:r>
          </w:p>
        </w:tc>
        <w:tc>
          <w:tcPr>
            <w:tcW w:type="dxa" w:w="2520"/>
            <w:vAlign w:val="center"/>
          </w:tcPr>
          <w:p>
            <w:r>
              <w:rPr>
                <w:sz w:val="16"/>
              </w:rPr>
              <w:t>Rutas, controladores, actores y vistas permiten proponer casos</w:t>
            </w:r>
          </w:p>
        </w:tc>
        <w:tc>
          <w:tcPr>
            <w:tcW w:type="dxa" w:w="2520"/>
            <w:vAlign w:val="center"/>
          </w:tcPr>
          <w:p>
            <w:r>
              <w:rPr>
                <w:sz w:val="16"/>
              </w:rPr>
              <w:t>CU-P1 a CU-P5 son códigos propuestos, no IDs originales.</w:t>
            </w:r>
          </w:p>
        </w:tc>
      </w:tr>
      <w:tr>
        <w:tc>
          <w:tcPr>
            <w:tcW w:type="dxa" w:w="2520"/>
            <w:vAlign w:val="center"/>
            <w:shd w:fill="F4EFE8"/>
          </w:tcPr>
          <w:p>
            <w:r>
              <w:rPr>
                <w:sz w:val="16"/>
              </w:rPr>
              <w:t>Mejoras explícitas</w:t>
            </w:r>
          </w:p>
        </w:tc>
        <w:tc>
          <w:tcPr>
            <w:tcW w:type="dxa" w:w="2520"/>
            <w:vAlign w:val="center"/>
            <w:shd w:fill="F4EFE8"/>
          </w:tcPr>
          <w:p>
            <w:r>
              <w:rPr>
                <w:sz w:val="16"/>
              </w:rPr>
              <w:t>Talles/medidas y varias imágenes en lista futura (PDF 14)</w:t>
            </w:r>
          </w:p>
        </w:tc>
        <w:tc>
          <w:tcPr>
            <w:tcW w:type="dxa" w:w="2520"/>
            <w:vAlign w:val="center"/>
            <w:shd w:fill="F4EFE8"/>
          </w:tcPr>
          <w:p>
            <w:r>
              <w:rPr>
                <w:sz w:val="16"/>
              </w:rPr>
              <w:t>No presentadas como funciones actuales</w:t>
            </w:r>
          </w:p>
        </w:tc>
        <w:tc>
          <w:tcPr>
            <w:tcW w:type="dxa" w:w="2520"/>
            <w:vAlign w:val="center"/>
            <w:shd w:fill="F4EFE8"/>
          </w:tcPr>
          <w:p>
            <w:r>
              <w:rPr>
                <w:sz w:val="16"/>
              </w:rPr>
              <w:t>Usar en el cierre como trabajo futuro.</w:t>
            </w:r>
          </w:p>
        </w:tc>
      </w:tr>
    </w:tbl>
    <w:p>
      <w:pPr>
        <w:pStyle w:val="Heading1"/>
      </w:pPr>
      <w:r>
        <w:t>Cinco requerimientos funcionales y casos de uso</w:t>
      </w:r>
    </w:p>
    <w:p>
      <w:r>
        <w:rPr>
          <w:b/>
        </w:rPr>
        <w:t xml:space="preserve">RF 9.1 · Gestión de productos </w:t>
      </w:r>
      <w:r>
        <w:t>CU-P1 (propuesto): Administrar producto. Actor: Administrador. Flujo: abrir gestión, crear/editar/eliminar y guardar. Resultado: ficha reflejada en gestión/catálogo. Código: ProductoController; vistas Crear, Modificar, Index. Pantalla: gestión de productos.</w:t>
      </w:r>
    </w:p>
    <w:p>
      <w:r>
        <w:rPr>
          <w:b/>
        </w:rPr>
        <w:t xml:space="preserve">RF 9.2 · Consulta y filtrado </w:t>
      </w:r>
      <w:r>
        <w:t>CU-P2 (propuesto): Buscar prendas. Actor: Cliente. Flujo: abrir catálogo, elegir categoría/color/talle, aplicar. Resultado: lista filtrada o mensaje sin coincidencias. Código: HomeController.Catalogo y _CatalogoProductos. Pantalla: catálogo.</w:t>
      </w:r>
    </w:p>
    <w:p>
      <w:r>
        <w:rPr>
          <w:b/>
        </w:rPr>
        <w:t xml:space="preserve">RF 9.3 · Acceso según rol </w:t>
      </w:r>
      <w:r>
        <w:t>CU-P3 (propuesto): Iniciar sesión y navegar. Actor: Administrador, empleado o cliente. Flujo: iniciar sesión, identificar rol y abrir menú correspondiente. Resultado: navegación distinta en frontend; autorización efectiva de API no uniforme según el análisis. Código: AccountController y Rol.cs. Pantalla: inicio de sesión/menú.</w:t>
      </w:r>
    </w:p>
    <w:p>
      <w:r>
        <w:rPr>
          <w:b/>
        </w:rPr>
        <w:t xml:space="preserve">RF 9.4 · Carrito y compra </w:t>
      </w:r>
      <w:r>
        <w:t>CU-P4 (propuesto): Preparar y confirmar pedido. Actor: Cliente. Flujo: elegir producto, variante/cantidad, agregar al carrito y enviar pedido. Resultado: pedido registrado; pago simulado, no pasarela real. Código: CarritoController y CheckoutController. Pantalla: detalle, carrito y checkout.</w:t>
      </w:r>
    </w:p>
    <w:p>
      <w:r>
        <w:rPr>
          <w:b/>
        </w:rPr>
        <w:t xml:space="preserve">RF 9.5 · Compras y estado </w:t>
      </w:r>
      <w:r>
        <w:t>CU-P5 (propuesto): Consultar compra. Actor: Cliente. Flujo: abrir Mis compras y ver pedido/detalle. Resultado: fecha, estado, total y artículos según pantalla. Código: ClienteController.MisCompras y PedidoEndpoints. Pantalla: Mis compras.</w:t>
      </w:r>
    </w:p>
    <w:p>
      <w:pPr>
        <w:pStyle w:val="Heading1"/>
      </w:pPr>
      <w:r>
        <w:t>Cinco requerimientos no funcionales contemplados</w:t>
      </w:r>
    </w:p>
    <w:p>
      <w:r>
        <w:rPr>
          <w:b/>
        </w:rPr>
        <w:t xml:space="preserve">Seguridad y privacidad (apartado 10, parcial) </w:t>
      </w:r>
      <w:r>
        <w:t>BCrypt para contraseñas, HTTPS redirection y antiforgery en acciones observadas. El registro de JWT no prueba protección de todos los endpoints; privacidad integral de datos y autorización API requieren verificación.</w:t>
      </w:r>
    </w:p>
    <w:p>
      <w:r>
        <w:rPr>
          <w:b/>
        </w:rPr>
        <w:t xml:space="preserve">Confiabilidad (apartado 10, parcial) </w:t>
      </w:r>
      <w:r>
        <w:t>Hay health check y persistencia; no se confirman disponibilidad sostenida, transacción atómica ni idempotencia de una venta.</w:t>
      </w:r>
    </w:p>
    <w:p>
      <w:r>
        <w:rPr>
          <w:b/>
        </w:rPr>
        <w:t xml:space="preserve">Usabilidad y adaptabilidad (PDF 10.1, parcial) </w:t>
      </w:r>
      <w:r>
        <w:t>Bootstrap y grillas responsivas sustentan el uso en distintos tamaños. Accesibilidad requiere pruebas con teclado/lector de pantalla y revisión de contraste.</w:t>
      </w:r>
    </w:p>
    <w:p>
      <w:r>
        <w:rPr>
          <w:b/>
        </w:rPr>
        <w:t xml:space="preserve">Modularidad y mantenimiento (PDF 10.2 y 10.3) </w:t>
      </w:r>
      <w:r>
        <w:t>FRFront separado de FYR-API; endpoints, servicios, DTOs, repositorios y entidades separan responsabilidades. No se detectó cobertura automatizada mantenida.</w:t>
      </w:r>
    </w:p>
    <w:p>
      <w:r>
        <w:rPr>
          <w:b/>
        </w:rPr>
        <w:t xml:space="preserve">Persistencia, integración y validaciones (PDF 10.4 y 10.5) </w:t>
      </w:r>
      <w:r>
        <w:t>Frontend usa HttpClient; API, EF Core y SQL Server gestionan datos, y hay validaciones con mensajes. La integración bancaria oficial y la disponibilidad/backups no están demostradas.</w:t>
      </w:r>
    </w:p>
    <w:p>
      <w:r>
        <w:t>No se presentan como cumplidos los objetivos documentales de carga menor a 3 segundos, alta concurrencia, disponibilidad, copias diarias, MFA o accesibilidad certificada: requerirían implementación, mediciones o pruebas adicionales.</w:t>
      </w:r>
    </w:p>
    <w:p>
      <w:pPr>
        <w:pStyle w:val="Heading1"/>
      </w:pPr>
      <w:r>
        <w:t>Demostración adicional de 10 minutos</w:t>
      </w:r>
    </w:p>
    <w:p>
      <w:r>
        <w:rPr>
          <w:b/>
        </w:rPr>
        <w:t xml:space="preserve">0:00–2:00 · Gestión de catálogo </w:t>
      </w:r>
      <w:r>
        <w:t>Desde el panel real, buscar un producto y explicar precio/stock. Si no conviene guardar cambios, mantenerlo en modo consulta.</w:t>
      </w:r>
    </w:p>
    <w:p>
      <w:r>
        <w:rPr>
          <w:b/>
        </w:rPr>
        <w:t xml:space="preserve">2:00–4:00 · Compra de punta a punta </w:t>
      </w:r>
      <w:r>
        <w:t>Si la compra formal se interrumpió, repetir detalle → carrito → checkout con datos ficticios. Aclarar que el pago es simulado.</w:t>
      </w:r>
    </w:p>
    <w:p>
      <w:r>
        <w:rPr>
          <w:b/>
        </w:rPr>
        <w:t xml:space="preserve">4:00–6:00 · Historial </w:t>
      </w:r>
      <w:r>
        <w:t>Abrir Mis compras y detalle para explicar número, total, estado y relación con Pedido/DetallePedido.</w:t>
      </w:r>
    </w:p>
    <w:p>
      <w:r>
        <w:rPr>
          <w:b/>
        </w:rPr>
        <w:t xml:space="preserve">6:00–8:00 · Empleado o reportes (opcional) </w:t>
      </w:r>
      <w:r>
        <w:t>Mostrar solo si el login y la pantalla están preparados. El análisis reporta venta presencial y reportes; confirmar en vivo antes de prometer o depender de ellos.</w:t>
      </w:r>
    </w:p>
    <w:p>
      <w:r>
        <w:rPr>
          <w:b/>
        </w:rPr>
        <w:t xml:space="preserve">8:00–10:00 · Preguntas </w:t>
      </w:r>
      <w:r>
        <w:t>Responder con una pantalla o archivo de código puntual. Si preguntan por seguridad, pago real o multiempresa, explicar brechas y plan de mejora.</w:t>
      </w:r>
    </w:p>
    <w:p>
      <w:pPr>
        <w:pStyle w:val="Heading1"/>
      </w:pPr>
      <w:r>
        <w:t>Preparación antes de exponer</w:t>
      </w:r>
    </w:p>
    <w:p>
      <w:pPr>
        <w:pStyle w:val="ListBullet"/>
      </w:pPr>
      <w:r>
        <w:t>Arrancar API, frontend y SQL Server; verificar que el catálogo cargue desde el navegador.</w:t>
      </w:r>
    </w:p>
    <w:p>
      <w:pPr>
        <w:pStyle w:val="ListBullet"/>
      </w:pPr>
      <w:r>
        <w:t>Tener una sesión de cliente válida y datos de demostración; no improvisar credenciales.</w:t>
      </w:r>
    </w:p>
    <w:p>
      <w:pPr>
        <w:pStyle w:val="ListBullet"/>
      </w:pPr>
      <w:r>
        <w:t>Comprobar el carrito y el historial previamente. No ingresar datos reales de tarjetas ni datos personales en pantalla.</w:t>
      </w:r>
    </w:p>
    <w:p>
      <w:pPr>
        <w:pStyle w:val="ListBullet"/>
      </w:pPr>
      <w:r>
        <w:t>Abrir el código solo en los archivos mencionados si aparece una pregunta técnica.</w:t>
      </w:r>
    </w:p>
    <w:p>
      <w:pPr>
        <w:pStyle w:val="ListBullet"/>
      </w:pPr>
      <w:r>
        <w:t>Si el checkout falla, mostrar catálogo, detalle, carrito e historial existentes. No afirmar que el cobro se completó.</w:t>
      </w:r>
    </w:p>
    <w:p>
      <w:pPr>
        <w:pStyle w:val="Heading1"/>
      </w:pPr>
      <w:r>
        <w:t>Fuentes utilizadas</w:t>
      </w:r>
    </w:p>
    <w:p>
      <w:r>
        <w:t>Requerimientos V2 F&amp;R, páginas 3–14; análisis técnico y funcional de F&amp;R adjunto; repositorio del proyecto: Codigo/FRFront y Codigo/FYR-API; capturas reales compartidas para catálogo, detalle, carrito, historial y gestión de productos; GYM_Presentacion.pptx como referencia de ritmo y estilo visual.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161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D74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6161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exposición de F&amp;R</dc:title>
  <dc:subject>Guion oral, matriz de contraste, requisitos, casos de uso y demostración</dc:subject>
  <dc:creator>F&amp;R - Proyecto académico ICES</dc:creator>
  <cp:keywords/>
  <dc:description>generated by python-docx</dc:description>
  <cp:lastModifiedBy/>
  <cp:revision>1</cp:revision>
  <dcterms:created xsi:type="dcterms:W3CDTF">2013-12-23T23:15:00Z</dcterms:created>
  <dcterms:modified xsi:type="dcterms:W3CDTF">2013-12-23T23:15:00Z</dcterms:modified>
  <cp:category/>
</cp:coreProperties>
</file>