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olor w:val="1B2A4A"/>
          <w:sz w:val="40"/>
          <w:szCs w:val="40"/>
        </w:rPr>
        <w:t xml:space="preserve">COMPETITIVE TEARDOWN &amp;</w:t>
      </w:r>
    </w:p>
    <w:p>
      <w:pPr>
        <w:spacing w:after="360"/>
        <w:jc w:val="center"/>
      </w:pPr>
      <w:r>
        <w:rPr>
          <w:b/>
          <w:bCs/>
          <w:color w:val="1B2A4A"/>
          <w:sz w:val="40"/>
          <w:szCs w:val="40"/>
        </w:rPr>
        <w:t xml:space="preserve">FEATURE STRATEGY</w:t>
      </w:r>
    </w:p>
    <w:p>
      <w:pPr>
        <w:spacing w:after="40"/>
        <w:jc w:val="center"/>
      </w:pPr>
      <w:r>
        <w:rPr>
          <w:i/>
          <w:iCs/>
          <w:color w:val="2E4470"/>
          <w:sz w:val="26"/>
          <w:szCs w:val="26"/>
        </w:rPr>
        <w:t xml:space="preserve">Euron Systems &amp; Crio.do, Feature by Feature</w:t>
      </w:r>
    </w:p>
    <w:p>
      <w:pPr>
        <w:spacing w:after="900"/>
        <w:jc w:val="center"/>
      </w:pPr>
      <w:r>
        <w:rPr>
          <w:color w:val="6B7280"/>
          <w:sz w:val="22"/>
          <w:szCs w:val="22"/>
        </w:rPr>
        <w:t xml:space="preserve">What to steal, what to skip, and what genuine whitespace remains — filtered by real revenue evidence, not checklist parity</w:t>
      </w:r>
    </w:p>
    <w:p>
      <w:pPr>
        <w:pBdr>
          <w:top w:val="single" w:color="B9762F" w:sz="8" w:space="12"/>
        </w:pBdr>
        <w:spacing w:after="300"/>
      </w:pPr>
      <w:r>
        <w:t xml:space="preserve"/>
      </w:r>
    </w:p>
    <w:p>
      <w:pPr>
        <w:spacing w:after="160"/>
        <w:jc w:val="center"/>
      </w:pPr>
      <w:r>
        <w:rPr>
          <w:b/>
          <w:bCs/>
          <w:color w:val="1B2A4A"/>
          <w:sz w:val="24"/>
          <w:szCs w:val="24"/>
        </w:rPr>
        <w:t xml:space="preserve">[STARTUP NAME] — Working Draft, Vol. 2</w:t>
      </w:r>
    </w:p>
    <w:p>
      <w:pPr>
        <w:spacing w:after="40"/>
        <w:jc w:val="center"/>
      </w:pPr>
      <w:r>
        <w:rPr>
          <w:color w:val="6B7280"/>
          <w:sz w:val="20"/>
          <w:szCs w:val="20"/>
        </w:rPr>
        <w:t xml:space="preserve">Version 0.1  ·  July 2026  ·  Companion to the Product Requirements &amp; System Design Specification</w:t>
      </w:r>
    </w:p>
    <w:p>
      <w:pPr>
        <w:spacing w:after="1400"/>
        <w:jc w:val="center"/>
      </w:pPr>
      <w:r>
        <w:rPr>
          <w:i/>
          <w:iCs/>
          <w:color w:val="6B7280"/>
          <w:sz w:val="18"/>
          <w:szCs w:val="18"/>
        </w:rPr>
        <w:t xml:space="preserve">Grounded in direct review of both platforms' live product, pricing, and policy pages, plus public user sentiment</w:t>
      </w:r>
    </w:p>
    <w:p>
      <w:r>
        <w:br w:type="page"/>
      </w:r>
    </w:p>
    <w:p>
      <w:pPr>
        <w:pStyle w:val="Heading1"/>
        <w:spacing w:after="220" w:before="200"/>
      </w:pPr>
      <w:r>
        <w:rPr>
          <w:b/>
          <w:bCs/>
        </w:rPr>
        <w:t xml:space="preserve">Table of Contents</w:t>
      </w:r>
    </w:p>
    <w:tbl>
      <w:tblPr>
        <w:tblW w:type="dxa" w:w="10206"/>
        <w:tblBorders>
          <w:top w:val="none"/>
          <w:left w:val="none"/>
          <w:bottom w:val="none"/>
          <w:right w:val="none"/>
          <w:insideH w:val="none"/>
          <w:insideV w:val="none"/>
        </w:tblBorders>
      </w:tblPr>
      <w:tblGrid>
        <w:gridCol w:w="8981"/>
        <w:gridCol w:w="1225"/>
      </w:tblGrid>
      <w:tr>
        <w:tc>
          <w:tcPr>
            <w:tcW w:type="dxa" w:w="8981"/>
            <w:tcBorders>
              <w:top w:val="none"/>
              <w:left w:val="none"/>
              <w:bottom w:val="none"/>
              <w:right w:val="none"/>
            </w:tcBorders>
          </w:tcPr>
          <w:p>
            <w:pPr>
              <w:spacing w:after="140"/>
            </w:pPr>
            <w:r>
              <w:rPr>
                <w:color w:val="22262F"/>
                <w:sz w:val="21"/>
                <w:szCs w:val="21"/>
              </w:rPr>
              <w:t xml:space="preserve">1. Executive Summary</w:t>
            </w:r>
          </w:p>
        </w:tc>
        <w:tc>
          <w:tcPr>
            <w:tcW w:type="dxa" w:w="1225"/>
            <w:tcBorders>
              <w:top w:val="none"/>
              <w:left w:val="none"/>
              <w:bottom w:val="none"/>
              <w:right w:val="none"/>
            </w:tcBorders>
            <w:vAlign w:val="center"/>
          </w:tcPr>
          <w:p>
            <w:pPr>
              <w:spacing w:after="140"/>
              <w:jc w:val="right"/>
            </w:pPr>
            <w:r>
              <w:rPr>
                <w:color w:val="6B7280"/>
                <w:sz w:val="21"/>
                <w:szCs w:val="21"/>
              </w:rPr>
              <w:t xml:space="preserve">3</w:t>
            </w:r>
          </w:p>
        </w:tc>
      </w:tr>
      <w:tr>
        <w:tc>
          <w:tcPr>
            <w:tcW w:type="dxa" w:w="8981"/>
            <w:tcBorders>
              <w:top w:val="none"/>
              <w:left w:val="none"/>
              <w:bottom w:val="none"/>
              <w:right w:val="none"/>
            </w:tcBorders>
          </w:tcPr>
          <w:p>
            <w:pPr>
              <w:spacing w:after="140"/>
            </w:pPr>
            <w:r>
              <w:rPr>
                <w:color w:val="22262F"/>
                <w:sz w:val="21"/>
                <w:szCs w:val="21"/>
              </w:rPr>
              <w:t xml:space="preserve">2. Crio.do — Full Teardown</w:t>
            </w:r>
          </w:p>
        </w:tc>
        <w:tc>
          <w:tcPr>
            <w:tcW w:type="dxa" w:w="1225"/>
            <w:tcBorders>
              <w:top w:val="none"/>
              <w:left w:val="none"/>
              <w:bottom w:val="none"/>
              <w:right w:val="none"/>
            </w:tcBorders>
            <w:vAlign w:val="center"/>
          </w:tcPr>
          <w:p>
            <w:pPr>
              <w:spacing w:after="140"/>
              <w:jc w:val="right"/>
            </w:pPr>
            <w:r>
              <w:rPr>
                <w:color w:val="6B7280"/>
                <w:sz w:val="21"/>
                <w:szCs w:val="21"/>
              </w:rPr>
              <w:t xml:space="preserve">4</w:t>
            </w:r>
          </w:p>
        </w:tc>
      </w:tr>
      <w:tr>
        <w:tc>
          <w:tcPr>
            <w:tcW w:type="dxa" w:w="8981"/>
            <w:tcBorders>
              <w:top w:val="none"/>
              <w:left w:val="none"/>
              <w:bottom w:val="none"/>
              <w:right w:val="none"/>
            </w:tcBorders>
          </w:tcPr>
          <w:p>
            <w:pPr>
              <w:spacing w:after="140"/>
            </w:pPr>
            <w:r>
              <w:rPr>
                <w:color w:val="22262F"/>
                <w:sz w:val="21"/>
                <w:szCs w:val="21"/>
              </w:rPr>
              <w:t xml:space="preserve">3. Euron &amp; Euron Systems — Full Teardown</w:t>
            </w:r>
          </w:p>
        </w:tc>
        <w:tc>
          <w:tcPr>
            <w:tcW w:type="dxa" w:w="1225"/>
            <w:tcBorders>
              <w:top w:val="none"/>
              <w:left w:val="none"/>
              <w:bottom w:val="none"/>
              <w:right w:val="none"/>
            </w:tcBorders>
            <w:vAlign w:val="center"/>
          </w:tcPr>
          <w:p>
            <w:pPr>
              <w:spacing w:after="140"/>
              <w:jc w:val="right"/>
            </w:pPr>
            <w:r>
              <w:rPr>
                <w:color w:val="6B7280"/>
                <w:sz w:val="21"/>
                <w:szCs w:val="21"/>
              </w:rPr>
              <w:t xml:space="preserve">7</w:t>
            </w:r>
          </w:p>
        </w:tc>
      </w:tr>
      <w:tr>
        <w:tc>
          <w:tcPr>
            <w:tcW w:type="dxa" w:w="8981"/>
            <w:tcBorders>
              <w:top w:val="none"/>
              <w:left w:val="none"/>
              <w:bottom w:val="none"/>
              <w:right w:val="none"/>
            </w:tcBorders>
          </w:tcPr>
          <w:p>
            <w:pPr>
              <w:spacing w:after="140"/>
            </w:pPr>
            <w:r>
              <w:rPr>
                <w:color w:val="22262F"/>
                <w:sz w:val="21"/>
                <w:szCs w:val="21"/>
              </w:rPr>
              <w:t xml:space="preserve">4. Head-to-Head Feature Matrix</w:t>
            </w:r>
          </w:p>
        </w:tc>
        <w:tc>
          <w:tcPr>
            <w:tcW w:type="dxa" w:w="1225"/>
            <w:tcBorders>
              <w:top w:val="none"/>
              <w:left w:val="none"/>
              <w:bottom w:val="none"/>
              <w:right w:val="none"/>
            </w:tcBorders>
            <w:vAlign w:val="center"/>
          </w:tcPr>
          <w:p>
            <w:pPr>
              <w:spacing w:after="140"/>
              <w:jc w:val="right"/>
            </w:pPr>
            <w:r>
              <w:rPr>
                <w:color w:val="6B7280"/>
                <w:sz w:val="21"/>
                <w:szCs w:val="21"/>
              </w:rPr>
              <w:t xml:space="preserve">10</w:t>
            </w:r>
          </w:p>
        </w:tc>
      </w:tr>
      <w:tr>
        <w:tc>
          <w:tcPr>
            <w:tcW w:type="dxa" w:w="8981"/>
            <w:tcBorders>
              <w:top w:val="none"/>
              <w:left w:val="none"/>
              <w:bottom w:val="none"/>
              <w:right w:val="none"/>
            </w:tcBorders>
          </w:tcPr>
          <w:p>
            <w:pPr>
              <w:spacing w:after="140"/>
            </w:pPr>
            <w:r>
              <w:rPr>
                <w:color w:val="22262F"/>
                <w:sz w:val="21"/>
                <w:szCs w:val="21"/>
              </w:rPr>
              <w:t xml:space="preserve">5. The Decision Framework: Steal / Skip / Build Extra</w:t>
            </w:r>
          </w:p>
        </w:tc>
        <w:tc>
          <w:tcPr>
            <w:tcW w:type="dxa" w:w="1225"/>
            <w:tcBorders>
              <w:top w:val="none"/>
              <w:left w:val="none"/>
              <w:bottom w:val="none"/>
              <w:right w:val="none"/>
            </w:tcBorders>
            <w:vAlign w:val="center"/>
          </w:tcPr>
          <w:p>
            <w:pPr>
              <w:spacing w:after="140"/>
              <w:jc w:val="right"/>
            </w:pPr>
            <w:r>
              <w:rPr>
                <w:color w:val="6B7280"/>
                <w:sz w:val="21"/>
                <w:szCs w:val="21"/>
              </w:rPr>
              <w:t xml:space="preserve">11</w:t>
            </w:r>
          </w:p>
        </w:tc>
      </w:tr>
      <w:tr>
        <w:tc>
          <w:tcPr>
            <w:tcW w:type="dxa" w:w="8981"/>
            <w:tcBorders>
              <w:top w:val="none"/>
              <w:left w:val="none"/>
              <w:bottom w:val="none"/>
              <w:right w:val="none"/>
            </w:tcBorders>
          </w:tcPr>
          <w:p>
            <w:pPr>
              <w:spacing w:after="140"/>
            </w:pPr>
            <w:r>
              <w:rPr>
                <w:color w:val="22262F"/>
                <w:sz w:val="21"/>
                <w:szCs w:val="21"/>
              </w:rPr>
              <w:t xml:space="preserve">6. Positioning Playbook</w:t>
            </w:r>
          </w:p>
        </w:tc>
        <w:tc>
          <w:tcPr>
            <w:tcW w:type="dxa" w:w="1225"/>
            <w:tcBorders>
              <w:top w:val="none"/>
              <w:left w:val="none"/>
              <w:bottom w:val="none"/>
              <w:right w:val="none"/>
            </w:tcBorders>
            <w:vAlign w:val="center"/>
          </w:tcPr>
          <w:p>
            <w:pPr>
              <w:spacing w:after="140"/>
              <w:jc w:val="right"/>
            </w:pPr>
            <w:r>
              <w:rPr>
                <w:color w:val="6B7280"/>
                <w:sz w:val="21"/>
                <w:szCs w:val="21"/>
              </w:rPr>
              <w:t xml:space="preserve">14</w:t>
            </w:r>
          </w:p>
        </w:tc>
      </w:tr>
      <w:tr>
        <w:tc>
          <w:tcPr>
            <w:tcW w:type="dxa" w:w="8981"/>
            <w:tcBorders>
              <w:top w:val="none"/>
              <w:left w:val="none"/>
              <w:bottom w:val="none"/>
              <w:right w:val="none"/>
            </w:tcBorders>
          </w:tcPr>
          <w:p>
            <w:pPr>
              <w:spacing w:after="140"/>
            </w:pPr>
            <w:r>
              <w:rPr>
                <w:color w:val="22262F"/>
                <w:sz w:val="21"/>
                <w:szCs w:val="21"/>
              </w:rPr>
              <w:t xml:space="preserve">7. Prioritized Build Sequence</w:t>
            </w:r>
          </w:p>
        </w:tc>
        <w:tc>
          <w:tcPr>
            <w:tcW w:type="dxa" w:w="1225"/>
            <w:tcBorders>
              <w:top w:val="none"/>
              <w:left w:val="none"/>
              <w:bottom w:val="none"/>
              <w:right w:val="none"/>
            </w:tcBorders>
            <w:vAlign w:val="center"/>
          </w:tcPr>
          <w:p>
            <w:pPr>
              <w:spacing w:after="140"/>
              <w:jc w:val="right"/>
            </w:pPr>
            <w:r>
              <w:rPr>
                <w:color w:val="6B7280"/>
                <w:sz w:val="21"/>
                <w:szCs w:val="21"/>
              </w:rPr>
              <w:t xml:space="preserve">15</w:t>
            </w:r>
          </w:p>
        </w:tc>
      </w:tr>
      <w:tr>
        <w:tc>
          <w:tcPr>
            <w:tcW w:type="dxa" w:w="8981"/>
            <w:tcBorders>
              <w:top w:val="none"/>
              <w:left w:val="none"/>
              <w:bottom w:val="none"/>
              <w:right w:val="none"/>
            </w:tcBorders>
          </w:tcPr>
          <w:p>
            <w:pPr>
              <w:spacing w:after="140"/>
            </w:pPr>
            <w:r>
              <w:rPr>
                <w:color w:val="22262F"/>
                <w:sz w:val="21"/>
                <w:szCs w:val="21"/>
              </w:rPr>
              <w:t xml:space="preserve">8. Appendix: Research Sources</w:t>
            </w:r>
          </w:p>
        </w:tc>
        <w:tc>
          <w:tcPr>
            <w:tcW w:type="dxa" w:w="1225"/>
            <w:tcBorders>
              <w:top w:val="none"/>
              <w:left w:val="none"/>
              <w:bottom w:val="none"/>
              <w:right w:val="none"/>
            </w:tcBorders>
            <w:vAlign w:val="center"/>
          </w:tcPr>
          <w:p>
            <w:pPr>
              <w:spacing w:after="140"/>
              <w:jc w:val="right"/>
            </w:pPr>
            <w:r>
              <w:rPr>
                <w:color w:val="6B7280"/>
                <w:sz w:val="21"/>
                <w:szCs w:val="21"/>
              </w:rPr>
              <w:t xml:space="preserve">16</w:t>
            </w:r>
          </w:p>
        </w:tc>
      </w:tr>
    </w:tbl>
    <w:p>
      <w:r>
        <w:br w:type="page"/>
      </w:r>
    </w:p>
    <w:p>
      <w:pPr>
        <w:pStyle w:val="Heading1"/>
        <w:spacing w:after="220" w:before="200"/>
      </w:pPr>
      <w:r>
        <w:rPr>
          <w:b/>
          <w:bCs/>
        </w:rPr>
        <w:t xml:space="preserve">1. Executive Summary</w:t>
      </w:r>
    </w:p>
    <w:p>
      <w:pPr>
        <w:spacing w:after="200" w:line="288"/>
        <w:jc w:val="left"/>
      </w:pPr>
      <w:r>
        <w:t xml:space="preserve">Both companies turned out to be more substantial, and more instructive, than a first glance suggests. Four findings changed the shape of this analysis and are worth knowing before the detail below:</w:t>
      </w:r>
    </w:p>
    <w:p>
      <w:pPr>
        <w:pStyle w:val="ListParagraph"/>
        <w:numPr>
          <w:ilvl w:val="0"/>
          <w:numId w:val="1"/>
        </w:numPr>
        <w:spacing w:after="90" w:line="276"/>
      </w:pPr>
      <w:r>
        <w:rPr>
          <w:b/>
          <w:bCs/>
          <w:i w:val="false"/>
          <w:iCs w:val="false"/>
        </w:rPr>
        <w:t xml:space="preserve">Crio.do is no longer an independent scrappy startup — </w:t>
      </w:r>
      <w:r>
        <w:rPr>
          <w:b w:val="false"/>
          <w:bCs w:val="false"/>
          <w:i w:val="false"/>
          <w:iCs w:val="false"/>
        </w:rPr>
        <w:t xml:space="preserve">it was acquired by Skill-Lync (Chennai, Y Combinator/Iron Pillar-backed, ~$30M raised, ~1,250 employees) in November 2022 and now operates as a brand within that group. It carries real institutional backing, not founder-only resources.</w:t>
      </w:r>
    </w:p>
    <w:p>
      <w:pPr>
        <w:pStyle w:val="ListParagraph"/>
        <w:numPr>
          <w:ilvl w:val="0"/>
          <w:numId w:val="1"/>
        </w:numPr>
        <w:spacing w:after="90" w:line="276"/>
      </w:pPr>
      <w:r>
        <w:rPr>
          <w:b/>
          <w:bCs/>
          <w:i w:val="false"/>
          <w:iCs w:val="false"/>
        </w:rPr>
        <w:t xml:space="preserve">Euron Systems already has a native code judge — </w:t>
      </w:r>
      <w:r>
        <w:rPr>
          <w:b w:val="false"/>
          <w:bCs w:val="false"/>
          <w:i w:val="false"/>
          <w:iCs w:val="false"/>
        </w:rPr>
        <w:t xml:space="preserve">“a full LeetCode-style code judge inside your platform” is now a shipped feature. The framing in the first spec (“Fermion is the only bundled infra vendor with a coding sandbox”) needs updating: Euron Systems is now also technical-creator-capable, not just general-purpose.</w:t>
      </w:r>
    </w:p>
    <w:p>
      <w:pPr>
        <w:pStyle w:val="ListParagraph"/>
        <w:numPr>
          <w:ilvl w:val="0"/>
          <w:numId w:val="1"/>
        </w:numPr>
        <w:spacing w:after="90" w:line="276"/>
      </w:pPr>
      <w:r>
        <w:rPr>
          <w:b/>
          <w:bCs/>
          <w:i w:val="false"/>
          <w:iCs w:val="false"/>
        </w:rPr>
        <w:t xml:space="preserve">There is a stark split between Crio.do's free product and its paid product — </w:t>
      </w:r>
      <w:r>
        <w:rPr>
          <w:b w:val="false"/>
          <w:bCs w:val="false"/>
          <w:i w:val="false"/>
          <w:iCs w:val="false"/>
        </w:rPr>
        <w:t xml:space="preserve">the free Crio Launch / Winter of Doing funnel generates genuinely enthusiastic, organic testimonials from real participants. The paid, placement-guarantee-backed Fellowship program generates a real, recurring pattern of Trustpilot and consumer-court complaints about refund and guarantee terms. That split is probably the single most actionable finding in this document.</w:t>
      </w:r>
    </w:p>
    <w:p>
      <w:pPr>
        <w:pStyle w:val="ListParagraph"/>
        <w:numPr>
          <w:ilvl w:val="0"/>
          <w:numId w:val="1"/>
        </w:numPr>
        <w:spacing w:after="90" w:line="276"/>
      </w:pPr>
      <w:r>
        <w:rPr>
          <w:b/>
          <w:bCs/>
          <w:i w:val="false"/>
          <w:iCs w:val="false"/>
        </w:rPr>
        <w:t xml:space="preserve">Euron Systems' AI tooling is more mature than typical marketing copy — </w:t>
      </w:r>
      <w:r>
        <w:rPr>
          <w:b w:val="false"/>
          <w:bCs w:val="false"/>
          <w:i w:val="false"/>
          <w:iCs w:val="false"/>
        </w:rPr>
        <w:t xml:space="preserve">AVNI (AI-conducted, recorded, evaluated interviews) and a metered multi-model AI wallet embedded in the subscription are shipped, priced features, not roadmap slides. Several ideas flagged as future differentiators in the first spec already exist in market.</w:t>
      </w:r>
    </w:p>
    <w:p>
      <w:pPr>
        <w:pStyle w:val="Heading3"/>
        <w:spacing w:after="120" w:before="260"/>
      </w:pPr>
      <w:r>
        <w:rPr>
          <w:b/>
          <w:bCs/>
        </w:rPr>
        <w:t xml:space="preserve">How to read this document</w:t>
      </w:r>
    </w:p>
    <w:p>
      <w:pPr>
        <w:spacing w:after="200" w:line="288"/>
        <w:jc w:val="left"/>
      </w:pPr>
      <w:r>
        <w:t xml:space="preserve">Sections 2 and 3 are deliberately exhaustive — every feature, pricing mechanic, and piece of public sentiment found for each competitor, so nothing gets missed. Section 5 is where the actual decisions live: every candidate feature is scored against real evidence of demand and a specific monetization angle, not just “do they have it.” Section 6 gives you the actual words to use when a prospect brings up either competitor by name.</w:t>
      </w:r>
    </w:p>
    <w:p>
      <w:pPr>
        <w:pStyle w:val="Heading1"/>
        <w:pageBreakBefore/>
        <w:spacing w:after="220" w:before="200"/>
      </w:pPr>
      <w:r>
        <w:rPr>
          <w:b/>
          <w:bCs/>
        </w:rPr>
        <w:t xml:space="preserve">2. Crio.do — Full Teardown</w:t>
      </w:r>
    </w:p>
    <w:p>
      <w:pPr>
        <w:pStyle w:val="Heading2"/>
        <w:spacing w:after="160" w:before="340"/>
      </w:pPr>
      <w:r>
        <w:rPr>
          <w:b/>
          <w:bCs/>
        </w:rPr>
        <w:t xml:space="preserve">2.1 Company snapshot</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245"/>
        <w:gridCol w:w="7961"/>
      </w:tblGrid>
      <w:tr>
        <w:trPr>
          <w:tblHeader/>
        </w:trPr>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Attribute</w:t>
            </w:r>
          </w:p>
        </w:tc>
        <w:tc>
          <w:tcPr>
            <w:tcW w:type="dxa" w:w="7961"/>
            <w:shd w:fill="1B2A4A" w:val="clear"/>
            <w:tcMar>
              <w:top w:type="dxa" w:w="100"/>
              <w:left w:type="dxa" w:w="110"/>
              <w:bottom w:type="dxa" w:w="100"/>
              <w:right w:type="dxa" w:w="110"/>
            </w:tcMar>
            <w:vAlign w:val="center"/>
          </w:tcPr>
          <w:p>
            <w:pPr>
              <w:spacing w:after="0"/>
            </w:pPr>
            <w:r>
              <w:rPr>
                <w:b/>
                <w:bCs/>
                <w:color w:val="FFFFFF"/>
                <w:sz w:val="18"/>
                <w:szCs w:val="18"/>
              </w:rPr>
              <w:t xml:space="preserve">Detail</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Founded</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2018, Bengaluru, by Sridher Jeyachandran (ex-Google, ex-NetApp, Silicon Valley) and Rathinamurthy R (ex-Flipkart Senior Director of Product Management)</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Ownership</w:t>
            </w:r>
          </w:p>
        </w:tc>
        <w:tc>
          <w:tcPr>
            <w:tcW w:type="dxa" w:w="7961"/>
            <w:shd w:fill="EEF2F7" w:val="clear"/>
            <w:tcMar>
              <w:top w:type="dxa" w:w="90"/>
              <w:left w:type="dxa" w:w="110"/>
              <w:bottom w:type="dxa" w:w="90"/>
              <w:right w:type="dxa" w:w="110"/>
            </w:tcMar>
            <w:vAlign w:val="center"/>
          </w:tcPr>
          <w:p>
            <w:pPr>
              <w:spacing w:after="0" w:line="260"/>
            </w:pPr>
            <w:r>
              <w:rPr>
                <w:b w:val="false"/>
                <w:bCs w:val="false"/>
                <w:sz w:val="18"/>
                <w:szCs w:val="18"/>
              </w:rPr>
              <w:t xml:space="preserve">Acquired by Skill-Lync in November 2022 (undisclosed sum); operates as an independent brand within the Skill-Lync Group</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Early backing</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Angel round from the “Flipkart mafia” — Binny Bansal, Amod Malviya, Vaibhav Gupta, Sujeet Kumar, Mekin Maheshwari, Ravi Garikipati — plus Xeed Ventures; ~$2.07M raised directly by Crio</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Scale</w:t>
            </w:r>
          </w:p>
        </w:tc>
        <w:tc>
          <w:tcPr>
            <w:tcW w:type="dxa" w:w="7961"/>
            <w:shd w:fill="EEF2F7" w:val="clear"/>
            <w:tcMar>
              <w:top w:type="dxa" w:w="90"/>
              <w:left w:type="dxa" w:w="110"/>
              <w:bottom w:type="dxa" w:w="90"/>
              <w:right w:type="dxa" w:w="110"/>
            </w:tcMar>
            <w:vAlign w:val="center"/>
          </w:tcPr>
          <w:p>
            <w:pPr>
              <w:spacing w:after="0" w:line="260"/>
            </w:pPr>
            <w:r>
              <w:rPr>
                <w:b w:val="false"/>
                <w:bCs w:val="false"/>
                <w:sz w:val="18"/>
                <w:szCs w:val="18"/>
              </w:rPr>
              <w:t xml:space="preserve">~179 employees (2022 figure); FY24 annual revenue reported around ₹58.6 Cr (~$7M); parent Skill-Lync has raised $30.7M total and serves 30,000+ students</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Category</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Applied, project-first upskilling for software development, QA automation, and (since 2022) core engineering via Skill-Lync</w:t>
            </w:r>
          </w:p>
        </w:tc>
      </w:tr>
    </w:tbl>
    <w:p>
      <w:pPr>
        <w:pStyle w:val="Heading2"/>
        <w:spacing w:after="160" w:before="340"/>
      </w:pPr>
      <w:r>
        <w:rPr>
          <w:b/>
          <w:bCs/>
        </w:rPr>
        <w:t xml:space="preserve">2.2 Complete feature inventory</w:t>
      </w:r>
    </w:p>
    <w:p>
      <w:pPr>
        <w:pStyle w:val="Heading3"/>
        <w:spacing w:after="120" w:before="260"/>
      </w:pPr>
      <w:r>
        <w:rPr>
          <w:b/>
          <w:bCs/>
        </w:rPr>
        <w:t xml:space="preserve">Curriculum &amp; learning design</w:t>
      </w:r>
    </w:p>
    <w:p>
      <w:pPr>
        <w:pStyle w:val="ListParagraph"/>
        <w:numPr>
          <w:ilvl w:val="0"/>
          <w:numId w:val="1"/>
        </w:numPr>
        <w:spacing w:after="90" w:line="276"/>
      </w:pPr>
      <w:r>
        <w:t xml:space="preserve">Specialization tracks: Full-Stack (Frontend-first), Backend, and QA Automation/SDET, each with a shared foundations phase (language fundamentals, HTTP/REST/Linux/Git/SQL/cloud deployment, and generative AI basics) before branching.</w:t>
      </w:r>
    </w:p>
    <w:p>
      <w:pPr>
        <w:pStyle w:val="ListParagraph"/>
        <w:numPr>
          <w:ilvl w:val="0"/>
          <w:numId w:val="1"/>
        </w:numPr>
        <w:spacing w:after="90" w:line="276"/>
      </w:pPr>
      <w:r>
        <w:t xml:space="preserve">Branded, recurring flagship projects act as a shared curriculum spine — QTrip (an Airbnb-style travel app), QKart (an Amazon/Flipkart-style shopping app), QEats (a Swiggy/Zomato-style food delivery backend) — each pushed to production-grade depth in the “Advanced” track (caching, Redis, JMeter load testing, XSS/CSRF security, Lighthouse performance profiling).</w:t>
      </w:r>
    </w:p>
    <w:p>
      <w:pPr>
        <w:pStyle w:val="ListParagraph"/>
        <w:numPr>
          <w:ilvl w:val="0"/>
          <w:numId w:val="1"/>
        </w:numPr>
        <w:spacing w:after="90" w:line="276"/>
      </w:pPr>
      <w:r>
        <w:t xml:space="preserve">An “Externship” layer sits on top of the branded curriculum: real problem statements sourced directly from partner companies (CRED, Jumbotail, Groww, Vicara, Slice, Recko, AWS, and historically Playment), reviewed by engineers from those companies, with the partner roster rotating cohort to cohort.</w:t>
      </w:r>
    </w:p>
    <w:p>
      <w:pPr>
        <w:pStyle w:val="ListParagraph"/>
        <w:numPr>
          <w:ilvl w:val="0"/>
          <w:numId w:val="1"/>
        </w:numPr>
        <w:spacing w:after="90" w:line="276"/>
      </w:pPr>
      <w:r>
        <w:t xml:space="preserve">An “Advanced” track layers System Design (HLD &amp; LLD), an Advanced Interview Blitz, and dedicated AI Engineering modules — including operational AI skills like tracking hallucination rates and using RAGAS/Langfuse for retrieval quality and production observability, which is a genuinely current, non-trivial curriculum choice.</w:t>
      </w:r>
    </w:p>
    <w:p>
      <w:pPr>
        <w:pStyle w:val="ListParagraph"/>
        <w:numPr>
          <w:ilvl w:val="0"/>
          <w:numId w:val="1"/>
        </w:numPr>
        <w:spacing w:after="90" w:line="276"/>
      </w:pPr>
      <w:r>
        <w:t xml:space="preserve">AI is woven through delivery, not bolted on: AI-guided hints during problem-solving, AI-generated “optimal solution” explanations, and explicit instruction in AI-assisted coding workflows (Cursor, Claude Code) as a graded skill, not just a tool learners happen to use.</w:t>
      </w:r>
    </w:p>
    <w:p>
      <w:pPr>
        <w:pStyle w:val="Heading3"/>
        <w:spacing w:after="120" w:before="260"/>
      </w:pPr>
      <w:r>
        <w:rPr>
          <w:b/>
          <w:bCs/>
        </w:rPr>
        <w:t xml:space="preserve">Career services &amp; outcomes</w:t>
      </w:r>
    </w:p>
    <w:p>
      <w:pPr>
        <w:pStyle w:val="ListParagraph"/>
        <w:numPr>
          <w:ilvl w:val="0"/>
          <w:numId w:val="1"/>
        </w:numPr>
        <w:spacing w:after="90" w:line="276"/>
      </w:pPr>
      <w:r>
        <w:t xml:space="preserve">1:1 mock interviews before real technical rounds, plus AI-powered mock interviews available on-demand.</w:t>
      </w:r>
    </w:p>
    <w:p>
      <w:pPr>
        <w:pStyle w:val="ListParagraph"/>
        <w:numPr>
          <w:ilvl w:val="0"/>
          <w:numId w:val="1"/>
        </w:numPr>
        <w:spacing w:after="90" w:line="276"/>
      </w:pPr>
      <w:r>
        <w:t xml:space="preserve">Peer-to-peer mock interviewing (learners interview each other, on the reasoning that interviewing sharpens your own answers).</w:t>
      </w:r>
    </w:p>
    <w:p>
      <w:pPr>
        <w:pStyle w:val="ListParagraph"/>
        <w:numPr>
          <w:ilvl w:val="0"/>
          <w:numId w:val="1"/>
        </w:numPr>
        <w:spacing w:after="90" w:line="276"/>
      </w:pPr>
      <w:r>
        <w:t xml:space="preserve">“Resume defense prep” — explicit practice defending every skill and project claim listed on a resume, anticipating recruiter probing.</w:t>
      </w:r>
    </w:p>
    <w:p>
      <w:pPr>
        <w:pStyle w:val="ListParagraph"/>
        <w:numPr>
          <w:ilvl w:val="0"/>
          <w:numId w:val="1"/>
        </w:numPr>
        <w:spacing w:after="90" w:line="276"/>
      </w:pPr>
      <w:r>
        <w:t xml:space="preserve">Structured soft-skills training with pre- and post-training assessments; GitHub/LinkedIn/resume profile preparation.</w:t>
      </w:r>
    </w:p>
    <w:p>
      <w:pPr>
        <w:pStyle w:val="ListParagraph"/>
        <w:numPr>
          <w:ilvl w:val="0"/>
          <w:numId w:val="1"/>
        </w:numPr>
        <w:spacing w:after="90" w:line="276"/>
      </w:pPr>
      <w:r>
        <w:t xml:space="preserve">1,000+ hiring partners; NSDC (National Skill Development Corporation)-approved training partner status, a government-credibility marker.</w:t>
      </w:r>
    </w:p>
    <w:p>
      <w:pPr>
        <w:pStyle w:val="ListParagraph"/>
        <w:numPr>
          <w:ilvl w:val="0"/>
          <w:numId w:val="1"/>
        </w:numPr>
        <w:spacing w:after="90" w:line="276"/>
      </w:pPr>
      <w:r>
        <w:t xml:space="preserve">A formal referral policy: after a first successful placement, further referrals are offered at Crio's discretion, contingent on the learner staying responsive to opportunities — referral flow can be paused if a learner goes quiet.</w:t>
      </w:r>
    </w:p>
    <w:p>
      <w:pPr>
        <w:pStyle w:val="Heading3"/>
        <w:spacing w:after="120" w:before="260"/>
      </w:pPr>
      <w:r>
        <w:rPr>
          <w:b/>
          <w:bCs/>
        </w:rPr>
        <w:t xml:space="preserve">Community, tooling &amp; free layer</w:t>
      </w:r>
    </w:p>
    <w:p>
      <w:pPr>
        <w:pStyle w:val="ListParagraph"/>
        <w:numPr>
          <w:ilvl w:val="0"/>
          <w:numId w:val="1"/>
        </w:numPr>
        <w:spacing w:after="90" w:line="276"/>
      </w:pPr>
      <w:r>
        <w:t xml:space="preserve">Crio Projects Hub: a free, public library of self-guided project ideas (React, Python, JavaScript and more) with a companion Crio Forum for community Q&amp;A — usable with zero signup friction, functioning as an evergreen SEO and lead-generation asset.</w:t>
      </w:r>
    </w:p>
    <w:p>
      <w:pPr>
        <w:pStyle w:val="ListParagraph"/>
        <w:numPr>
          <w:ilvl w:val="0"/>
          <w:numId w:val="1"/>
        </w:numPr>
        <w:spacing w:after="90" w:line="276"/>
      </w:pPr>
      <w:r>
        <w:t xml:space="preserve">Crio Resources: a free technical content hub (developer tooling guides, terminal productivity tips, Claude Code workflow guides) — pure content marketing aimed at the same technical-creator audience this platform is targeting.</w:t>
      </w:r>
    </w:p>
    <w:p>
      <w:pPr>
        <w:pStyle w:val="ListParagraph"/>
        <w:numPr>
          <w:ilvl w:val="0"/>
          <w:numId w:val="1"/>
        </w:numPr>
        <w:spacing w:after="90" w:line="276"/>
      </w:pPr>
      <w:r>
        <w:t xml:space="preserve">A Masterclass product sold separately with time-boxed discount campaigns (a 70%-off, countdown-timer launch sale was live at research time) — a more aggressive, urgency-driven sales pattern than the rest of the brand.</w:t>
      </w:r>
    </w:p>
    <w:p>
      <w:pPr>
        <w:pStyle w:val="ListParagraph"/>
        <w:numPr>
          <w:ilvl w:val="0"/>
          <w:numId w:val="1"/>
        </w:numPr>
        <w:spacing w:after="90" w:line="276"/>
      </w:pPr>
      <w:r>
        <w:t xml:space="preserve">An active Slack/Discord-style community with dedicated channels per learning module, live “Big Variables” talks from CEOs and senior engineers, and peer support baked into the free funnel.</w:t>
      </w:r>
    </w:p>
    <w:p>
      <w:pPr>
        <w:pStyle w:val="Heading2"/>
        <w:spacing w:after="160" w:before="340"/>
      </w:pPr>
      <w:r>
        <w:rPr>
          <w:b/>
          <w:bCs/>
        </w:rPr>
        <w:t xml:space="preserve">2.3 The free funnel: Crio Launch / Winter of Doing</w:t>
      </w:r>
    </w:p>
    <w:p>
      <w:pPr>
        <w:spacing w:after="200" w:line="288"/>
        <w:jc w:val="left"/>
      </w:pPr>
      <w:r>
        <w:t xml:space="preserve">This is Crio's best asset and deserves its own section. It is a completely free, three-stage, gated program:</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429"/>
        <w:gridCol w:w="1633"/>
        <w:gridCol w:w="4899"/>
        <w:gridCol w:w="2245"/>
      </w:tblGrid>
      <w:tr>
        <w:trPr>
          <w:tblHeader/>
        </w:trPr>
        <w:tc>
          <w:tcPr>
            <w:tcW w:type="dxa" w:w="1429"/>
            <w:shd w:fill="1B2A4A" w:val="clear"/>
            <w:tcMar>
              <w:top w:type="dxa" w:w="100"/>
              <w:left w:type="dxa" w:w="110"/>
              <w:bottom w:type="dxa" w:w="100"/>
              <w:right w:type="dxa" w:w="110"/>
            </w:tcMar>
            <w:vAlign w:val="center"/>
          </w:tcPr>
          <w:p>
            <w:pPr>
              <w:spacing w:after="0"/>
            </w:pPr>
            <w:r>
              <w:rPr>
                <w:b/>
                <w:bCs/>
                <w:color w:val="FFFFFF"/>
                <w:sz w:val="18"/>
                <w:szCs w:val="18"/>
              </w:rPr>
              <w:t xml:space="preserve">Stage</w:t>
            </w:r>
          </w:p>
        </w:tc>
        <w:tc>
          <w:tcPr>
            <w:tcW w:type="dxa" w:w="1633"/>
            <w:shd w:fill="1B2A4A" w:val="clear"/>
            <w:tcMar>
              <w:top w:type="dxa" w:w="100"/>
              <w:left w:type="dxa" w:w="110"/>
              <w:bottom w:type="dxa" w:w="100"/>
              <w:right w:type="dxa" w:w="110"/>
            </w:tcMar>
            <w:vAlign w:val="center"/>
          </w:tcPr>
          <w:p>
            <w:pPr>
              <w:spacing w:after="0"/>
            </w:pPr>
            <w:r>
              <w:rPr>
                <w:b/>
                <w:bCs/>
                <w:color w:val="FFFFFF"/>
                <w:sz w:val="18"/>
                <w:szCs w:val="18"/>
              </w:rPr>
              <w:t xml:space="preserve">Duration</w:t>
            </w:r>
          </w:p>
        </w:tc>
        <w:tc>
          <w:tcPr>
            <w:tcW w:type="dxa" w:w="4899"/>
            <w:shd w:fill="1B2A4A" w:val="clear"/>
            <w:tcMar>
              <w:top w:type="dxa" w:w="100"/>
              <w:left w:type="dxa" w:w="110"/>
              <w:bottom w:type="dxa" w:w="100"/>
              <w:right w:type="dxa" w:w="110"/>
            </w:tcMar>
            <w:vAlign w:val="center"/>
          </w:tcPr>
          <w:p>
            <w:pPr>
              <w:spacing w:after="0"/>
            </w:pPr>
            <w:r>
              <w:rPr>
                <w:b/>
                <w:bCs/>
                <w:color w:val="FFFFFF"/>
                <w:sz w:val="18"/>
                <w:szCs w:val="18"/>
              </w:rPr>
              <w:t xml:space="preserve">What happens</w:t>
            </w:r>
          </w:p>
        </w:tc>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Gate to next stage</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1 — Warm-up</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~1 week</w:t>
            </w:r>
          </w:p>
        </w:tc>
        <w:tc>
          <w:tcPr>
            <w:tcW w:type="dxa" w:w="4899"/>
            <w:tcMar>
              <w:top w:type="dxa" w:w="90"/>
              <w:left w:type="dxa" w:w="110"/>
              <w:bottom w:type="dxa" w:w="90"/>
              <w:right w:type="dxa" w:w="110"/>
            </w:tcMar>
            <w:vAlign w:val="center"/>
          </w:tcPr>
          <w:p>
            <w:pPr>
              <w:spacing w:after="0" w:line="260"/>
            </w:pPr>
            <w:r>
              <w:rPr>
                <w:b w:val="false"/>
                <w:bCs w:val="false"/>
                <w:sz w:val="18"/>
                <w:szCs w:val="18"/>
              </w:rPr>
              <w:t xml:space="preserve">Self-paced “Bytes” (micro-modules) on HTTP, REST, Linux, Git, AWS basics, plus a portfolio-site mini-project</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Quiz-gated completion of all required Bytes</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2 — Preparation</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~2–3 weeks</w:t>
            </w:r>
          </w:p>
        </w:tc>
        <w:tc>
          <w:tcPr>
            <w:tcW w:type="dxa" w:w="4899"/>
            <w:shd w:fill="EEF2F7" w:val="clear"/>
            <w:tcMar>
              <w:top w:type="dxa" w:w="90"/>
              <w:left w:type="dxa" w:w="110"/>
              <w:bottom w:type="dxa" w:w="90"/>
              <w:right w:type="dxa" w:w="110"/>
            </w:tcMar>
            <w:vAlign w:val="center"/>
          </w:tcPr>
          <w:p>
            <w:pPr>
              <w:spacing w:after="0" w:line="260"/>
            </w:pPr>
            <w:r>
              <w:rPr>
                <w:b w:val="false"/>
                <w:bCs w:val="false"/>
                <w:sz w:val="18"/>
                <w:szCs w:val="18"/>
              </w:rPr>
              <w:t xml:space="preserve">A complete mini-project (e.g. a meme-sharing app) built and evaluated</w:t>
            </w:r>
          </w:p>
        </w:tc>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Project evaluation score</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3 — Externships</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~6 weeks</w:t>
            </w:r>
          </w:p>
        </w:tc>
        <w:tc>
          <w:tcPr>
            <w:tcW w:type="dxa" w:w="4899"/>
            <w:tcMar>
              <w:top w:type="dxa" w:w="90"/>
              <w:left w:type="dxa" w:w="110"/>
              <w:bottom w:type="dxa" w:w="90"/>
              <w:right w:type="dxa" w:w="110"/>
            </w:tcMar>
            <w:vAlign w:val="center"/>
          </w:tcPr>
          <w:p>
            <w:pPr>
              <w:spacing w:after="0" w:line="260"/>
            </w:pPr>
            <w:r>
              <w:rPr>
                <w:b w:val="false"/>
                <w:bCs w:val="false"/>
                <w:sz w:val="18"/>
                <w:szCs w:val="18"/>
              </w:rPr>
              <w:t xml:space="preserve">Paired placement (teams of 2) on a real partner-company problem statement, with mentor AMAs and a company-run demo evaluation</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Selection based on Stage 2 performance and fit</w:t>
            </w:r>
          </w:p>
        </w:tc>
      </w:tr>
    </w:tbl>
    <w:p>
      <w:pPr>
        <w:spacing w:after="200" w:line="288"/>
        <w:jc w:val="left"/>
      </w:pPr>
      <w:r>
        <w:t xml:space="preserve">Reported applicant volume exceeds 10,000 per cohort for a program that converts only a fraction through to the paid-company externship stage — meaning the free funnel does triple duty as lead generation, pre-training (graduates already know Crio's tooling and pedagogy before ever paying), and organic word-of-mouth. Public, unprompted first-person write-ups of the experience (Medium, DEV.to) are consistently enthusiastic, in sharp contrast to sentiment about the paid program below.</w:t>
      </w:r>
    </w:p>
    <w:p>
      <w:pPr>
        <w:pStyle w:val="Heading2"/>
        <w:spacing w:after="160" w:before="340"/>
      </w:pPr>
      <w:r>
        <w:rPr>
          <w:b/>
          <w:bCs/>
        </w:rPr>
        <w:t xml:space="preserve">2.4 Business model &amp; pricing mechanics</w:t>
      </w:r>
    </w:p>
    <w:p>
      <w:pPr>
        <w:pStyle w:val="ListParagraph"/>
        <w:numPr>
          <w:ilvl w:val="0"/>
          <w:numId w:val="1"/>
        </w:numPr>
        <w:spacing w:after="90" w:line="276"/>
      </w:pPr>
      <w:r>
        <w:rPr>
          <w:b/>
          <w:bCs/>
          <w:i w:val="false"/>
          <w:iCs w:val="false"/>
        </w:rPr>
        <w:t xml:space="preserve">Program fee: </w:t>
      </w:r>
      <w:r>
        <w:rPr>
          <w:b w:val="false"/>
          <w:bCs w:val="false"/>
          <w:i w:val="false"/>
          <w:iCs w:val="false"/>
        </w:rPr>
        <w:t xml:space="preserve">historically ~₹89,999 + GST at enrollment for the flagship guaranteed-placement program (figures vary by track and have moved over time; treat as directional).</w:t>
      </w:r>
    </w:p>
    <w:p>
      <w:pPr>
        <w:pStyle w:val="ListParagraph"/>
        <w:numPr>
          <w:ilvl w:val="0"/>
          <w:numId w:val="1"/>
        </w:numPr>
        <w:spacing w:after="90" w:line="276"/>
      </w:pPr>
      <w:r>
        <w:rPr>
          <w:b/>
          <w:bCs/>
          <w:i w:val="false"/>
          <w:iCs w:val="false"/>
        </w:rPr>
        <w:t xml:space="preserve">Placement guarantee: </w:t>
      </w:r>
      <w:r>
        <w:rPr>
          <w:b w:val="false"/>
          <w:bCs w:val="false"/>
          <w:i w:val="false"/>
          <w:iCs w:val="false"/>
        </w:rPr>
        <w:t xml:space="preserve">based on profile fit, some learners qualify for a minimum-CTC guarantee; if unmet within a year, Crio states it will refund the program fee. Terms are individually specified in each learner's admission letter, not standardized publicly.</w:t>
      </w:r>
    </w:p>
    <w:p>
      <w:pPr>
        <w:pStyle w:val="ListParagraph"/>
        <w:numPr>
          <w:ilvl w:val="0"/>
          <w:numId w:val="1"/>
        </w:numPr>
        <w:spacing w:after="90" w:line="276"/>
      </w:pPr>
      <w:r>
        <w:rPr>
          <w:b/>
          <w:bCs/>
          <w:i w:val="false"/>
          <w:iCs w:val="false"/>
        </w:rPr>
        <w:t xml:space="preserve">Success fee: </w:t>
      </w:r>
      <w:r>
        <w:rPr>
          <w:b w:val="false"/>
          <w:bCs w:val="false"/>
          <w:i w:val="false"/>
          <w:iCs w:val="false"/>
        </w:rPr>
        <w:t xml:space="preserve">₹19,999 if the placed CTC is under 20 LPA, ₹39,999 if above — charged only after a successful, criteria-matching placement.</w:t>
      </w:r>
    </w:p>
    <w:p>
      <w:pPr>
        <w:pStyle w:val="ListParagraph"/>
        <w:numPr>
          <w:ilvl w:val="0"/>
          <w:numId w:val="1"/>
        </w:numPr>
        <w:spacing w:after="90" w:line="276"/>
      </w:pPr>
      <w:r>
        <w:rPr>
          <w:b/>
          <w:bCs/>
          <w:i w:val="false"/>
          <w:iCs w:val="false"/>
        </w:rPr>
        <w:t xml:space="preserve">EMI: </w:t>
      </w:r>
      <w:r>
        <w:rPr>
          <w:b w:val="false"/>
          <w:bCs w:val="false"/>
          <w:i w:val="false"/>
          <w:iCs w:val="false"/>
        </w:rPr>
        <w:t xml:space="preserve">12-month no-cost and 18/24/36-month low-cost EMI via third-party finance partners (Eduvanz among them).</w:t>
      </w:r>
    </w:p>
    <w:p>
      <w:pPr>
        <w:pStyle w:val="ListParagraph"/>
        <w:numPr>
          <w:ilvl w:val="0"/>
          <w:numId w:val="1"/>
        </w:numPr>
        <w:spacing w:after="90" w:line="276"/>
      </w:pPr>
      <w:r>
        <w:rPr>
          <w:b/>
          <w:bCs/>
          <w:i w:val="false"/>
          <w:iCs w:val="false"/>
        </w:rPr>
        <w:t xml:space="preserve">Refund policy: </w:t>
      </w:r>
      <w:r>
        <w:rPr>
          <w:b w:val="false"/>
          <w:bCs w:val="false"/>
          <w:i w:val="false"/>
          <w:iCs w:val="false"/>
        </w:rPr>
        <w:t xml:space="preserve">a strict, published no-refund/no-cancellation policy on program fees “under any circumstances,” with a separate registration/token fee that is explicitly non-refundable.</w:t>
      </w:r>
    </w:p>
    <w:p>
      <w:pPr>
        <w:pStyle w:val="ListParagraph"/>
        <w:numPr>
          <w:ilvl w:val="0"/>
          <w:numId w:val="1"/>
        </w:numPr>
        <w:spacing w:after="90" w:line="276"/>
      </w:pPr>
      <w:r>
        <w:rPr>
          <w:b/>
          <w:bCs/>
          <w:i w:val="false"/>
          <w:iCs w:val="false"/>
        </w:rPr>
        <w:t xml:space="preserve">Academic integrity enforcement: </w:t>
      </w:r>
      <w:r>
        <w:rPr>
          <w:b w:val="false"/>
          <w:bCs w:val="false"/>
          <w:i w:val="false"/>
          <w:iCs w:val="false"/>
        </w:rPr>
        <w:t xml:space="preserve">explicit anti-plagiarism and content-authenticity checks, with termination (and loss of all career services) as the stated penalty for violations.</w:t>
      </w:r>
    </w:p>
    <w:p>
      <w:pPr>
        <w:pStyle w:val="Heading2"/>
        <w:spacing w:after="160" w:before="340"/>
      </w:pPr>
      <w:r>
        <w:rPr>
          <w:b/>
          <w:bCs/>
        </w:rPr>
        <w:t xml:space="preserve">2.5 What real users say</w:t>
      </w:r>
    </w:p>
    <w:p>
      <w:pPr>
        <w:pStyle w:val="Heading3"/>
        <w:spacing w:after="120" w:before="260"/>
      </w:pPr>
      <w:r>
        <w:rPr>
          <w:b/>
          <w:bCs/>
        </w:rPr>
        <w:t xml:space="preserve">The free program: genuinely positive</w:t>
      </w:r>
    </w:p>
    <w:p>
      <w:pPr>
        <w:spacing w:after="200" w:line="288"/>
        <w:jc w:val="left"/>
      </w:pPr>
      <w:r>
        <w:t xml:space="preserve">Independent, unprompted blog posts from Winter of Doing participants describe real enthusiasm — gratitude toward mentors, pride in shipped work, and a supportive community. This sentiment shows up consistently across multiple independent authors over several years, which is a meaningfully stronger signal than a testimonials page.</w:t>
      </w:r>
    </w:p>
    <w:p>
      <w:pPr>
        <w:pStyle w:val="Heading3"/>
        <w:spacing w:after="120" w:before="260"/>
      </w:pPr>
      <w:r>
        <w:rPr>
          <w:b/>
          <w:bCs/>
        </w:rPr>
        <w:t xml:space="preserve">The paid program: a real, recurring complaint pattern</w:t>
      </w:r>
    </w:p>
    <w:p>
      <w:pPr>
        <w:spacing w:after="200" w:line="288"/>
        <w:jc w:val="left"/>
      </w:pPr>
      <w:r>
        <w:t xml:space="preserve">Public review sentiment on Trustpilot and filings on consumer-complaint forums show a repeated pattern, independent of any single reviewer: learners who did not land a qualifying placement report that Crio's strict no-refund policy and a requirement to complete a full set of program “sprints” before career services activate created a situation where a dissatisfied learner who disengaged early could not access the guarantee they enrolled for. Some reviews use extreme language (“fraud,” “scam”) that this document does not adopt as fact — Trustpilot sentiment structurally skews negative, and Crio is a real, credibly-backed company with genuine outcomes for many learners. But the specific, recurring mechanism — a big up-front guarantee promise paired with rigid, contested refund terms — is a pattern worth taking seriously as a design warning, not a one-off.</w:t>
      </w:r>
    </w:p>
    <w:p>
      <w:pPr>
        <w:pStyle w:val="Heading2"/>
        <w:spacing w:after="160" w:before="340"/>
      </w:pPr>
      <w:r>
        <w:rPr>
          <w:b/>
          <w:bCs/>
        </w:rPr>
        <w:t xml:space="preserve">2.6 Verdict</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5103"/>
        <w:gridCol w:w="5103"/>
      </w:tblGrid>
      <w:tr>
        <w:trPr>
          <w:tblHeader/>
        </w:trPr>
        <w:tc>
          <w:tcPr>
            <w:tcW w:type="dxa" w:w="5103"/>
            <w:shd w:fill="1B2A4A" w:val="clear"/>
            <w:tcMar>
              <w:top w:type="dxa" w:w="100"/>
              <w:left w:type="dxa" w:w="110"/>
              <w:bottom w:type="dxa" w:w="100"/>
              <w:right w:type="dxa" w:w="110"/>
            </w:tcMar>
            <w:vAlign w:val="center"/>
          </w:tcPr>
          <w:p>
            <w:pPr>
              <w:spacing w:after="0"/>
            </w:pPr>
            <w:r>
              <w:rPr>
                <w:b/>
                <w:bCs/>
                <w:color w:val="FFFFFF"/>
                <w:sz w:val="18"/>
                <w:szCs w:val="18"/>
              </w:rPr>
              <w:t xml:space="preserve">Strengths</w:t>
            </w:r>
          </w:p>
        </w:tc>
        <w:tc>
          <w:tcPr>
            <w:tcW w:type="dxa" w:w="5103"/>
            <w:shd w:fill="1B2A4A" w:val="clear"/>
            <w:tcMar>
              <w:top w:type="dxa" w:w="100"/>
              <w:left w:type="dxa" w:w="110"/>
              <w:bottom w:type="dxa" w:w="100"/>
              <w:right w:type="dxa" w:w="110"/>
            </w:tcMar>
            <w:vAlign w:val="center"/>
          </w:tcPr>
          <w:p>
            <w:pPr>
              <w:spacing w:after="0"/>
            </w:pPr>
            <w:r>
              <w:rPr>
                <w:b/>
                <w:bCs/>
                <w:color w:val="FFFFFF"/>
                <w:sz w:val="18"/>
                <w:szCs w:val="18"/>
              </w:rPr>
              <w:t xml:space="preserve">Weaknesses</w:t>
            </w:r>
          </w:p>
        </w:tc>
      </w:tr>
      <w:tr>
        <w:tc>
          <w:tcPr>
            <w:tcW w:type="dxa" w:w="5103"/>
            <w:tcMar>
              <w:top w:type="dxa" w:w="90"/>
              <w:left w:type="dxa" w:w="110"/>
              <w:bottom w:type="dxa" w:w="90"/>
              <w:right w:type="dxa" w:w="110"/>
            </w:tcMar>
            <w:vAlign w:val="center"/>
          </w:tcPr>
          <w:p>
            <w:pPr>
              <w:spacing w:after="0" w:line="260"/>
            </w:pPr>
            <w:r>
              <w:rPr>
                <w:b w:val="false"/>
                <w:bCs w:val="false"/>
                <w:sz w:val="18"/>
                <w:szCs w:val="18"/>
              </w:rPr>
              <w:t xml:space="preserve">Free funnel is a genuinely best-in-class acquisition and pre-training asset</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Refund/guarantee terms are a recurring, public trust liability</w:t>
            </w:r>
          </w:p>
        </w:tc>
      </w:tr>
      <w:tr>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Real-company-branded projects with rotating partners are a strong resume differentiator</w:t>
            </w:r>
          </w:p>
        </w:tc>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Single in-house curriculum brand — no multi-creator marketplace dynamic</w:t>
            </w:r>
          </w:p>
        </w:tc>
      </w:tr>
      <w:tr>
        <w:tc>
          <w:tcPr>
            <w:tcW w:type="dxa" w:w="5103"/>
            <w:tcMar>
              <w:top w:type="dxa" w:w="90"/>
              <w:left w:type="dxa" w:w="110"/>
              <w:bottom w:type="dxa" w:w="90"/>
              <w:right w:type="dxa" w:w="110"/>
            </w:tcMar>
            <w:vAlign w:val="center"/>
          </w:tcPr>
          <w:p>
            <w:pPr>
              <w:spacing w:after="0" w:line="260"/>
            </w:pPr>
            <w:r>
              <w:rPr>
                <w:b w:val="false"/>
                <w:bCs w:val="false"/>
                <w:sz w:val="18"/>
                <w:szCs w:val="18"/>
              </w:rPr>
              <w:t xml:space="preserve">Now backed by a larger, better-funded parent (Skill-Lync)</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Narrow subject range (software dev / QA); no à la carte entry point below the full program</w:t>
            </w:r>
          </w:p>
        </w:tc>
      </w:tr>
      <w:tr>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Current, non-trivial AI-engineering curriculum content (RAGAS, Langfuse, AI-assisted coding as a graded skill)</w:t>
            </w:r>
          </w:p>
        </w:tc>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Sales-driven enrollment motion shows up as a complaint theme in negative reviews</w:t>
            </w:r>
          </w:p>
        </w:tc>
      </w:tr>
    </w:tbl>
    <w:p>
      <w:pPr>
        <w:pStyle w:val="Heading1"/>
        <w:pageBreakBefore/>
        <w:spacing w:after="220" w:before="200"/>
      </w:pPr>
      <w:r>
        <w:rPr>
          <w:b/>
          <w:bCs/>
        </w:rPr>
        <w:t xml:space="preserve">3. Euron &amp; Euron Systems — Full Teardown</w:t>
      </w:r>
    </w:p>
    <w:p>
      <w:pPr>
        <w:spacing w:after="200" w:line="288"/>
        <w:jc w:val="left"/>
      </w:pPr>
      <w:r>
        <w:t xml:space="preserve">“Euron” is two related but distinct products from the same founding team, and both matter to you for different reasons. Euron (euron.one) is a B2C subscription learning platform — a direct content competitor. Euron Systems (euronsystems.com) is the B2B white-label infrastructure product — a second Fermion-class vendor to weigh in the build-vs-buy decision from the first spec. This section covers both.</w:t>
      </w:r>
    </w:p>
    <w:p>
      <w:pPr>
        <w:pStyle w:val="Heading2"/>
        <w:spacing w:after="160" w:before="340"/>
      </w:pPr>
      <w:r>
        <w:rPr>
          <w:b/>
          <w:bCs/>
        </w:rPr>
        <w:t xml:space="preserve">3.1 Company snapshot</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449"/>
        <w:gridCol w:w="7757"/>
      </w:tblGrid>
      <w:tr>
        <w:trPr>
          <w:tblHeader/>
        </w:trPr>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Attribute</w:t>
            </w:r>
          </w:p>
        </w:tc>
        <w:tc>
          <w:tcPr>
            <w:tcW w:type="dxa" w:w="7757"/>
            <w:shd w:fill="1B2A4A" w:val="clear"/>
            <w:tcMar>
              <w:top w:type="dxa" w:w="100"/>
              <w:left w:type="dxa" w:w="110"/>
              <w:bottom w:type="dxa" w:w="100"/>
              <w:right w:type="dxa" w:w="110"/>
            </w:tcMar>
            <w:vAlign w:val="center"/>
          </w:tcPr>
          <w:p>
            <w:pPr>
              <w:spacing w:after="0"/>
            </w:pPr>
            <w:r>
              <w:rPr>
                <w:b/>
                <w:bCs/>
                <w:color w:val="FFFFFF"/>
                <w:sz w:val="18"/>
                <w:szCs w:val="18"/>
              </w:rPr>
              <w:t xml:space="preserve">Detail</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Founders</w:t>
            </w:r>
          </w:p>
        </w:tc>
        <w:tc>
          <w:tcPr>
            <w:tcW w:type="dxa" w:w="7757"/>
            <w:tcMar>
              <w:top w:type="dxa" w:w="90"/>
              <w:left w:type="dxa" w:w="110"/>
              <w:bottom w:type="dxa" w:w="90"/>
              <w:right w:type="dxa" w:w="110"/>
            </w:tcMar>
            <w:vAlign w:val="center"/>
          </w:tcPr>
          <w:p>
            <w:pPr>
              <w:spacing w:after="0" w:line="260"/>
            </w:pPr>
            <w:r>
              <w:rPr>
                <w:b w:val="false"/>
                <w:bCs w:val="false"/>
                <w:sz w:val="18"/>
                <w:szCs w:val="18"/>
              </w:rPr>
              <w:t xml:space="preserve">Sudhanshu Kumar and Sujoy Ghosh. Sudhanshu previously founded iNeuron.ai (2019, with Krish Naik), which reached 400+ courses, 10,000+ reported career transitions, and was acquired by Physics Wallah for a reported ₹250 Cr (~$30M) — a real prior exit, not a first-time founder story</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Base</w:t>
            </w:r>
          </w:p>
        </w:tc>
        <w:tc>
          <w:tcPr>
            <w:tcW w:type="dxa" w:w="7757"/>
            <w:shd w:fill="EEF2F7" w:val="clear"/>
            <w:tcMar>
              <w:top w:type="dxa" w:w="90"/>
              <w:left w:type="dxa" w:w="110"/>
              <w:bottom w:type="dxa" w:w="90"/>
              <w:right w:type="dxa" w:w="110"/>
            </w:tcMar>
            <w:vAlign w:val="center"/>
          </w:tcPr>
          <w:p>
            <w:pPr>
              <w:spacing w:after="0" w:line="260"/>
            </w:pPr>
            <w:r>
              <w:rPr>
                <w:b w:val="false"/>
                <w:bCs w:val="false"/>
                <w:sz w:val="18"/>
                <w:szCs w:val="18"/>
              </w:rPr>
              <w:t xml:space="preserve">Bangalore, India</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Products</w:t>
            </w:r>
          </w:p>
        </w:tc>
        <w:tc>
          <w:tcPr>
            <w:tcW w:type="dxa" w:w="7757"/>
            <w:tcMar>
              <w:top w:type="dxa" w:w="90"/>
              <w:left w:type="dxa" w:w="110"/>
              <w:bottom w:type="dxa" w:w="90"/>
              <w:right w:type="dxa" w:w="110"/>
            </w:tcMar>
            <w:vAlign w:val="center"/>
          </w:tcPr>
          <w:p>
            <w:pPr>
              <w:spacing w:after="0" w:line="260"/>
            </w:pPr>
            <w:r>
              <w:rPr>
                <w:b w:val="false"/>
                <w:bCs w:val="false"/>
                <w:sz w:val="18"/>
                <w:szCs w:val="18"/>
              </w:rPr>
              <w:t xml:space="preserve">Euron (euron.one) — B2C subscription courses/projects. Euron Systems (euronsystems.com) — B2B white-label EdTech operating system</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Compliance posture</w:t>
            </w:r>
          </w:p>
        </w:tc>
        <w:tc>
          <w:tcPr>
            <w:tcW w:type="dxa" w:w="7757"/>
            <w:shd w:fill="EEF2F7" w:val="clear"/>
            <w:tcMar>
              <w:top w:type="dxa" w:w="90"/>
              <w:left w:type="dxa" w:w="110"/>
              <w:bottom w:type="dxa" w:w="90"/>
              <w:right w:type="dxa" w:w="110"/>
            </w:tcMar>
            <w:vAlign w:val="center"/>
          </w:tcPr>
          <w:p>
            <w:pPr>
              <w:spacing w:after="0" w:line="260"/>
            </w:pPr>
            <w:r>
              <w:rPr>
                <w:b w:val="false"/>
                <w:bCs w:val="false"/>
                <w:sz w:val="18"/>
                <w:szCs w:val="18"/>
              </w:rPr>
              <w:t xml:space="preserve">Publicly claims SOC 2 Compliant, GDPR Ready, ISO 27001, 99.9% uptime — an unusually strong trust posture for a young platform, worth independently verifying before treating as fact</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Go-to-market maturity</w:t>
            </w:r>
          </w:p>
        </w:tc>
        <w:tc>
          <w:tcPr>
            <w:tcW w:type="dxa" w:w="7757"/>
            <w:tcMar>
              <w:top w:type="dxa" w:w="90"/>
              <w:left w:type="dxa" w:w="110"/>
              <w:bottom w:type="dxa" w:w="90"/>
              <w:right w:type="dxa" w:w="110"/>
            </w:tcMar>
            <w:vAlign w:val="center"/>
          </w:tcPr>
          <w:p>
            <w:pPr>
              <w:spacing w:after="0" w:line="260"/>
            </w:pPr>
            <w:r>
              <w:rPr>
                <w:b w:val="false"/>
                <w:bCs w:val="false"/>
                <w:sz w:val="18"/>
                <w:szCs w:val="18"/>
              </w:rPr>
              <w:t xml:space="preserve">Dedicated /compare battlecard pages (vs Classplus, Graphy, Kajabi, Thinkific, Teachable), an ROI/savings calculator, webinars, documentation, and a partner program — a notably sophisticated GTM apparatus for a young infra vendor</w:t>
            </w:r>
          </w:p>
        </w:tc>
      </w:tr>
    </w:tbl>
    <w:p>
      <w:pPr>
        <w:pStyle w:val="Heading2"/>
        <w:spacing w:after="160" w:before="340"/>
      </w:pPr>
      <w:r>
        <w:rPr>
          <w:b/>
          <w:bCs/>
        </w:rPr>
        <w:t xml:space="preserve">3.2 Euron Systems (B2B infrastructure) — complete feature inventory</w:t>
      </w:r>
    </w:p>
    <w:p>
      <w:pPr>
        <w:pStyle w:val="Heading3"/>
        <w:spacing w:after="120" w:before="260"/>
      </w:pPr>
      <w:r>
        <w:rPr>
          <w:b/>
          <w:bCs/>
        </w:rPr>
        <w:t xml:space="preserve">Core positioning</w:t>
      </w:r>
    </w:p>
    <w:p>
      <w:pPr>
        <w:pStyle w:val="ListParagraph"/>
        <w:numPr>
          <w:ilvl w:val="0"/>
          <w:numId w:val="1"/>
        </w:numPr>
        <w:spacing w:after="90" w:line="276"/>
      </w:pPr>
      <w:r>
        <w:t xml:space="preserve">Zero commission, forever — the headline claim: whether a creator sells a $10 ebook or a $10,000 enterprise cohort, Euron Systems takes no percentage, only a flat monthly subscription.</w:t>
      </w:r>
    </w:p>
    <w:p>
      <w:pPr>
        <w:pStyle w:val="ListParagraph"/>
        <w:numPr>
          <w:ilvl w:val="0"/>
          <w:numId w:val="1"/>
        </w:numPr>
        <w:spacing w:after="90" w:line="276"/>
      </w:pPr>
      <w:r>
        <w:t xml:space="preserve">Full white-labeling: custom domain, complete brand removal, and native iOS/Android/tablet apps positioned as included (Android is live; iOS was described as both “coming soon” and “included” across different pages — treat iOS availability as in-progress).</w:t>
      </w:r>
    </w:p>
    <w:p>
      <w:pPr>
        <w:pStyle w:val="ListParagraph"/>
        <w:numPr>
          <w:ilvl w:val="0"/>
          <w:numId w:val="1"/>
        </w:numPr>
        <w:spacing w:after="90" w:line="276"/>
      </w:pPr>
      <w:r>
        <w:t xml:space="preserve">“Launch in 30 seconds” self-serve onboarding with a free-forever “Explorer” evaluation plan using demo data — no credit card required to start evaluating.</w:t>
      </w:r>
    </w:p>
    <w:p>
      <w:pPr>
        <w:pStyle w:val="Heading3"/>
        <w:spacing w:after="120" w:before="260"/>
      </w:pPr>
      <w:r>
        <w:rPr>
          <w:b/>
          <w:bCs/>
        </w:rPr>
        <w:t xml:space="preserve">Native business operating system</w:t>
      </w:r>
    </w:p>
    <w:p>
      <w:pPr>
        <w:pStyle w:val="ListParagraph"/>
        <w:numPr>
          <w:ilvl w:val="0"/>
          <w:numId w:val="1"/>
        </w:numPr>
        <w:spacing w:after="90" w:line="276"/>
      </w:pPr>
      <w:r>
        <w:rPr>
          <w:b/>
          <w:bCs/>
          <w:i w:val="false"/>
          <w:iCs w:val="false"/>
        </w:rPr>
        <w:t xml:space="preserve">CRM — </w:t>
      </w:r>
      <w:r>
        <w:rPr>
          <w:b w:val="false"/>
          <w:bCs w:val="false"/>
          <w:i w:val="false"/>
          <w:iCs w:val="false"/>
        </w:rPr>
        <w:t xml:space="preserve">lead tracking, marketing pipeline automation, student communication, all in one dashboard.</w:t>
      </w:r>
    </w:p>
    <w:p>
      <w:pPr>
        <w:pStyle w:val="ListParagraph"/>
        <w:numPr>
          <w:ilvl w:val="0"/>
          <w:numId w:val="1"/>
        </w:numPr>
        <w:spacing w:after="90" w:line="276"/>
      </w:pPr>
      <w:r>
        <w:rPr>
          <w:b/>
          <w:bCs/>
          <w:i w:val="false"/>
          <w:iCs w:val="false"/>
        </w:rPr>
        <w:t xml:space="preserve">HRMS &amp; payroll — </w:t>
      </w:r>
      <w:r>
        <w:rPr>
          <w:b w:val="false"/>
          <w:bCs w:val="false"/>
          <w:i w:val="false"/>
          <w:iCs w:val="false"/>
        </w:rPr>
        <w:t xml:space="preserve">manage instructors and internal team without separate enterprise software.</w:t>
      </w:r>
    </w:p>
    <w:p>
      <w:pPr>
        <w:pStyle w:val="ListParagraph"/>
        <w:numPr>
          <w:ilvl w:val="0"/>
          <w:numId w:val="1"/>
        </w:numPr>
        <w:spacing w:after="90" w:line="276"/>
      </w:pPr>
      <w:r>
        <w:rPr>
          <w:b/>
          <w:bCs/>
          <w:i w:val="false"/>
          <w:iCs w:val="false"/>
        </w:rPr>
        <w:t xml:space="preserve">Financial management — </w:t>
      </w:r>
      <w:r>
        <w:rPr>
          <w:b w:val="false"/>
          <w:bCs w:val="false"/>
          <w:i w:val="false"/>
          <w:iCs w:val="false"/>
        </w:rPr>
        <w:t xml:space="preserve">invoicing, expense tracking, P&amp;L statements, cash flow forecasting, GST/tax filing, multi-entity accounting (Enterprise tier) — a genuinely full accounting suite, not just payment processing.</w:t>
      </w:r>
    </w:p>
    <w:p>
      <w:pPr>
        <w:pStyle w:val="ListParagraph"/>
        <w:numPr>
          <w:ilvl w:val="0"/>
          <w:numId w:val="1"/>
        </w:numPr>
        <w:spacing w:after="90" w:line="276"/>
      </w:pPr>
      <w:r>
        <w:rPr>
          <w:b/>
          <w:bCs/>
          <w:i w:val="false"/>
          <w:iCs w:val="false"/>
        </w:rPr>
        <w:t xml:space="preserve">Enterprise DRM — </w:t>
      </w:r>
      <w:r>
        <w:rPr>
          <w:b w:val="false"/>
          <w:bCs w:val="false"/>
          <w:i w:val="false"/>
          <w:iCs w:val="false"/>
        </w:rPr>
        <w:t xml:space="preserve">digital rights management with dynamic watermarking; offline mobile video downloads remain DRM-encrypted and playable only in-app.</w:t>
      </w:r>
    </w:p>
    <w:p>
      <w:pPr>
        <w:pStyle w:val="Heading3"/>
        <w:spacing w:after="120" w:before="260"/>
      </w:pPr>
      <w:r>
        <w:rPr>
          <w:b/>
          <w:bCs/>
        </w:rPr>
        <w:t xml:space="preserve">AI product suite</w:t>
      </w:r>
    </w:p>
    <w:p>
      <w:pPr>
        <w:pStyle w:val="ListParagraph"/>
        <w:numPr>
          <w:ilvl w:val="0"/>
          <w:numId w:val="1"/>
        </w:numPr>
        <w:spacing w:after="90" w:line="276"/>
      </w:pPr>
      <w:r>
        <w:rPr>
          <w:b/>
          <w:bCs/>
          <w:i w:val="false"/>
          <w:iCs w:val="false"/>
        </w:rPr>
        <w:t xml:space="preserve">EURI — </w:t>
      </w:r>
      <w:r>
        <w:rPr>
          <w:b w:val="false"/>
          <w:bCs w:val="false"/>
          <w:i w:val="false"/>
          <w:iCs w:val="false"/>
        </w:rPr>
        <w:t xml:space="preserve">AI chat assistant, trained on a creator's own content; handles an advertised 80% of routine student queries automatically, 24/7, escalating complex issues to humans. Also functions as a business copilot for lead qualification.</w:t>
      </w:r>
    </w:p>
    <w:p>
      <w:pPr>
        <w:pStyle w:val="ListParagraph"/>
        <w:numPr>
          <w:ilvl w:val="0"/>
          <w:numId w:val="1"/>
        </w:numPr>
        <w:spacing w:after="90" w:line="276"/>
      </w:pPr>
      <w:r>
        <w:rPr>
          <w:b/>
          <w:bCs/>
          <w:i w:val="false"/>
          <w:iCs w:val="false"/>
        </w:rPr>
        <w:t xml:space="preserve">AVNI — </w:t>
      </w:r>
      <w:r>
        <w:rPr>
          <w:b w:val="false"/>
          <w:bCs w:val="false"/>
          <w:i w:val="false"/>
          <w:iCs w:val="false"/>
        </w:rPr>
        <w:t xml:space="preserve">AI-conducted, recorded, and evaluated mock interviews — analyzes response content, body language, communication skills, and technical accuracy in real time via video/audio. This is a shipped, priced feature, and directly validates the “AI-assisted live defense” idea from the first spec as buildable now, not a future bet.</w:t>
      </w:r>
    </w:p>
    <w:p>
      <w:pPr>
        <w:pStyle w:val="ListParagraph"/>
        <w:numPr>
          <w:ilvl w:val="0"/>
          <w:numId w:val="1"/>
        </w:numPr>
        <w:spacing w:after="90" w:line="276"/>
      </w:pPr>
      <w:r>
        <w:rPr>
          <w:b/>
          <w:bCs/>
          <w:i w:val="false"/>
          <w:iCs w:val="false"/>
        </w:rPr>
        <w:t xml:space="preserve">Smart Analytics — </w:t>
      </w:r>
      <w:r>
        <w:rPr>
          <w:b w:val="false"/>
          <w:bCs w:val="false"/>
          <w:i w:val="false"/>
          <w:iCs w:val="false"/>
        </w:rPr>
        <w:t xml:space="preserve">predictive insights on student behavior, pricing optimization suggestions, and content-strategy recommendations for the creator.</w:t>
      </w:r>
    </w:p>
    <w:p>
      <w:pPr>
        <w:pStyle w:val="ListParagraph"/>
        <w:numPr>
          <w:ilvl w:val="0"/>
          <w:numId w:val="1"/>
        </w:numPr>
        <w:spacing w:after="90" w:line="276"/>
      </w:pPr>
      <w:r>
        <w:rPr>
          <w:b/>
          <w:bCs/>
          <w:i w:val="false"/>
          <w:iCs w:val="false"/>
        </w:rPr>
        <w:t xml:space="preserve">“Lingua” — </w:t>
      </w:r>
      <w:r>
        <w:rPr>
          <w:b w:val="false"/>
          <w:bCs w:val="false"/>
          <w:i w:val="false"/>
          <w:iCs w:val="false"/>
        </w:rPr>
        <w:t xml:space="preserve">an AI-powered language-practice tool with live AI conversation partners — a general-purpose add-on somewhat tangential to technical education specifically.</w:t>
      </w:r>
    </w:p>
    <w:p>
      <w:pPr>
        <w:pStyle w:val="ListParagraph"/>
        <w:numPr>
          <w:ilvl w:val="0"/>
          <w:numId w:val="1"/>
        </w:numPr>
        <w:spacing w:after="90" w:line="276"/>
      </w:pPr>
      <w:r>
        <w:t xml:space="preserve">Marketing describes “200+ AI agents” covering finance, support, analytics, content, outreach, onboarding, retention, and compliance — read this as a large library of pre-built automation workflows rather than 200 literally distinct agents; treat the specific number as marketing framing.</w:t>
      </w:r>
    </w:p>
    <w:p>
      <w:pPr>
        <w:pStyle w:val="Heading3"/>
        <w:spacing w:after="120" w:before="260"/>
      </w:pPr>
      <w:r>
        <w:rPr>
          <w:b/>
          <w:bCs/>
        </w:rPr>
        <w:t xml:space="preserve">Native teaching &amp; commerce infrastructure</w:t>
      </w:r>
    </w:p>
    <w:p>
      <w:pPr>
        <w:pStyle w:val="ListParagraph"/>
        <w:numPr>
          <w:ilvl w:val="0"/>
          <w:numId w:val="1"/>
        </w:numPr>
        <w:spacing w:after="90" w:line="276"/>
      </w:pPr>
      <w:r>
        <w:t xml:space="preserve">Live classes: native classrooms with chat, polls, attendance, and recordings — no third-party video conferencing integration required.</w:t>
      </w:r>
    </w:p>
    <w:p>
      <w:pPr>
        <w:pStyle w:val="ListParagraph"/>
        <w:numPr>
          <w:ilvl w:val="0"/>
          <w:numId w:val="1"/>
        </w:numPr>
        <w:spacing w:after="90" w:line="276"/>
      </w:pPr>
      <w:r>
        <w:t xml:space="preserve">A full code judge: “hundreds of problems auto-loaded, real test cases, instant verdicts” — a direct, shipped answer to Fermion's coding-sandbox differentiator.</w:t>
      </w:r>
    </w:p>
    <w:p>
      <w:pPr>
        <w:pStyle w:val="ListParagraph"/>
        <w:numPr>
          <w:ilvl w:val="0"/>
          <w:numId w:val="1"/>
        </w:numPr>
        <w:spacing w:after="90" w:line="276"/>
      </w:pPr>
      <w:r>
        <w:t xml:space="preserve">WhatsApp-native funnel automation: creators connect their own WhatsApp Business/Facebook Business accounts; Euron runs templated campaigns and automations (e.g. an automatic “new batch open, reply YES to enroll” flow that sends a payment link on response).</w:t>
      </w:r>
    </w:p>
    <w:p>
      <w:pPr>
        <w:pStyle w:val="ListParagraph"/>
        <w:numPr>
          <w:ilvl w:val="0"/>
          <w:numId w:val="1"/>
        </w:numPr>
        <w:spacing w:after="90" w:line="276"/>
      </w:pPr>
      <w:r>
        <w:t xml:space="preserve">Multi-format commerce beyond courses: 1:1 paid consultations/coaching, group workshops, downloadable digital products (ebooks, templates, presets), premium video content, paid direct messages, and product bundling — positioning the platform as a general creator-commerce OS, not just an LMS.</w:t>
      </w:r>
    </w:p>
    <w:p>
      <w:pPr>
        <w:pStyle w:val="ListParagraph"/>
        <w:numPr>
          <w:ilvl w:val="0"/>
          <w:numId w:val="1"/>
        </w:numPr>
        <w:spacing w:after="90" w:line="276"/>
      </w:pPr>
      <w:r>
        <w:t xml:space="preserve">Test series and live batch management; 10+ payment gateway options; claimed support for 20–70+ languages depending on the page.</w:t>
      </w:r>
    </w:p>
    <w:p>
      <w:pPr>
        <w:pStyle w:val="Heading2"/>
        <w:spacing w:after="160" w:before="340"/>
      </w:pPr>
      <w:r>
        <w:rPr>
          <w:b/>
          <w:bCs/>
        </w:rPr>
        <w:t xml:space="preserve">3.3 Euron Systems — pricing</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633"/>
        <w:gridCol w:w="3470"/>
        <w:gridCol w:w="5103"/>
      </w:tblGrid>
      <w:tr>
        <w:trPr>
          <w:tblHeader/>
        </w:trPr>
        <w:tc>
          <w:tcPr>
            <w:tcW w:type="dxa" w:w="1633"/>
            <w:shd w:fill="1B2A4A" w:val="clear"/>
            <w:tcMar>
              <w:top w:type="dxa" w:w="100"/>
              <w:left w:type="dxa" w:w="110"/>
              <w:bottom w:type="dxa" w:w="100"/>
              <w:right w:type="dxa" w:w="110"/>
            </w:tcMar>
            <w:vAlign w:val="center"/>
          </w:tcPr>
          <w:p>
            <w:pPr>
              <w:spacing w:after="0"/>
            </w:pPr>
            <w:r>
              <w:rPr>
                <w:b/>
                <w:bCs/>
                <w:color w:val="FFFFFF"/>
                <w:sz w:val="18"/>
                <w:szCs w:val="18"/>
              </w:rPr>
              <w:t xml:space="preserve">Plan</w:t>
            </w:r>
          </w:p>
        </w:tc>
        <w:tc>
          <w:tcPr>
            <w:tcW w:type="dxa" w:w="3470"/>
            <w:shd w:fill="1B2A4A" w:val="clear"/>
            <w:tcMar>
              <w:top w:type="dxa" w:w="100"/>
              <w:left w:type="dxa" w:w="110"/>
              <w:bottom w:type="dxa" w:w="100"/>
              <w:right w:type="dxa" w:w="110"/>
            </w:tcMar>
            <w:vAlign w:val="center"/>
          </w:tcPr>
          <w:p>
            <w:pPr>
              <w:spacing w:after="0"/>
            </w:pPr>
            <w:r>
              <w:rPr>
                <w:b/>
                <w:bCs/>
                <w:color w:val="FFFFFF"/>
                <w:sz w:val="18"/>
                <w:szCs w:val="18"/>
              </w:rPr>
              <w:t xml:space="preserve">Monthly (annual discount ~10–20%)</w:t>
            </w:r>
          </w:p>
        </w:tc>
        <w:tc>
          <w:tcPr>
            <w:tcW w:type="dxa" w:w="5103"/>
            <w:shd w:fill="1B2A4A" w:val="clear"/>
            <w:tcMar>
              <w:top w:type="dxa" w:w="100"/>
              <w:left w:type="dxa" w:w="110"/>
              <w:bottom w:type="dxa" w:w="100"/>
              <w:right w:type="dxa" w:w="110"/>
            </w:tcMar>
            <w:vAlign w:val="center"/>
          </w:tcPr>
          <w:p>
            <w:pPr>
              <w:spacing w:after="0"/>
            </w:pPr>
            <w:r>
              <w:rPr>
                <w:b/>
                <w:bCs/>
                <w:color w:val="FFFFFF"/>
                <w:sz w:val="18"/>
                <w:szCs w:val="18"/>
              </w:rPr>
              <w:t xml:space="preserve">Positioning</w:t>
            </w:r>
          </w:p>
        </w:tc>
      </w:tr>
      <w:tr>
        <w:tc>
          <w:tcPr>
            <w:tcW w:type="dxa" w:w="1633"/>
            <w:tcMar>
              <w:top w:type="dxa" w:w="90"/>
              <w:left w:type="dxa" w:w="110"/>
              <w:bottom w:type="dxa" w:w="90"/>
              <w:right w:type="dxa" w:w="110"/>
            </w:tcMar>
            <w:vAlign w:val="center"/>
          </w:tcPr>
          <w:p>
            <w:pPr>
              <w:spacing w:after="0" w:line="260"/>
            </w:pPr>
            <w:r>
              <w:rPr>
                <w:b w:val="false"/>
                <w:bCs w:val="false"/>
                <w:sz w:val="18"/>
                <w:szCs w:val="18"/>
              </w:rPr>
              <w:t xml:space="preserve">Explorer</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Free forever</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Full platform access using demo data — evaluation only</w:t>
            </w:r>
          </w:p>
        </w:tc>
      </w:tr>
      <w:tr>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Starter</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~₹3,499–₹3,999/mo</w:t>
            </w:r>
          </w:p>
        </w:tc>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Solo educators getting started</w:t>
            </w:r>
          </w:p>
        </w:tc>
      </w:tr>
      <w:tr>
        <w:tc>
          <w:tcPr>
            <w:tcW w:type="dxa" w:w="1633"/>
            <w:tcMar>
              <w:top w:type="dxa" w:w="90"/>
              <w:left w:type="dxa" w:w="110"/>
              <w:bottom w:type="dxa" w:w="90"/>
              <w:right w:type="dxa" w:w="110"/>
            </w:tcMar>
            <w:vAlign w:val="center"/>
          </w:tcPr>
          <w:p>
            <w:pPr>
              <w:spacing w:after="0" w:line="260"/>
            </w:pPr>
            <w:r>
              <w:rPr>
                <w:b w:val="false"/>
                <w:bCs w:val="false"/>
                <w:sz w:val="18"/>
                <w:szCs w:val="18"/>
              </w:rPr>
              <w:t xml:space="preserve">Growth</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~₹9,999/mo</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Scaling creators; adds branded mobile apps, DRM offline downloads</w:t>
            </w:r>
          </w:p>
        </w:tc>
      </w:tr>
      <w:tr>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Scale</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~₹24,999/mo</w:t>
            </w:r>
          </w:p>
        </w:tc>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High-volume operators; deeper analytics and automation limits</w:t>
            </w:r>
          </w:p>
        </w:tc>
      </w:tr>
      <w:tr>
        <w:tc>
          <w:tcPr>
            <w:tcW w:type="dxa" w:w="1633"/>
            <w:tcMar>
              <w:top w:type="dxa" w:w="90"/>
              <w:left w:type="dxa" w:w="110"/>
              <w:bottom w:type="dxa" w:w="90"/>
              <w:right w:type="dxa" w:w="110"/>
            </w:tcMar>
            <w:vAlign w:val="center"/>
          </w:tcPr>
          <w:p>
            <w:pPr>
              <w:spacing w:after="0" w:line="260"/>
            </w:pPr>
            <w:r>
              <w:rPr>
                <w:b w:val="false"/>
                <w:bCs w:val="false"/>
                <w:sz w:val="18"/>
                <w:szCs w:val="18"/>
              </w:rPr>
              <w:t xml:space="preserve">Enterprise</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Custom</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Full Business Suite (multi-entity accounting, volume seat discounts)</w:t>
            </w:r>
          </w:p>
        </w:tc>
      </w:tr>
    </w:tbl>
    <w:p>
      <w:pPr>
        <w:spacing w:after="200" w:line="288"/>
        <w:jc w:val="left"/>
      </w:pPr>
      <w:r>
        <w:t xml:space="preserve">Refund policy is notably clean and consumer-friendly: a 14-day, “no questions asked” full refund window, then straightforward cancel-anytime (non-refundable, but no further obligation) after that — a useful contrast to Crio.do's rigid terms in Section 2.4.</w:t>
      </w:r>
    </w:p>
    <w:p>
      <w:pPr>
        <w:pStyle w:val="Heading2"/>
        <w:spacing w:after="160" w:before="340"/>
      </w:pPr>
      <w:r>
        <w:rPr>
          <w:b/>
          <w:bCs/>
        </w:rPr>
        <w:t xml:space="preserve">3.4 Euron (euron.one, B2C) — complete feature inventory</w:t>
      </w:r>
    </w:p>
    <w:p>
      <w:pPr>
        <w:pStyle w:val="ListParagraph"/>
        <w:numPr>
          <w:ilvl w:val="0"/>
          <w:numId w:val="1"/>
        </w:numPr>
        <w:spacing w:after="90" w:line="276"/>
      </w:pPr>
      <w:r>
        <w:t xml:space="preserve">“Euron Plus”: a single subscription (reported variously as 56–70+ courses and 72–96+ projects across different snapshots, indicating fast content growth) covering the full catalog, resume tools, job matching, and interview prep — positioned explicitly as “one student, one subscription.”</w:t>
      </w:r>
    </w:p>
    <w:p>
      <w:pPr>
        <w:pStyle w:val="ListParagraph"/>
        <w:numPr>
          <w:ilvl w:val="0"/>
          <w:numId w:val="1"/>
        </w:numPr>
        <w:spacing w:after="90" w:line="276"/>
      </w:pPr>
      <w:r>
        <w:rPr>
          <w:b/>
          <w:bCs/>
          <w:i w:val="false"/>
          <w:iCs w:val="false"/>
        </w:rPr>
        <w:t xml:space="preserve">An embedded multi-model AI gateway — </w:t>
      </w:r>
      <w:r>
        <w:rPr>
          <w:b w:val="false"/>
          <w:bCs w:val="false"/>
          <w:i w:val="false"/>
          <w:iCs w:val="false"/>
        </w:rPr>
        <w:t xml:space="preserve">subscribers get direct access to 51 AI models (GPT-5, Claude Opus, Gemini Pro, DeepSeek, Llama, and more) with a daily token allowance (~100K tokens/day) included, plus a top-up wallet for heavier use. This access is shared across Euri Chat, the Resume Builder, Avni mock interviews, Lingua, and a general-purpose “Euri AI Gateway.” This is a genuinely novel monetization primitive: AI usage becomes a metered resource with a built-in upsell path, not an unlimited free perk or a hard paywall.</w:t>
      </w:r>
    </w:p>
    <w:p>
      <w:pPr>
        <w:pStyle w:val="ListParagraph"/>
        <w:numPr>
          <w:ilvl w:val="0"/>
          <w:numId w:val="1"/>
        </w:numPr>
        <w:spacing w:after="90" w:line="276"/>
      </w:pPr>
      <w:r>
        <w:t xml:space="preserve">NanoLearn: bite-sized/microlearning mode for quick concept mastery.</w:t>
      </w:r>
    </w:p>
    <w:p>
      <w:pPr>
        <w:pStyle w:val="ListParagraph"/>
        <w:numPr>
          <w:ilvl w:val="0"/>
          <w:numId w:val="1"/>
        </w:numPr>
        <w:spacing w:after="90" w:line="276"/>
      </w:pPr>
      <w:r>
        <w:t xml:space="preserve">Course cart and in-app payments, offline downloads, live classes with chat, webinars, wallet management, and progress analytics — a fully-featured mobile learning app, not a thin wrapper.</w:t>
      </w:r>
    </w:p>
    <w:p>
      <w:pPr>
        <w:pStyle w:val="ListParagraph"/>
        <w:numPr>
          <w:ilvl w:val="0"/>
          <w:numId w:val="1"/>
        </w:numPr>
        <w:spacing w:after="90" w:line="276"/>
      </w:pPr>
      <w:r>
        <w:t xml:space="preserve">Course catalog leans heavily technical/AI: Generative AI, MLOps (Git, Docker, Kubernetes, CI/CD, AWS SageMaker), data science, and similar — project-inclusive by default (every course bundles “hands-on projects and assignments,” not sold separately).</w:t>
      </w:r>
    </w:p>
    <w:p>
      <w:pPr>
        <w:pStyle w:val="Heading2"/>
        <w:spacing w:after="160" w:before="340"/>
      </w:pPr>
      <w:r>
        <w:rPr>
          <w:b/>
          <w:bCs/>
        </w:rPr>
        <w:t xml:space="preserve">3.5 What we can verify about real demand</w:t>
      </w:r>
    </w:p>
    <w:p>
      <w:pPr>
        <w:spacing w:after="200" w:line="288"/>
        <w:jc w:val="left"/>
      </w:pPr>
      <w:r>
        <w:t xml:space="preserve">Unlike Crio.do, there is not yet a large public review corpus (Trustpilot-style or consumer-forum) for either Euron product — most likely because both are newer and because Euron Systems' direct customers are creators/institutions rather than end-consumers, who review less. The honest read: Euron/Euron Systems looks operationally strong and the founder has a credible prior exit, but its true failure modes (support quality at scale, whether “200+ AI agents” holds up under real usage, churn once the novelty wears off) are not yet externally visible the way Crio.do's are. Treat its polish as real but not yet battle-tested at Crio.do's scale.</w:t>
      </w:r>
    </w:p>
    <w:p>
      <w:pPr>
        <w:pStyle w:val="Heading2"/>
        <w:spacing w:after="160" w:before="340"/>
      </w:pPr>
      <w:r>
        <w:rPr>
          <w:b/>
          <w:bCs/>
        </w:rPr>
        <w:t xml:space="preserve">3.6 Verdict</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5103"/>
        <w:gridCol w:w="5103"/>
      </w:tblGrid>
      <w:tr>
        <w:trPr>
          <w:tblHeader/>
        </w:trPr>
        <w:tc>
          <w:tcPr>
            <w:tcW w:type="dxa" w:w="5103"/>
            <w:shd w:fill="1B2A4A" w:val="clear"/>
            <w:tcMar>
              <w:top w:type="dxa" w:w="100"/>
              <w:left w:type="dxa" w:w="110"/>
              <w:bottom w:type="dxa" w:w="100"/>
              <w:right w:type="dxa" w:w="110"/>
            </w:tcMar>
            <w:vAlign w:val="center"/>
          </w:tcPr>
          <w:p>
            <w:pPr>
              <w:spacing w:after="0"/>
            </w:pPr>
            <w:r>
              <w:rPr>
                <w:b/>
                <w:bCs/>
                <w:color w:val="FFFFFF"/>
                <w:sz w:val="18"/>
                <w:szCs w:val="18"/>
              </w:rPr>
              <w:t xml:space="preserve">Strengths</w:t>
            </w:r>
          </w:p>
        </w:tc>
        <w:tc>
          <w:tcPr>
            <w:tcW w:type="dxa" w:w="5103"/>
            <w:shd w:fill="1B2A4A" w:val="clear"/>
            <w:tcMar>
              <w:top w:type="dxa" w:w="100"/>
              <w:left w:type="dxa" w:w="110"/>
              <w:bottom w:type="dxa" w:w="100"/>
              <w:right w:type="dxa" w:w="110"/>
            </w:tcMar>
            <w:vAlign w:val="center"/>
          </w:tcPr>
          <w:p>
            <w:pPr>
              <w:spacing w:after="0"/>
            </w:pPr>
            <w:r>
              <w:rPr>
                <w:b/>
                <w:bCs/>
                <w:color w:val="FFFFFF"/>
                <w:sz w:val="18"/>
                <w:szCs w:val="18"/>
              </w:rPr>
              <w:t xml:space="preserve">Weaknesses</w:t>
            </w:r>
          </w:p>
        </w:tc>
      </w:tr>
      <w:tr>
        <w:tc>
          <w:tcPr>
            <w:tcW w:type="dxa" w:w="5103"/>
            <w:tcMar>
              <w:top w:type="dxa" w:w="90"/>
              <w:left w:type="dxa" w:w="110"/>
              <w:bottom w:type="dxa" w:w="90"/>
              <w:right w:type="dxa" w:w="110"/>
            </w:tcMar>
            <w:vAlign w:val="center"/>
          </w:tcPr>
          <w:p>
            <w:pPr>
              <w:spacing w:after="0" w:line="260"/>
            </w:pPr>
            <w:r>
              <w:rPr>
                <w:b w:val="false"/>
                <w:bCs w:val="false"/>
                <w:sz w:val="18"/>
                <w:szCs w:val="18"/>
              </w:rPr>
              <w:t xml:space="preserve">Zero-commission, full white-label pitch is a strong, provable creator-acquisition hook</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Broad, checklist-like feature sprawl (language practice, 51 raw AI models) risks diluting focus versus depth</w:t>
            </w:r>
          </w:p>
        </w:tc>
      </w:tr>
      <w:tr>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AI feature set (AVNI interview evaluation, metered AI wallet) is shipped and genuinely ahead of typical marketing claims</w:t>
            </w:r>
          </w:p>
        </w:tc>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Single-tenant model — each creator is an island; no cross-creator discovery or shared mentor pool</w:t>
            </w:r>
          </w:p>
        </w:tc>
      </w:tr>
      <w:tr>
        <w:tc>
          <w:tcPr>
            <w:tcW w:type="dxa" w:w="5103"/>
            <w:tcMar>
              <w:top w:type="dxa" w:w="90"/>
              <w:left w:type="dxa" w:w="110"/>
              <w:bottom w:type="dxa" w:w="90"/>
              <w:right w:type="dxa" w:w="110"/>
            </w:tcMar>
            <w:vAlign w:val="center"/>
          </w:tcPr>
          <w:p>
            <w:pPr>
              <w:spacing w:after="0" w:line="260"/>
            </w:pPr>
            <w:r>
              <w:rPr>
                <w:b w:val="false"/>
                <w:bCs w:val="false"/>
                <w:sz w:val="18"/>
                <w:szCs w:val="18"/>
              </w:rPr>
              <w:t xml:space="preserve">Native code judge closes the technical-creator gap versus general-purpose platforms</w:t>
            </w:r>
          </w:p>
        </w:tc>
        <w:tc>
          <w:tcPr>
            <w:tcW w:type="dxa" w:w="5103"/>
            <w:tcMar>
              <w:top w:type="dxa" w:w="90"/>
              <w:left w:type="dxa" w:w="110"/>
              <w:bottom w:type="dxa" w:w="90"/>
              <w:right w:type="dxa" w:w="110"/>
            </w:tcMar>
            <w:vAlign w:val="center"/>
          </w:tcPr>
          <w:p>
            <w:pPr>
              <w:spacing w:after="0" w:line="260"/>
            </w:pPr>
            <w:r>
              <w:rPr>
                <w:b w:val="false"/>
                <w:bCs w:val="false"/>
                <w:sz w:val="18"/>
                <w:szCs w:val="18"/>
              </w:rPr>
              <w:t xml:space="preserve">Compliance and “200+ AI agents” claims are not yet independently battle-tested at scale</w:t>
            </w:r>
          </w:p>
        </w:tc>
      </w:tr>
      <w:tr>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Consumer-friendly, clearly stated 14-day refund policy</w:t>
            </w:r>
          </w:p>
        </w:tc>
        <w:tc>
          <w:tcPr>
            <w:tcW w:type="dxa" w:w="5103"/>
            <w:shd w:fill="EEF2F7" w:val="clear"/>
            <w:tcMar>
              <w:top w:type="dxa" w:w="90"/>
              <w:left w:type="dxa" w:w="110"/>
              <w:bottom w:type="dxa" w:w="90"/>
              <w:right w:type="dxa" w:w="110"/>
            </w:tcMar>
            <w:vAlign w:val="center"/>
          </w:tcPr>
          <w:p>
            <w:pPr>
              <w:spacing w:after="0" w:line="260"/>
            </w:pPr>
            <w:r>
              <w:rPr>
                <w:b w:val="false"/>
                <w:bCs w:val="false"/>
                <w:sz w:val="18"/>
                <w:szCs w:val="18"/>
              </w:rPr>
              <w:t xml:space="preserve">No enterprise/university program-packaging motion visible; positioned purely at individual creators and institutions renting infrastructure</w:t>
            </w:r>
          </w:p>
        </w:tc>
      </w:tr>
    </w:tbl>
    <w:p>
      <w:pPr>
        <w:pStyle w:val="Heading1"/>
        <w:pageBreakBefore/>
        <w:spacing w:after="220" w:before="200"/>
      </w:pPr>
      <w:r>
        <w:rPr>
          <w:b/>
          <w:bCs/>
        </w:rPr>
        <w:t xml:space="preserve">4. Head-to-Head Feature Matrix</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837"/>
        <w:gridCol w:w="2449"/>
        <w:gridCol w:w="2858"/>
        <w:gridCol w:w="3062"/>
      </w:tblGrid>
      <w:tr>
        <w:trPr>
          <w:tblHeader/>
        </w:trPr>
        <w:tc>
          <w:tcPr>
            <w:tcW w:type="dxa" w:w="1837"/>
            <w:shd w:fill="1B2A4A" w:val="clear"/>
            <w:tcMar>
              <w:top w:type="dxa" w:w="100"/>
              <w:left w:type="dxa" w:w="110"/>
              <w:bottom w:type="dxa" w:w="100"/>
              <w:right w:type="dxa" w:w="110"/>
            </w:tcMar>
            <w:vAlign w:val="center"/>
          </w:tcPr>
          <w:p>
            <w:pPr>
              <w:spacing w:after="0"/>
            </w:pPr>
            <w:r>
              <w:rPr>
                <w:b/>
                <w:bCs/>
                <w:color w:val="FFFFFF"/>
                <w:sz w:val="18"/>
                <w:szCs w:val="18"/>
              </w:rPr>
              <w:t xml:space="preserve">Dimension</w:t>
            </w:r>
          </w:p>
        </w:tc>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Crio.do</w:t>
            </w:r>
          </w:p>
        </w:tc>
        <w:tc>
          <w:tcPr>
            <w:tcW w:type="dxa" w:w="2858"/>
            <w:shd w:fill="1B2A4A" w:val="clear"/>
            <w:tcMar>
              <w:top w:type="dxa" w:w="100"/>
              <w:left w:type="dxa" w:w="110"/>
              <w:bottom w:type="dxa" w:w="100"/>
              <w:right w:type="dxa" w:w="110"/>
            </w:tcMar>
            <w:vAlign w:val="center"/>
          </w:tcPr>
          <w:p>
            <w:pPr>
              <w:spacing w:after="0"/>
            </w:pPr>
            <w:r>
              <w:rPr>
                <w:b/>
                <w:bCs/>
                <w:color w:val="FFFFFF"/>
                <w:sz w:val="18"/>
                <w:szCs w:val="18"/>
              </w:rPr>
              <w:t xml:space="preserve">Euron Systems / Euron</w:t>
            </w:r>
          </w:p>
        </w:tc>
        <w:tc>
          <w:tcPr>
            <w:tcW w:type="dxa" w:w="3062"/>
            <w:shd w:fill="1B2A4A" w:val="clear"/>
            <w:tcMar>
              <w:top w:type="dxa" w:w="100"/>
              <w:left w:type="dxa" w:w="110"/>
              <w:bottom w:type="dxa" w:w="100"/>
              <w:right w:type="dxa" w:w="110"/>
            </w:tcMar>
            <w:vAlign w:val="center"/>
          </w:tcPr>
          <w:p>
            <w:pPr>
              <w:spacing w:after="0"/>
            </w:pPr>
            <w:r>
              <w:rPr>
                <w:b/>
                <w:bCs/>
                <w:color w:val="FFFFFF"/>
                <w:sz w:val="18"/>
                <w:szCs w:val="18"/>
              </w:rPr>
              <w:t xml:space="preserve">Us (as planned)</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Core model</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Single in-house curriculum, high-ticket fellowship</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Rented white-label infra (Systems) + own subscription catalog (Euron)</w:t>
            </w:r>
          </w:p>
        </w:tc>
        <w:tc>
          <w:tcPr>
            <w:tcW w:type="dxa" w:w="3062"/>
            <w:tcMar>
              <w:top w:type="dxa" w:w="90"/>
              <w:left w:type="dxa" w:w="110"/>
              <w:bottom w:type="dxa" w:w="90"/>
              <w:right w:type="dxa" w:w="110"/>
            </w:tcMar>
            <w:vAlign w:val="center"/>
          </w:tcPr>
          <w:p>
            <w:pPr>
              <w:spacing w:after="0" w:line="260"/>
            </w:pPr>
            <w:r>
              <w:rPr>
                <w:b w:val="false"/>
                <w:bCs w:val="false"/>
                <w:sz w:val="18"/>
                <w:szCs w:val="18"/>
              </w:rPr>
              <w:t xml:space="preserve">Multi-creator marketplace + mentor-project engine</w:t>
            </w:r>
          </w:p>
        </w:tc>
      </w:tr>
      <w:tr>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Pricing</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~₹90K program + success fee, EMI</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₹3.5K–25K/mo (Systems) or subscription (Euron)</w:t>
            </w:r>
          </w:p>
        </w:tc>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À la carte + tiered subscription + enterprise</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À la carte purchase</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No — full program only</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No — subscription or full infra rental only</w:t>
            </w:r>
          </w:p>
        </w:tc>
        <w:tc>
          <w:tcPr>
            <w:tcW w:type="dxa" w:w="3062"/>
            <w:tcMar>
              <w:top w:type="dxa" w:w="90"/>
              <w:left w:type="dxa" w:w="110"/>
              <w:bottom w:type="dxa" w:w="90"/>
              <w:right w:type="dxa" w:w="110"/>
            </w:tcMar>
            <w:vAlign w:val="center"/>
          </w:tcPr>
          <w:p>
            <w:pPr>
              <w:spacing w:after="0" w:line="260"/>
            </w:pPr>
            <w:r>
              <w:rPr>
                <w:b w:val="false"/>
                <w:bCs w:val="false"/>
                <w:sz w:val="18"/>
                <w:szCs w:val="18"/>
              </w:rPr>
              <w:t xml:space="preserve">Yes — explicit requirement</w:t>
            </w:r>
          </w:p>
        </w:tc>
      </w:tr>
      <w:tr>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Project realism</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Real partner-company briefs, rotating roster</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Generic course-bundled projects</w:t>
            </w:r>
          </w:p>
        </w:tc>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Real-brief ambition, AI-resistant design (Section 6.2 of Vol. 1)</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Native code judge</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Not core to platform (uses own curriculum tooling)</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Yes, shipped</w:t>
            </w:r>
          </w:p>
        </w:tc>
        <w:tc>
          <w:tcPr>
            <w:tcW w:type="dxa" w:w="3062"/>
            <w:tcMar>
              <w:top w:type="dxa" w:w="90"/>
              <w:left w:type="dxa" w:w="110"/>
              <w:bottom w:type="dxa" w:w="90"/>
              <w:right w:type="dxa" w:w="110"/>
            </w:tcMar>
            <w:vAlign w:val="center"/>
          </w:tcPr>
          <w:p>
            <w:pPr>
              <w:spacing w:after="0" w:line="260"/>
            </w:pPr>
            <w:r>
              <w:rPr>
                <w:b w:val="false"/>
                <w:bCs w:val="false"/>
                <w:sz w:val="18"/>
                <w:szCs w:val="18"/>
              </w:rPr>
              <w:t xml:space="preserve">Planned (build-vs-buy per Vol. 1 Section 4)</w:t>
            </w:r>
          </w:p>
        </w:tc>
      </w:tr>
      <w:tr>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AI interview/defense</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AI mock interviews (practice-oriented)</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AVNI — full AI-conducted, recorded, evaluated interviews</w:t>
            </w:r>
          </w:p>
        </w:tc>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Planned live defense with AI-assisted questioning</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Multi-creator marketplace</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No — single brand</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No — single-tenant per customer</w:t>
            </w:r>
          </w:p>
        </w:tc>
        <w:tc>
          <w:tcPr>
            <w:tcW w:type="dxa" w:w="3062"/>
            <w:tcMar>
              <w:top w:type="dxa" w:w="90"/>
              <w:left w:type="dxa" w:w="110"/>
              <w:bottom w:type="dxa" w:w="90"/>
              <w:right w:type="dxa" w:w="110"/>
            </w:tcMar>
            <w:vAlign w:val="center"/>
          </w:tcPr>
          <w:p>
            <w:pPr>
              <w:spacing w:after="0" w:line="260"/>
            </w:pPr>
            <w:r>
              <w:rPr>
                <w:b w:val="false"/>
                <w:bCs w:val="false"/>
                <w:sz w:val="18"/>
                <w:szCs w:val="18"/>
              </w:rPr>
              <w:t xml:space="preserve">Yes — core differentiator</w:t>
            </w:r>
          </w:p>
        </w:tc>
      </w:tr>
      <w:tr>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Free acquisition funnel</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Best-in-class (Winter of Doing)</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Free “Explorer” evaluation plan, thinner</w:t>
            </w:r>
          </w:p>
        </w:tc>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Not yet designed — see Section 5</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Refund/guarantee fairness</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Rigid, contested, real reputational cost</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Clean 14-day no-questions-asked window</w:t>
            </w:r>
          </w:p>
        </w:tc>
        <w:tc>
          <w:tcPr>
            <w:tcW w:type="dxa" w:w="3062"/>
            <w:tcMar>
              <w:top w:type="dxa" w:w="90"/>
              <w:left w:type="dxa" w:w="110"/>
              <w:bottom w:type="dxa" w:w="90"/>
              <w:right w:type="dxa" w:w="110"/>
            </w:tcMar>
            <w:vAlign w:val="center"/>
          </w:tcPr>
          <w:p>
            <w:pPr>
              <w:spacing w:after="0" w:line="260"/>
            </w:pPr>
            <w:r>
              <w:rPr>
                <w:b w:val="false"/>
                <w:bCs w:val="false"/>
                <w:sz w:val="18"/>
                <w:szCs w:val="18"/>
              </w:rPr>
              <w:t xml:space="preserve">To be designed — see Section 5</w:t>
            </w:r>
          </w:p>
        </w:tc>
      </w:tr>
      <w:tr>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Enterprise/university packaging</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No</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No</w:t>
            </w:r>
          </w:p>
        </w:tc>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Planned — core differentiator</w:t>
            </w:r>
          </w:p>
        </w:tc>
      </w:tr>
    </w:tbl>
    <w:p>
      <w:pPr>
        <w:pStyle w:val="Heading1"/>
        <w:pageBreakBefore/>
        <w:spacing w:after="220" w:before="200"/>
      </w:pPr>
      <w:r>
        <w:rPr>
          <w:b/>
          <w:bCs/>
        </w:rPr>
        <w:t xml:space="preserve">5. The Decision Framework: Steal / Skip / Build Extra</w:t>
      </w:r>
    </w:p>
    <w:p>
      <w:pPr>
        <w:spacing w:after="200" w:line="288"/>
        <w:jc w:val="left"/>
      </w:pPr>
      <w:r>
        <w:t xml:space="preserve">Every item below is scored against two questions, not one: is there real evidence someone will pay for this or engage more because of it, and what is the specific mechanism by which it makes money — higher conversion, higher price, lower churn, a new revenue line, or lower cost to serve. Features that only pass a “does the competitor have it” test are explicitly excluded or moved to Skip.</w:t>
      </w:r>
    </w:p>
    <w:p>
      <w:pPr>
        <w:pStyle w:val="Heading2"/>
        <w:spacing w:after="160" w:before="340"/>
      </w:pPr>
      <w:r>
        <w:rPr>
          <w:b/>
          <w:bCs/>
        </w:rPr>
        <w:t xml:space="preserve">5.1 STEAL — adopt these, with evidence</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041"/>
        <w:gridCol w:w="1531"/>
        <w:gridCol w:w="3266"/>
        <w:gridCol w:w="3368"/>
      </w:tblGrid>
      <w:tr>
        <w:trPr>
          <w:tblHeader/>
        </w:trPr>
        <w:tc>
          <w:tcPr>
            <w:tcW w:type="dxa" w:w="2041"/>
            <w:shd w:fill="1B2A4A" w:val="clear"/>
            <w:tcMar>
              <w:top w:type="dxa" w:w="100"/>
              <w:left w:type="dxa" w:w="110"/>
              <w:bottom w:type="dxa" w:w="100"/>
              <w:right w:type="dxa" w:w="110"/>
            </w:tcMar>
            <w:vAlign w:val="center"/>
          </w:tcPr>
          <w:p>
            <w:pPr>
              <w:spacing w:after="0"/>
            </w:pPr>
            <w:r>
              <w:rPr>
                <w:b/>
                <w:bCs/>
                <w:color w:val="FFFFFF"/>
                <w:sz w:val="18"/>
                <w:szCs w:val="18"/>
              </w:rPr>
              <w:t xml:space="preserve">Feature</w:t>
            </w:r>
          </w:p>
        </w:tc>
        <w:tc>
          <w:tcPr>
            <w:tcW w:type="dxa" w:w="1531"/>
            <w:shd w:fill="1B2A4A" w:val="clear"/>
            <w:tcMar>
              <w:top w:type="dxa" w:w="100"/>
              <w:left w:type="dxa" w:w="110"/>
              <w:bottom w:type="dxa" w:w="100"/>
              <w:right w:type="dxa" w:w="110"/>
            </w:tcMar>
            <w:vAlign w:val="center"/>
          </w:tcPr>
          <w:p>
            <w:pPr>
              <w:spacing w:after="0"/>
            </w:pPr>
            <w:r>
              <w:rPr>
                <w:b/>
                <w:bCs/>
                <w:color w:val="FFFFFF"/>
                <w:sz w:val="18"/>
                <w:szCs w:val="18"/>
              </w:rPr>
              <w:t xml:space="preserve">Source</w:t>
            </w:r>
          </w:p>
        </w:tc>
        <w:tc>
          <w:tcPr>
            <w:tcW w:type="dxa" w:w="3266"/>
            <w:shd w:fill="1B2A4A" w:val="clear"/>
            <w:tcMar>
              <w:top w:type="dxa" w:w="100"/>
              <w:left w:type="dxa" w:w="110"/>
              <w:bottom w:type="dxa" w:w="100"/>
              <w:right w:type="dxa" w:w="110"/>
            </w:tcMar>
            <w:vAlign w:val="center"/>
          </w:tcPr>
          <w:p>
            <w:pPr>
              <w:spacing w:after="0"/>
            </w:pPr>
            <w:r>
              <w:rPr>
                <w:b/>
                <w:bCs/>
                <w:color w:val="FFFFFF"/>
                <w:sz w:val="18"/>
                <w:szCs w:val="18"/>
              </w:rPr>
              <w:t xml:space="preserve">Evidence of real demand</w:t>
            </w:r>
          </w:p>
        </w:tc>
        <w:tc>
          <w:tcPr>
            <w:tcW w:type="dxa" w:w="3368"/>
            <w:shd w:fill="1B2A4A" w:val="clear"/>
            <w:tcMar>
              <w:top w:type="dxa" w:w="100"/>
              <w:left w:type="dxa" w:w="110"/>
              <w:bottom w:type="dxa" w:w="100"/>
              <w:right w:type="dxa" w:w="110"/>
            </w:tcMar>
            <w:vAlign w:val="center"/>
          </w:tcPr>
          <w:p>
            <w:pPr>
              <w:spacing w:after="0"/>
            </w:pPr>
            <w:r>
              <w:rPr>
                <w:b/>
                <w:bCs/>
                <w:color w:val="FFFFFF"/>
                <w:sz w:val="18"/>
                <w:szCs w:val="18"/>
              </w:rPr>
              <w:t xml:space="preserve">Monetization angle</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Free, staged, gated acquisition funnel</w:t>
            </w:r>
          </w:p>
        </w:tc>
        <w:tc>
          <w:tcPr>
            <w:tcW w:type="dxa" w:w="1531"/>
            <w:tcMar>
              <w:top w:type="dxa" w:w="90"/>
              <w:left w:type="dxa" w:w="110"/>
              <w:bottom w:type="dxa" w:w="90"/>
              <w:right w:type="dxa" w:w="110"/>
            </w:tcMar>
            <w:vAlign w:val="center"/>
          </w:tcPr>
          <w:p>
            <w:pPr>
              <w:spacing w:after="0" w:line="260"/>
            </w:pPr>
            <w:r>
              <w:rPr>
                <w:b w:val="false"/>
                <w:bCs w:val="false"/>
                <w:sz w:val="18"/>
                <w:szCs w:val="18"/>
              </w:rPr>
              <w:t xml:space="preserve">Crio.do (Winter of Doing)</w:t>
            </w:r>
          </w:p>
        </w:tc>
        <w:tc>
          <w:tcPr>
            <w:tcW w:type="dxa" w:w="3266"/>
            <w:tcMar>
              <w:top w:type="dxa" w:w="90"/>
              <w:left w:type="dxa" w:w="110"/>
              <w:bottom w:type="dxa" w:w="90"/>
              <w:right w:type="dxa" w:w="110"/>
            </w:tcMar>
            <w:vAlign w:val="center"/>
          </w:tcPr>
          <w:p>
            <w:pPr>
              <w:spacing w:after="0" w:line="260"/>
            </w:pPr>
            <w:r>
              <w:rPr>
                <w:b w:val="false"/>
                <w:bCs w:val="false"/>
                <w:sz w:val="18"/>
                <w:szCs w:val="18"/>
              </w:rPr>
              <w:t xml:space="preserve">10,000+ applicants/cohort; years of unprompted, enthusiastic first-person write-ups</w:t>
            </w:r>
          </w:p>
        </w:tc>
        <w:tc>
          <w:tcPr>
            <w:tcW w:type="dxa" w:w="3368"/>
            <w:tcMar>
              <w:top w:type="dxa" w:w="90"/>
              <w:left w:type="dxa" w:w="110"/>
              <w:bottom w:type="dxa" w:w="90"/>
              <w:right w:type="dxa" w:w="110"/>
            </w:tcMar>
            <w:vAlign w:val="center"/>
          </w:tcPr>
          <w:p>
            <w:pPr>
              <w:spacing w:after="0" w:line="260"/>
            </w:pPr>
            <w:r>
              <w:rPr>
                <w:b w:val="false"/>
                <w:bCs w:val="false"/>
                <w:sz w:val="18"/>
                <w:szCs w:val="18"/>
              </w:rPr>
              <w:t xml:space="preserve">Near-zero marginal cost lead gen that pre-trains buyers before they pay, raising paid-tier conversion</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Real-company-branded flagship projects, rotating partner roster</w:t>
            </w:r>
          </w:p>
        </w:tc>
        <w:tc>
          <w:tcPr>
            <w:tcW w:type="dxa" w:w="1531"/>
            <w:shd w:fill="EEF2F7" w:val="clear"/>
            <w:tcMar>
              <w:top w:type="dxa" w:w="90"/>
              <w:left w:type="dxa" w:w="110"/>
              <w:bottom w:type="dxa" w:w="90"/>
              <w:right w:type="dxa" w:w="110"/>
            </w:tcMar>
            <w:vAlign w:val="center"/>
          </w:tcPr>
          <w:p>
            <w:pPr>
              <w:spacing w:after="0" w:line="260"/>
            </w:pPr>
            <w:r>
              <w:rPr>
                <w:b w:val="false"/>
                <w:bCs w:val="false"/>
                <w:sz w:val="18"/>
                <w:szCs w:val="18"/>
              </w:rPr>
              <w:t xml:space="preserve">Crio.do</w:t>
            </w:r>
          </w:p>
        </w:tc>
        <w:tc>
          <w:tcPr>
            <w:tcW w:type="dxa" w:w="3266"/>
            <w:shd w:fill="EEF2F7" w:val="clear"/>
            <w:tcMar>
              <w:top w:type="dxa" w:w="90"/>
              <w:left w:type="dxa" w:w="110"/>
              <w:bottom w:type="dxa" w:w="90"/>
              <w:right w:type="dxa" w:w="110"/>
            </w:tcMar>
            <w:vAlign w:val="center"/>
          </w:tcPr>
          <w:p>
            <w:pPr>
              <w:spacing w:after="0" w:line="260"/>
            </w:pPr>
            <w:r>
              <w:rPr>
                <w:b w:val="false"/>
                <w:bCs w:val="false"/>
                <w:sz w:val="18"/>
                <w:szCs w:val="18"/>
              </w:rPr>
              <w:t xml:space="preserve">Explicitly the #1 cited resume differentiator in learner testimonials, not just marketing copy</w:t>
            </w:r>
          </w:p>
        </w:tc>
        <w:tc>
          <w:tcPr>
            <w:tcW w:type="dxa" w:w="3368"/>
            <w:shd w:fill="EEF2F7" w:val="clear"/>
            <w:tcMar>
              <w:top w:type="dxa" w:w="90"/>
              <w:left w:type="dxa" w:w="110"/>
              <w:bottom w:type="dxa" w:w="90"/>
              <w:right w:type="dxa" w:w="110"/>
            </w:tcMar>
            <w:vAlign w:val="center"/>
          </w:tcPr>
          <w:p>
            <w:pPr>
              <w:spacing w:after="0" w:line="260"/>
            </w:pPr>
            <w:r>
              <w:rPr>
                <w:b w:val="false"/>
                <w:bCs w:val="false"/>
                <w:sz w:val="18"/>
                <w:szCs w:val="18"/>
              </w:rPr>
              <w:t xml:space="preserve">Justifies premium pricing on the Flagship project tier versus fictional-company clones</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AI-conducted, recorded, evaluated project defense</w:t>
            </w:r>
          </w:p>
        </w:tc>
        <w:tc>
          <w:tcPr>
            <w:tcW w:type="dxa" w:w="1531"/>
            <w:tcMar>
              <w:top w:type="dxa" w:w="90"/>
              <w:left w:type="dxa" w:w="110"/>
              <w:bottom w:type="dxa" w:w="90"/>
              <w:right w:type="dxa" w:w="110"/>
            </w:tcMar>
            <w:vAlign w:val="center"/>
          </w:tcPr>
          <w:p>
            <w:pPr>
              <w:spacing w:after="0" w:line="260"/>
            </w:pPr>
            <w:r>
              <w:rPr>
                <w:b w:val="false"/>
                <w:bCs w:val="false"/>
                <w:sz w:val="18"/>
                <w:szCs w:val="18"/>
              </w:rPr>
              <w:t xml:space="preserve">Euron Systems (AVNI)</w:t>
            </w:r>
          </w:p>
        </w:tc>
        <w:tc>
          <w:tcPr>
            <w:tcW w:type="dxa" w:w="3266"/>
            <w:tcMar>
              <w:top w:type="dxa" w:w="90"/>
              <w:left w:type="dxa" w:w="110"/>
              <w:bottom w:type="dxa" w:w="90"/>
              <w:right w:type="dxa" w:w="110"/>
            </w:tcMar>
            <w:vAlign w:val="center"/>
          </w:tcPr>
          <w:p>
            <w:pPr>
              <w:spacing w:after="0" w:line="260"/>
            </w:pPr>
            <w:r>
              <w:rPr>
                <w:b w:val="false"/>
                <w:bCs w:val="false"/>
                <w:sz w:val="18"/>
                <w:szCs w:val="18"/>
              </w:rPr>
              <w:t xml:space="preserve">A shipped, paid feature already; validates this is buildable now, not a 2027 bet</w:t>
            </w:r>
          </w:p>
        </w:tc>
        <w:tc>
          <w:tcPr>
            <w:tcW w:type="dxa" w:w="3368"/>
            <w:tcMar>
              <w:top w:type="dxa" w:w="90"/>
              <w:left w:type="dxa" w:w="110"/>
              <w:bottom w:type="dxa" w:w="90"/>
              <w:right w:type="dxa" w:w="110"/>
            </w:tcMar>
            <w:vAlign w:val="center"/>
          </w:tcPr>
          <w:p>
            <w:pPr>
              <w:spacing w:after="0" w:line="260"/>
            </w:pPr>
            <w:r>
              <w:rPr>
                <w:b w:val="false"/>
                <w:bCs w:val="false"/>
                <w:sz w:val="18"/>
                <w:szCs w:val="18"/>
              </w:rPr>
              <w:t xml:space="preserve">Direct trust/integrity upsell — chargeable as part of the Flagship tier, and a marketable anti-AI-shortcut claim</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Short, clear, “no questions asked” refund window</w:t>
            </w:r>
          </w:p>
        </w:tc>
        <w:tc>
          <w:tcPr>
            <w:tcW w:type="dxa" w:w="1531"/>
            <w:shd w:fill="EEF2F7" w:val="clear"/>
            <w:tcMar>
              <w:top w:type="dxa" w:w="90"/>
              <w:left w:type="dxa" w:w="110"/>
              <w:bottom w:type="dxa" w:w="90"/>
              <w:right w:type="dxa" w:w="110"/>
            </w:tcMar>
            <w:vAlign w:val="center"/>
          </w:tcPr>
          <w:p>
            <w:pPr>
              <w:spacing w:after="0" w:line="260"/>
            </w:pPr>
            <w:r>
              <w:rPr>
                <w:b w:val="false"/>
                <w:bCs w:val="false"/>
                <w:sz w:val="18"/>
                <w:szCs w:val="18"/>
              </w:rPr>
              <w:t xml:space="preserve">Euron Systems (14 days)</w:t>
            </w:r>
          </w:p>
        </w:tc>
        <w:tc>
          <w:tcPr>
            <w:tcW w:type="dxa" w:w="3266"/>
            <w:shd w:fill="EEF2F7" w:val="clear"/>
            <w:tcMar>
              <w:top w:type="dxa" w:w="90"/>
              <w:left w:type="dxa" w:w="110"/>
              <w:bottom w:type="dxa" w:w="90"/>
              <w:right w:type="dxa" w:w="110"/>
            </w:tcMar>
            <w:vAlign w:val="center"/>
          </w:tcPr>
          <w:p>
            <w:pPr>
              <w:spacing w:after="0" w:line="260"/>
            </w:pPr>
            <w:r>
              <w:rPr>
                <w:b w:val="false"/>
                <w:bCs w:val="false"/>
                <w:sz w:val="18"/>
                <w:szCs w:val="18"/>
              </w:rPr>
              <w:t xml:space="preserve">Directly answers Crio.do's largest public complaint theme</w:t>
            </w:r>
          </w:p>
        </w:tc>
        <w:tc>
          <w:tcPr>
            <w:tcW w:type="dxa" w:w="3368"/>
            <w:shd w:fill="EEF2F7" w:val="clear"/>
            <w:tcMar>
              <w:top w:type="dxa" w:w="90"/>
              <w:left w:type="dxa" w:w="110"/>
              <w:bottom w:type="dxa" w:w="90"/>
              <w:right w:type="dxa" w:w="110"/>
            </w:tcMar>
            <w:vAlign w:val="center"/>
          </w:tcPr>
          <w:p>
            <w:pPr>
              <w:spacing w:after="0" w:line="260"/>
            </w:pPr>
            <w:r>
              <w:rPr>
                <w:b w:val="false"/>
                <w:bCs w:val="false"/>
                <w:sz w:val="18"/>
                <w:szCs w:val="18"/>
              </w:rPr>
              <w:t xml:space="preserve">Lower perceived purchase risk raises top-of-funnel conversion; caps downside better than a contested year-long guarantee</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Metered AI usage as a wallet (daily allowance + paid top-up)</w:t>
            </w:r>
          </w:p>
        </w:tc>
        <w:tc>
          <w:tcPr>
            <w:tcW w:type="dxa" w:w="1531"/>
            <w:tcMar>
              <w:top w:type="dxa" w:w="90"/>
              <w:left w:type="dxa" w:w="110"/>
              <w:bottom w:type="dxa" w:w="90"/>
              <w:right w:type="dxa" w:w="110"/>
            </w:tcMar>
            <w:vAlign w:val="center"/>
          </w:tcPr>
          <w:p>
            <w:pPr>
              <w:spacing w:after="0" w:line="260"/>
            </w:pPr>
            <w:r>
              <w:rPr>
                <w:b w:val="false"/>
                <w:bCs w:val="false"/>
                <w:sz w:val="18"/>
                <w:szCs w:val="18"/>
              </w:rPr>
              <w:t xml:space="preserve">Euron (51-model AI gateway)</w:t>
            </w:r>
          </w:p>
        </w:tc>
        <w:tc>
          <w:tcPr>
            <w:tcW w:type="dxa" w:w="3266"/>
            <w:tcMar>
              <w:top w:type="dxa" w:w="90"/>
              <w:left w:type="dxa" w:w="110"/>
              <w:bottom w:type="dxa" w:w="90"/>
              <w:right w:type="dxa" w:w="110"/>
            </w:tcMar>
            <w:vAlign w:val="center"/>
          </w:tcPr>
          <w:p>
            <w:pPr>
              <w:spacing w:after="0" w:line="260"/>
            </w:pPr>
            <w:r>
              <w:rPr>
                <w:b w:val="false"/>
                <w:bCs w:val="false"/>
                <w:sz w:val="18"/>
                <w:szCs w:val="18"/>
              </w:rPr>
              <w:t xml:space="preserve">A live, shipped pricing primitive already monetizing AI compute directly</w:t>
            </w:r>
          </w:p>
        </w:tc>
        <w:tc>
          <w:tcPr>
            <w:tcW w:type="dxa" w:w="3368"/>
            <w:tcMar>
              <w:top w:type="dxa" w:w="90"/>
              <w:left w:type="dxa" w:w="110"/>
              <w:bottom w:type="dxa" w:w="90"/>
              <w:right w:type="dxa" w:w="110"/>
            </w:tcMar>
            <w:vAlign w:val="center"/>
          </w:tcPr>
          <w:p>
            <w:pPr>
              <w:spacing w:after="0" w:line="260"/>
            </w:pPr>
            <w:r>
              <w:rPr>
                <w:b w:val="false"/>
                <w:bCs w:val="false"/>
                <w:sz w:val="18"/>
                <w:szCs w:val="18"/>
              </w:rPr>
              <w:t xml:space="preserve">Turns a cost center (AI-TA, first-pass review) into an upsell lever instead of an unbounded expense</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Multi-format creator commerce (1:1 calls, digital downloads, bundles)</w:t>
            </w:r>
          </w:p>
        </w:tc>
        <w:tc>
          <w:tcPr>
            <w:tcW w:type="dxa" w:w="1531"/>
            <w:shd w:fill="EEF2F7" w:val="clear"/>
            <w:tcMar>
              <w:top w:type="dxa" w:w="90"/>
              <w:left w:type="dxa" w:w="110"/>
              <w:bottom w:type="dxa" w:w="90"/>
              <w:right w:type="dxa" w:w="110"/>
            </w:tcMar>
            <w:vAlign w:val="center"/>
          </w:tcPr>
          <w:p>
            <w:pPr>
              <w:spacing w:after="0" w:line="260"/>
            </w:pPr>
            <w:r>
              <w:rPr>
                <w:b w:val="false"/>
                <w:bCs w:val="false"/>
                <w:sz w:val="18"/>
                <w:szCs w:val="18"/>
              </w:rPr>
              <w:t xml:space="preserve">Euron Systems</w:t>
            </w:r>
          </w:p>
        </w:tc>
        <w:tc>
          <w:tcPr>
            <w:tcW w:type="dxa" w:w="3266"/>
            <w:shd w:fill="EEF2F7" w:val="clear"/>
            <w:tcMar>
              <w:top w:type="dxa" w:w="90"/>
              <w:left w:type="dxa" w:w="110"/>
              <w:bottom w:type="dxa" w:w="90"/>
              <w:right w:type="dxa" w:w="110"/>
            </w:tcMar>
            <w:vAlign w:val="center"/>
          </w:tcPr>
          <w:p>
            <w:pPr>
              <w:spacing w:after="0" w:line="260"/>
            </w:pPr>
            <w:r>
              <w:rPr>
                <w:b w:val="false"/>
                <w:bCs w:val="false"/>
                <w:sz w:val="18"/>
                <w:szCs w:val="18"/>
              </w:rPr>
              <w:t xml:space="preserve">Positioned as core, not experimental, across their product pages</w:t>
            </w:r>
          </w:p>
        </w:tc>
        <w:tc>
          <w:tcPr>
            <w:tcW w:type="dxa" w:w="3368"/>
            <w:shd w:fill="EEF2F7" w:val="clear"/>
            <w:tcMar>
              <w:top w:type="dxa" w:w="90"/>
              <w:left w:type="dxa" w:w="110"/>
              <w:bottom w:type="dxa" w:w="90"/>
              <w:right w:type="dxa" w:w="110"/>
            </w:tcMar>
            <w:vAlign w:val="center"/>
          </w:tcPr>
          <w:p>
            <w:pPr>
              <w:spacing w:after="0" w:line="260"/>
            </w:pPr>
            <w:r>
              <w:rPr>
                <w:b w:val="false"/>
                <w:bCs w:val="false"/>
                <w:sz w:val="18"/>
                <w:szCs w:val="18"/>
              </w:rPr>
              <w:t xml:space="preserve">More revenue per creator on infrastructure you're building anyway — low incremental engineering cost</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WhatsApp-native funnel automation</w:t>
            </w:r>
          </w:p>
        </w:tc>
        <w:tc>
          <w:tcPr>
            <w:tcW w:type="dxa" w:w="1531"/>
            <w:tcMar>
              <w:top w:type="dxa" w:w="90"/>
              <w:left w:type="dxa" w:w="110"/>
              <w:bottom w:type="dxa" w:w="90"/>
              <w:right w:type="dxa" w:w="110"/>
            </w:tcMar>
            <w:vAlign w:val="center"/>
          </w:tcPr>
          <w:p>
            <w:pPr>
              <w:spacing w:after="0" w:line="260"/>
            </w:pPr>
            <w:r>
              <w:rPr>
                <w:b w:val="false"/>
                <w:bCs w:val="false"/>
                <w:sz w:val="18"/>
                <w:szCs w:val="18"/>
              </w:rPr>
              <w:t xml:space="preserve">Euron Systems</w:t>
            </w:r>
          </w:p>
        </w:tc>
        <w:tc>
          <w:tcPr>
            <w:tcW w:type="dxa" w:w="3266"/>
            <w:tcMar>
              <w:top w:type="dxa" w:w="90"/>
              <w:left w:type="dxa" w:w="110"/>
              <w:bottom w:type="dxa" w:w="90"/>
              <w:right w:type="dxa" w:w="110"/>
            </w:tcMar>
            <w:vAlign w:val="center"/>
          </w:tcPr>
          <w:p>
            <w:pPr>
              <w:spacing w:after="0" w:line="260"/>
            </w:pPr>
            <w:r>
              <w:rPr>
                <w:b w:val="false"/>
                <w:bCs w:val="false"/>
                <w:sz w:val="18"/>
                <w:szCs w:val="18"/>
              </w:rPr>
              <w:t xml:space="preserve">Built as a first-class channel, not an afterthought, specifically for the Indian market</w:t>
            </w:r>
          </w:p>
        </w:tc>
        <w:tc>
          <w:tcPr>
            <w:tcW w:type="dxa" w:w="3368"/>
            <w:tcMar>
              <w:top w:type="dxa" w:w="90"/>
              <w:left w:type="dxa" w:w="110"/>
              <w:bottom w:type="dxa" w:w="90"/>
              <w:right w:type="dxa" w:w="110"/>
            </w:tcMar>
            <w:vAlign w:val="center"/>
          </w:tcPr>
          <w:p>
            <w:pPr>
              <w:spacing w:after="0" w:line="260"/>
            </w:pPr>
            <w:r>
              <w:rPr>
                <w:b w:val="false"/>
                <w:bCs w:val="false"/>
                <w:sz w:val="18"/>
                <w:szCs w:val="18"/>
              </w:rPr>
              <w:t xml:space="preserve">Materially cheaper, higher-open-rate conversion channel than email alone for India-first growth</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Comparison / battlecard landing pages</w:t>
            </w:r>
          </w:p>
        </w:tc>
        <w:tc>
          <w:tcPr>
            <w:tcW w:type="dxa" w:w="1531"/>
            <w:shd w:fill="EEF2F7" w:val="clear"/>
            <w:tcMar>
              <w:top w:type="dxa" w:w="90"/>
              <w:left w:type="dxa" w:w="110"/>
              <w:bottom w:type="dxa" w:w="90"/>
              <w:right w:type="dxa" w:w="110"/>
            </w:tcMar>
            <w:vAlign w:val="center"/>
          </w:tcPr>
          <w:p>
            <w:pPr>
              <w:spacing w:after="0" w:line="260"/>
            </w:pPr>
            <w:r>
              <w:rPr>
                <w:b w:val="false"/>
                <w:bCs w:val="false"/>
                <w:sz w:val="18"/>
                <w:szCs w:val="18"/>
              </w:rPr>
              <w:t xml:space="preserve">Euron Systems (/compare)</w:t>
            </w:r>
          </w:p>
        </w:tc>
        <w:tc>
          <w:tcPr>
            <w:tcW w:type="dxa" w:w="3266"/>
            <w:shd w:fill="EEF2F7" w:val="clear"/>
            <w:tcMar>
              <w:top w:type="dxa" w:w="90"/>
              <w:left w:type="dxa" w:w="110"/>
              <w:bottom w:type="dxa" w:w="90"/>
              <w:right w:type="dxa" w:w="110"/>
            </w:tcMar>
            <w:vAlign w:val="center"/>
          </w:tcPr>
          <w:p>
            <w:pPr>
              <w:spacing w:after="0" w:line="260"/>
            </w:pPr>
            <w:r>
              <w:rPr>
                <w:b w:val="false"/>
                <w:bCs w:val="false"/>
                <w:sz w:val="18"/>
                <w:szCs w:val="18"/>
              </w:rPr>
              <w:t xml:space="preserve">Live, SEO-indexed, actively maintained across five named competitors</w:t>
            </w:r>
          </w:p>
        </w:tc>
        <w:tc>
          <w:tcPr>
            <w:tcW w:type="dxa" w:w="3368"/>
            <w:shd w:fill="EEF2F7" w:val="clear"/>
            <w:tcMar>
              <w:top w:type="dxa" w:w="90"/>
              <w:left w:type="dxa" w:w="110"/>
              <w:bottom w:type="dxa" w:w="90"/>
              <w:right w:type="dxa" w:w="110"/>
            </w:tcMar>
            <w:vAlign w:val="center"/>
          </w:tcPr>
          <w:p>
            <w:pPr>
              <w:spacing w:after="0" w:line="260"/>
            </w:pPr>
            <w:r>
              <w:rPr>
                <w:b w:val="false"/>
                <w:bCs w:val="false"/>
                <w:sz w:val="18"/>
                <w:szCs w:val="18"/>
              </w:rPr>
              <w:t xml:space="preserve">Proven SEO and bottom-of-funnel conversion tool once we have real, defensible advantages to cite</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Quantified, ₹-denominated scholarship marketing</w:t>
            </w:r>
          </w:p>
        </w:tc>
        <w:tc>
          <w:tcPr>
            <w:tcW w:type="dxa" w:w="1531"/>
            <w:tcMar>
              <w:top w:type="dxa" w:w="90"/>
              <w:left w:type="dxa" w:w="110"/>
              <w:bottom w:type="dxa" w:w="90"/>
              <w:right w:type="dxa" w:w="110"/>
            </w:tcMar>
            <w:vAlign w:val="center"/>
          </w:tcPr>
          <w:p>
            <w:pPr>
              <w:spacing w:after="0" w:line="260"/>
            </w:pPr>
            <w:r>
              <w:rPr>
                <w:b w:val="false"/>
                <w:bCs w:val="false"/>
                <w:sz w:val="18"/>
                <w:szCs w:val="18"/>
              </w:rPr>
              <w:t xml:space="preserve">Crio.do (“₹60,000 scholarships”)</w:t>
            </w:r>
          </w:p>
        </w:tc>
        <w:tc>
          <w:tcPr>
            <w:tcW w:type="dxa" w:w="3266"/>
            <w:tcMar>
              <w:top w:type="dxa" w:w="90"/>
              <w:left w:type="dxa" w:w="110"/>
              <w:bottom w:type="dxa" w:w="90"/>
              <w:right w:type="dxa" w:w="110"/>
            </w:tcMar>
            <w:vAlign w:val="center"/>
          </w:tcPr>
          <w:p>
            <w:pPr>
              <w:spacing w:after="0" w:line="260"/>
            </w:pPr>
            <w:r>
              <w:rPr>
                <w:b w:val="false"/>
                <w:bCs w:val="false"/>
                <w:sz w:val="18"/>
                <w:szCs w:val="18"/>
              </w:rPr>
              <w:t xml:space="preserve">Concrete numbers outperform vague “financial aid available” language in direct-response marketing generally</w:t>
            </w:r>
          </w:p>
        </w:tc>
        <w:tc>
          <w:tcPr>
            <w:tcW w:type="dxa" w:w="3368"/>
            <w:tcMar>
              <w:top w:type="dxa" w:w="90"/>
              <w:left w:type="dxa" w:w="110"/>
              <w:bottom w:type="dxa" w:w="90"/>
              <w:right w:type="dxa" w:w="110"/>
            </w:tcMar>
            <w:vAlign w:val="center"/>
          </w:tcPr>
          <w:p>
            <w:pPr>
              <w:spacing w:after="0" w:line="260"/>
            </w:pPr>
            <w:r>
              <w:rPr>
                <w:b w:val="false"/>
                <w:bCs w:val="false"/>
                <w:sz w:val="18"/>
                <w:szCs w:val="18"/>
              </w:rPr>
              <w:t xml:space="preserve">Discount framed as a specific win increases perceived value versus an equivalent blanket price cut</w:t>
            </w:r>
          </w:p>
        </w:tc>
      </w:tr>
    </w:tbl>
    <w:p>
      <w:pPr>
        <w:pStyle w:val="Heading2"/>
        <w:spacing w:after="160" w:before="340"/>
      </w:pPr>
      <w:r>
        <w:rPr>
          <w:b/>
          <w:bCs/>
        </w:rPr>
        <w:t xml:space="preserve">5.2 SKIP — deliberately do not copy</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449"/>
        <w:gridCol w:w="1837"/>
        <w:gridCol w:w="5919"/>
      </w:tblGrid>
      <w:tr>
        <w:trPr>
          <w:tblHeader/>
        </w:trPr>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Feature / pattern</w:t>
            </w:r>
          </w:p>
        </w:tc>
        <w:tc>
          <w:tcPr>
            <w:tcW w:type="dxa" w:w="1837"/>
            <w:shd w:fill="1B2A4A" w:val="clear"/>
            <w:tcMar>
              <w:top w:type="dxa" w:w="100"/>
              <w:left w:type="dxa" w:w="110"/>
              <w:bottom w:type="dxa" w:w="100"/>
              <w:right w:type="dxa" w:w="110"/>
            </w:tcMar>
            <w:vAlign w:val="center"/>
          </w:tcPr>
          <w:p>
            <w:pPr>
              <w:spacing w:after="0"/>
            </w:pPr>
            <w:r>
              <w:rPr>
                <w:b/>
                <w:bCs/>
                <w:color w:val="FFFFFF"/>
                <w:sz w:val="18"/>
                <w:szCs w:val="18"/>
              </w:rPr>
              <w:t xml:space="preserve">Source</w:t>
            </w:r>
          </w:p>
        </w:tc>
        <w:tc>
          <w:tcPr>
            <w:tcW w:type="dxa" w:w="5919"/>
            <w:shd w:fill="1B2A4A" w:val="clear"/>
            <w:tcMar>
              <w:top w:type="dxa" w:w="100"/>
              <w:left w:type="dxa" w:w="110"/>
              <w:bottom w:type="dxa" w:w="100"/>
              <w:right w:type="dxa" w:w="110"/>
            </w:tcMar>
            <w:vAlign w:val="center"/>
          </w:tcPr>
          <w:p>
            <w:pPr>
              <w:spacing w:after="0"/>
            </w:pPr>
            <w:r>
              <w:rPr>
                <w:b/>
                <w:bCs/>
                <w:color w:val="FFFFFF"/>
                <w:sz w:val="18"/>
                <w:szCs w:val="18"/>
              </w:rPr>
              <w:t xml:space="preserve">Why to skip</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Big up-front placement guarantee paired with rigid, contested refund terms</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Crio.do</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This exact combination is the specific, recurring mechanism behind Crio's public trust damage. The guarantee drives signups; the rigidity is what turns disappointed learners into public liabilities. If we ever offer an outcome guarantee, it must ship with Euron-style clear, generous, unambiguous terms — not this version.</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“200+ AI agents” style inflated feature-count marketing</w:t>
            </w:r>
          </w:p>
        </w:tc>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Euron Systems</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Reads as a big scary number rather than something a buyer can evaluate feature-by-feature; risks looking like hype. Better to market a handful of named, demoable capabilities credibly than a large abstract count.</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Sprawling multi-vertical catalog breadth without a clear quality bar per course</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Euron (rapid 56→70+ course growth) and its iNeuron lineage</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Breadth-over-depth catalogs don't defend premium pricing and dilute brand quality perception (this is the same trap Edureka fell into in Volume 1). Stay narrow and excellent in fewer subjects first.</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General-purpose, non-technical tangents (e.g. AI language-practice tool)</w:t>
            </w:r>
          </w:p>
        </w:tc>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Euron Systems (“Lingua”)</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No evidence this drives revenue for a fundamentally technical-education brand; reads as scope creep from a platform trying to serve every possible educator. Don't dilute focus this early.</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Aggressive, commission-driven outbound sales-agent enrollment motion</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Crio.do</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Named individual sales reps and “overly sales-focused” framing appear repeatedly in negative review sentiment, suggesting incentive structures that can oversell outcomes. Prefer self-serve plus high-trust content-led acquisition (i.e., steal the funnel, not the sales culture).</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Raw, unfiltered multi-model AI picker exposed directly to end learners</w:t>
            </w:r>
          </w:p>
        </w:tc>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Euron (51 models, user-selectable)</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More of a power-user flex than a validated learner need; task-specific AI (tutor, first-pass review, interview defense) is easier to price, support, and explain than a general-purpose model playground.</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EMI partnerships without hardship or pause provisions</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Crio.do (via third-party finance partners)</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Consumer-complaint evidence shows real harm — job loss with no payment pause mechanism, mounting legal pressure. Any EMI partner we use must include an explicit hardship/deferment option.</w:t>
            </w:r>
          </w:p>
        </w:tc>
      </w:tr>
    </w:tbl>
    <w:p>
      <w:pPr>
        <w:pStyle w:val="Heading2"/>
        <w:spacing w:after="160" w:before="340"/>
      </w:pPr>
      <w:r>
        <w:rPr>
          <w:b/>
          <w:bCs/>
        </w:rPr>
        <w:t xml:space="preserve">5.3 BUILD EXTRA — genuine whitespace, confirmed against both</w:t>
      </w:r>
    </w:p>
    <w:p>
      <w:pPr>
        <w:spacing w:after="200" w:line="288"/>
        <w:jc w:val="left"/>
      </w:pPr>
      <w:r>
        <w:t xml:space="preserve">These were whitespace claims in the first spec. Having now checked them specifically against Crio.do and Euron Systems feature-by-feature, all of them hold up — neither competitor covers any of these.</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245"/>
        <w:gridCol w:w="4287"/>
        <w:gridCol w:w="3674"/>
      </w:tblGrid>
      <w:tr>
        <w:trPr>
          <w:tblHeader/>
        </w:trPr>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Opportunity</w:t>
            </w:r>
          </w:p>
        </w:tc>
        <w:tc>
          <w:tcPr>
            <w:tcW w:type="dxa" w:w="4287"/>
            <w:shd w:fill="1B2A4A" w:val="clear"/>
            <w:tcMar>
              <w:top w:type="dxa" w:w="100"/>
              <w:left w:type="dxa" w:w="110"/>
              <w:bottom w:type="dxa" w:w="100"/>
              <w:right w:type="dxa" w:w="110"/>
            </w:tcMar>
            <w:vAlign w:val="center"/>
          </w:tcPr>
          <w:p>
            <w:pPr>
              <w:spacing w:after="0"/>
            </w:pPr>
            <w:r>
              <w:rPr>
                <w:b/>
                <w:bCs/>
                <w:color w:val="FFFFFF"/>
                <w:sz w:val="18"/>
                <w:szCs w:val="18"/>
              </w:rPr>
              <w:t xml:space="preserve">Why neither competitor covers it</w:t>
            </w:r>
          </w:p>
        </w:tc>
        <w:tc>
          <w:tcPr>
            <w:tcW w:type="dxa" w:w="3674"/>
            <w:shd w:fill="1B2A4A" w:val="clear"/>
            <w:tcMar>
              <w:top w:type="dxa" w:w="100"/>
              <w:left w:type="dxa" w:w="110"/>
              <w:bottom w:type="dxa" w:w="100"/>
              <w:right w:type="dxa" w:w="110"/>
            </w:tcMar>
            <w:vAlign w:val="center"/>
          </w:tcPr>
          <w:p>
            <w:pPr>
              <w:spacing w:after="0"/>
            </w:pPr>
            <w:r>
              <w:rPr>
                <w:b/>
                <w:bCs/>
                <w:color w:val="FFFFFF"/>
                <w:sz w:val="18"/>
                <w:szCs w:val="18"/>
              </w:rPr>
              <w:t xml:space="preserve">Monetization angle</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À la carte, independently-purchasable projects</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Crio sells one fixed-price program; Euron is subscription-only. Neither lets someone buy a single hard project with no other commitment.</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Captures the large segment who want proof-of-work without a bootcamp-scale commitment — a new, lower-friction price point</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Multi-creator marketplace with shared discovery</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Crio is one in-house brand; Euron Systems is single-tenant infrastructure — each creator is an island with no cross-discovery.</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Network effects: every new creator brings learners who discover other creators, raising platform-wide LTV without proportional CAC</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Enterprise/university “Program” packaging with co-branded certification</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Crio is pure B2C placement; Euron Systems is pure B2B infrastructure rental with no delivery/operations layer.</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High-ACV contracts (Section 8.4, Vol. 1) neither competitor is positioned to win</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Standing, paid hiring-partner talent marketplace</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Crio treats 1,000+ hiring partners as an internal service, not a product companies pay to access.</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A new B2B revenue line: recruiters pay for search access to verified, mentor-reviewed project portfolios</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Fair-guarantee design marketed as a trust differentiator</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Crio's guarantee is contested; Euron Systems doesn't offer outcome guarantees at all, only infra refunds.</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Turns Crio's biggest weakness into an explicit acquisition message: “the fair alternative”</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Project-authorship / anti-AI-shortcut verification as a headline trust claim</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Euron's AVNI verifies interview performance, not the authorship of the submitted project itself; Crio has integrity policy but doesn't market it as a buyer-facing trust claim.</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A defensible, ownable trust claim as AI-generated submissions become the default risk across the whole category</w:t>
            </w:r>
          </w:p>
        </w:tc>
      </w:tr>
    </w:tbl>
    <w:p>
      <w:pPr>
        <w:spacing w:after="100"/>
      </w:pPr>
    </w:p>
    <w:p>
      <w:pPr>
        <w:spacing w:after="240" w:before="120"/>
        <w:jc w:val="center"/>
      </w:pPr>
      <w:r>
        <w:drawing>
          <wp:inline distT="0" distB="0" distL="0" distR="0">
            <wp:extent cx="5943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76750"/>
                    </a:xfrm>
                    <a:prstGeom prst="rect">
                      <a:avLst/>
                    </a:prstGeom>
                  </pic:spPr>
                </pic:pic>
              </a:graphicData>
            </a:graphic>
          </wp:inline>
        </w:drawing>
      </w:r>
    </w:p>
    <w:p>
      <w:pPr>
        <w:spacing w:after="300"/>
        <w:jc w:val="center"/>
      </w:pPr>
      <w:r>
        <w:rPr>
          <w:i/>
          <w:iCs/>
          <w:color w:val="6B7280"/>
          <w:sz w:val="17"/>
          <w:szCs w:val="17"/>
        </w:rPr>
        <w:t xml:space="preserve">Figure 1 — Steal and Build-Extra items plotted by revenue confidence and build effort. Top-left is the immediate build queue.</w:t>
      </w:r>
    </w:p>
    <w:p>
      <w:pPr>
        <w:pStyle w:val="Heading1"/>
        <w:pageBreakBefore/>
        <w:spacing w:after="220" w:before="200"/>
      </w:pPr>
      <w:r>
        <w:rPr>
          <w:b/>
          <w:bCs/>
        </w:rPr>
        <w:t xml:space="preserve">6. Positioning Playbook</w:t>
      </w:r>
    </w:p>
    <w:p>
      <w:pPr>
        <w:spacing w:after="200" w:line="288"/>
        <w:jc w:val="left"/>
      </w:pPr>
      <w:r>
        <w:t xml:space="preserve">Specific language for when a prospect, investor, or your own team brings up either competitor by name.</w:t>
      </w:r>
    </w:p>
    <w:p>
      <w:pPr>
        <w:pStyle w:val="Heading2"/>
        <w:spacing w:after="160" w:before="340"/>
      </w:pPr>
      <w:r>
        <w:rPr>
          <w:b/>
          <w:bCs/>
        </w:rPr>
        <w:t xml:space="preserve">6.1 Battlecard: vs. Crio.do</w:t>
      </w:r>
    </w:p>
    <w:p>
      <w:pPr>
        <w:pBdr>
          <w:left w:val="single" w:color="B9762F" w:sz="18" w:space="8"/>
        </w:pBdr>
        <w:shd w:fill="EEF2F7" w:val="clear"/>
        <w:spacing w:after="200" w:line="288"/>
        <w:ind w:left="120"/>
      </w:pPr>
      <w:r>
        <w:rPr>
          <w:b/>
          <w:bCs/>
          <w:color w:val="B9762F"/>
        </w:rPr>
        <w:t xml:space="preserve">Lead with:  </w:t>
      </w:r>
      <w:r>
        <w:t xml:space="preserve">Crio proved that people will pay a real premium for mentor-reviewed, real-company-caliber project work — we agree completely, which is why our Flagship project tier is built the same way. The difference is choice and fairness.</w:t>
      </w:r>
    </w:p>
    <w:p>
      <w:pPr>
        <w:pStyle w:val="ListParagraph"/>
        <w:numPr>
          <w:ilvl w:val="0"/>
          <w:numId w:val="1"/>
        </w:numPr>
        <w:spacing w:after="90" w:line="276"/>
      </w:pPr>
      <w:r>
        <w:rPr>
          <w:b/>
          <w:bCs/>
          <w:i w:val="false"/>
          <w:iCs w:val="false"/>
        </w:rPr>
        <w:t xml:space="preserve">On commitment: </w:t>
      </w:r>
      <w:r>
        <w:rPr>
          <w:b w:val="false"/>
          <w:bCs w:val="false"/>
          <w:i w:val="false"/>
          <w:iCs w:val="false"/>
        </w:rPr>
        <w:t xml:space="preserve">“You don't have to commit to a ₹90,000, multi-month fellowship to get a real, mentor-reviewed project on your resume. Buy one project, from one creator, and see if it's for you.”</w:t>
      </w:r>
    </w:p>
    <w:p>
      <w:pPr>
        <w:pStyle w:val="ListParagraph"/>
        <w:numPr>
          <w:ilvl w:val="0"/>
          <w:numId w:val="1"/>
        </w:numPr>
        <w:spacing w:after="90" w:line="276"/>
      </w:pPr>
      <w:r>
        <w:rPr>
          <w:b/>
          <w:bCs/>
          <w:i w:val="false"/>
          <w:iCs w:val="false"/>
        </w:rPr>
        <w:t xml:space="preserve">On choice: </w:t>
      </w:r>
      <w:r>
        <w:rPr>
          <w:b w:val="false"/>
          <w:bCs w:val="false"/>
          <w:i w:val="false"/>
          <w:iCs w:val="false"/>
        </w:rPr>
        <w:t xml:space="preserve">“Crio teaches Crio's curriculum. We're a marketplace — you pick the creator whose teaching style and specialty actually fits you, not the one company happens to have built.”</w:t>
      </w:r>
    </w:p>
    <w:p>
      <w:pPr>
        <w:pStyle w:val="ListParagraph"/>
        <w:numPr>
          <w:ilvl w:val="0"/>
          <w:numId w:val="1"/>
        </w:numPr>
        <w:spacing w:after="90" w:line="276"/>
      </w:pPr>
      <w:r>
        <w:rPr>
          <w:b/>
          <w:bCs/>
          <w:i w:val="false"/>
          <w:iCs w:val="false"/>
        </w:rPr>
        <w:t xml:space="preserve">On fairness: </w:t>
      </w:r>
      <w:r>
        <w:rPr>
          <w:b w:val="false"/>
          <w:bCs w:val="false"/>
          <w:i w:val="false"/>
          <w:iCs w:val="false"/>
        </w:rPr>
        <w:t xml:space="preserve">“If we ever offer an outcome-based guarantee, the terms will be as clear and short as a subscription refund window — not a year-long promise with conditions buried in an admission letter.”</w:t>
      </w:r>
    </w:p>
    <w:p>
      <w:pPr>
        <w:pStyle w:val="ListParagraph"/>
        <w:numPr>
          <w:ilvl w:val="0"/>
          <w:numId w:val="1"/>
        </w:numPr>
        <w:spacing w:after="90" w:line="276"/>
      </w:pPr>
      <w:r>
        <w:rPr>
          <w:b/>
          <w:bCs/>
          <w:i w:val="false"/>
          <w:iCs w:val="false"/>
        </w:rPr>
        <w:t xml:space="preserve">Where to concede: </w:t>
      </w:r>
      <w:r>
        <w:rPr>
          <w:b w:val="false"/>
          <w:bCs w:val="false"/>
          <w:i w:val="false"/>
          <w:iCs w:val="false"/>
        </w:rPr>
        <w:t xml:space="preserve">Crio's free Winter of Doing funnel and its rotating real-company externship partner roster are both genuinely excellent — don't disparage them; our own free funnel (Section 5.1) needs to be at least that good before this argument works.</w:t>
      </w:r>
    </w:p>
    <w:p>
      <w:pPr>
        <w:pStyle w:val="Heading2"/>
        <w:spacing w:after="160" w:before="340"/>
      </w:pPr>
      <w:r>
        <w:rPr>
          <w:b/>
          <w:bCs/>
        </w:rPr>
        <w:t xml:space="preserve">6.2 Battlecard: vs. Euron Systems</w:t>
      </w:r>
    </w:p>
    <w:p>
      <w:pPr>
        <w:pBdr>
          <w:left w:val="single" w:color="B9762F" w:sz="18" w:space="8"/>
        </w:pBdr>
        <w:shd w:fill="EEF2F7" w:val="clear"/>
        <w:spacing w:after="200" w:line="288"/>
        <w:ind w:left="120"/>
      </w:pPr>
      <w:r>
        <w:rPr>
          <w:b/>
          <w:bCs/>
          <w:color w:val="B9762F"/>
        </w:rPr>
        <w:t xml:space="preserve">Lead with:  </w:t>
      </w:r>
      <w:r>
        <w:t xml:space="preserve">Euron Systems is legitimately strong infrastructure if you're one educator building one storefront — and their AI interview tooling is ahead of most of the market. We're solving a different problem: what happens when a learner wants more than one educator, and what happens when a university wants a program that spans several.</w:t>
      </w:r>
    </w:p>
    <w:p>
      <w:pPr>
        <w:pStyle w:val="ListParagraph"/>
        <w:numPr>
          <w:ilvl w:val="0"/>
          <w:numId w:val="1"/>
        </w:numPr>
        <w:spacing w:after="90" w:line="276"/>
      </w:pPr>
      <w:r>
        <w:rPr>
          <w:b/>
          <w:bCs/>
          <w:i w:val="false"/>
          <w:iCs w:val="false"/>
        </w:rPr>
        <w:t xml:space="preserve">On discovery: </w:t>
      </w:r>
      <w:r>
        <w:rPr>
          <w:b w:val="false"/>
          <w:bCs w:val="false"/>
          <w:i w:val="false"/>
          <w:iCs w:val="false"/>
        </w:rPr>
        <w:t xml:space="preserve">“On Euron Systems, your students only ever find you. On our platform, they find you and every other great instructor we host — and you get discovered by learners who came for someone else.”</w:t>
      </w:r>
    </w:p>
    <w:p>
      <w:pPr>
        <w:pStyle w:val="ListParagraph"/>
        <w:numPr>
          <w:ilvl w:val="0"/>
          <w:numId w:val="1"/>
        </w:numPr>
        <w:spacing w:after="90" w:line="276"/>
      </w:pPr>
      <w:r>
        <w:rPr>
          <w:b/>
          <w:bCs/>
          <w:i w:val="false"/>
          <w:iCs w:val="false"/>
        </w:rPr>
        <w:t xml:space="preserve">On mentorship supply: </w:t>
      </w:r>
      <w:r>
        <w:rPr>
          <w:b w:val="false"/>
          <w:bCs w:val="false"/>
          <w:i w:val="false"/>
          <w:iCs w:val="false"/>
        </w:rPr>
        <w:t xml:space="preserve">“A single-tenant platform means your mentor capacity is exactly your own time. We pool mentors across the marketplace, so project review scales with the platform, not with any one creator's calendar.”</w:t>
      </w:r>
    </w:p>
    <w:p>
      <w:pPr>
        <w:pStyle w:val="ListParagraph"/>
        <w:numPr>
          <w:ilvl w:val="0"/>
          <w:numId w:val="1"/>
        </w:numPr>
        <w:spacing w:after="90" w:line="276"/>
      </w:pPr>
      <w:r>
        <w:rPr>
          <w:b/>
          <w:bCs/>
          <w:i w:val="false"/>
          <w:iCs w:val="false"/>
        </w:rPr>
        <w:t xml:space="preserve">On enterprise: </w:t>
      </w:r>
      <w:r>
        <w:rPr>
          <w:b w:val="false"/>
          <w:bCs w:val="false"/>
          <w:i w:val="false"/>
          <w:iCs w:val="false"/>
        </w:rPr>
        <w:t xml:space="preserve">“Euron Systems rents you infrastructure; it doesn't sell a university a branded, multi-creator program with co-branded certification and compliance reporting. That's a fundamentally different product, and it's ours.”</w:t>
      </w:r>
    </w:p>
    <w:p>
      <w:pPr>
        <w:pStyle w:val="ListParagraph"/>
        <w:numPr>
          <w:ilvl w:val="0"/>
          <w:numId w:val="1"/>
        </w:numPr>
        <w:spacing w:after="90" w:line="276"/>
      </w:pPr>
      <w:r>
        <w:rPr>
          <w:b/>
          <w:bCs/>
          <w:i w:val="false"/>
          <w:iCs w:val="false"/>
        </w:rPr>
        <w:t xml:space="preserve">Where to concede: </w:t>
      </w:r>
      <w:r>
        <w:rPr>
          <w:b w:val="false"/>
          <w:bCs w:val="false"/>
          <w:i w:val="false"/>
          <w:iCs w:val="false"/>
        </w:rPr>
        <w:t xml:space="preserve">if a prospect is a single, established educator who just wants to own their own brand and keep 100% of revenue with zero interest in a shared marketplace, Euron Systems is a legitimately good fit for them — don't try to win that specific buyer, target the creator who wants distribution more than full brand ownership.</w:t>
      </w:r>
    </w:p>
    <w:p>
      <w:pPr>
        <w:pStyle w:val="Heading1"/>
        <w:pageBreakBefore/>
        <w:spacing w:after="220" w:before="200"/>
      </w:pPr>
      <w:r>
        <w:rPr>
          <w:b/>
          <w:bCs/>
        </w:rPr>
        <w:t xml:space="preserve">7. Prioritized Build Sequence</w:t>
      </w:r>
    </w:p>
    <w:p>
      <w:pPr>
        <w:spacing w:after="200" w:line="288"/>
        <w:jc w:val="left"/>
      </w:pPr>
      <w:r>
        <w:t xml:space="preserve">Reading the priority matrix in Section 5.3: the top-left quadrant (high revenue confidence, low build effort) is the immediate queue. Mapped to the phased roadmap from the first spec:</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245"/>
        <w:gridCol w:w="7961"/>
      </w:tblGrid>
      <w:tr>
        <w:trPr>
          <w:tblHeader/>
        </w:trPr>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Phase</w:t>
            </w:r>
          </w:p>
        </w:tc>
        <w:tc>
          <w:tcPr>
            <w:tcW w:type="dxa" w:w="7961"/>
            <w:shd w:fill="1B2A4A" w:val="clear"/>
            <w:tcMar>
              <w:top w:type="dxa" w:w="100"/>
              <w:left w:type="dxa" w:w="110"/>
              <w:bottom w:type="dxa" w:w="100"/>
              <w:right w:type="dxa" w:w="110"/>
            </w:tcMar>
            <w:vAlign w:val="center"/>
          </w:tcPr>
          <w:p>
            <w:pPr>
              <w:spacing w:after="0"/>
            </w:pPr>
            <w:r>
              <w:rPr>
                <w:b/>
                <w:bCs/>
                <w:color w:val="FFFFFF"/>
                <w:sz w:val="18"/>
                <w:szCs w:val="18"/>
              </w:rPr>
              <w:t xml:space="preserve">Add to the roadmap</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MVP (0–6 months)</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Fair, short refund window (steal from Euron Systems) baked into commerce from day one — this is cheap to build and expensive to retrofit after a trust incident. Begin designing the free staged funnel even if it launches just after MVP.</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V1 (6–12 months)</w:t>
            </w:r>
          </w:p>
        </w:tc>
        <w:tc>
          <w:tcPr>
            <w:tcW w:type="dxa" w:w="7961"/>
            <w:shd w:fill="EEF2F7" w:val="clear"/>
            <w:tcMar>
              <w:top w:type="dxa" w:w="90"/>
              <w:left w:type="dxa" w:w="110"/>
              <w:bottom w:type="dxa" w:w="90"/>
              <w:right w:type="dxa" w:w="110"/>
            </w:tcMar>
            <w:vAlign w:val="center"/>
          </w:tcPr>
          <w:p>
            <w:pPr>
              <w:spacing w:after="0" w:line="260"/>
            </w:pPr>
            <w:r>
              <w:rPr>
                <w:b w:val="false"/>
                <w:bCs w:val="false"/>
                <w:sz w:val="18"/>
                <w:szCs w:val="18"/>
              </w:rPr>
              <w:t xml:space="preserve">Launch the free staged acquisition funnel (Crio-style); pursue 2–3 real named-company project partnerships for the Flagship tier rather than fictional clones; add WhatsApp-native funnel automation for India-first growth; meter AI-TA/first-pass review usage as a wallet, not unlimited-free or hard-gated.</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V2 (12–24 months)</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AI-conducted, recorded project defense (AVNI-style) as a Career-tier feature; multi-format creator commerce (1:1 sessions, digital downloads, bundles) on top of the commerce engine already built; talent marketplace for hiring partners; lead with “the fair alternative” as explicit positioning once the guarantee/refund design is proven in market.</w:t>
            </w:r>
          </w:p>
        </w:tc>
      </w:tr>
    </w:tbl>
    <w:p>
      <w:pPr>
        <w:pBdr>
          <w:left w:val="single" w:color="B9762F" w:sz="18" w:space="8"/>
        </w:pBdr>
        <w:shd w:fill="EEF2F7" w:val="clear"/>
        <w:spacing w:after="200" w:line="288"/>
        <w:ind w:left="120"/>
      </w:pPr>
      <w:r>
        <w:rPr>
          <w:b/>
          <w:bCs/>
          <w:color w:val="B9762F"/>
        </w:rPr>
        <w:t xml:space="preserve">One sequencing call worth making explicitly:  </w:t>
      </w:r>
      <w:r>
        <w:t xml:space="preserve">build the fair refund/guarantee design before you build any placement guarantee at all. Crio's evidence shows the guarantee mechanic without fair terms is a liability multiplier, not just a conversion lever — get the terms right first, then decide whether to add a guarantee on top, not the other way around.</w:t>
      </w:r>
    </w:p>
    <w:p>
      <w:pPr>
        <w:pStyle w:val="Heading1"/>
        <w:pageBreakBefore/>
        <w:spacing w:after="220" w:before="200"/>
      </w:pPr>
      <w:r>
        <w:rPr>
          <w:b/>
          <w:bCs/>
        </w:rPr>
        <w:t xml:space="preserve">8. Appendix: Research Sources</w:t>
      </w:r>
    </w:p>
    <w:p>
      <w:pPr>
        <w:spacing w:after="200" w:line="288"/>
        <w:jc w:val="left"/>
      </w:pPr>
      <w:r>
        <w:t xml:space="preserve">Direct review of both platforms' live sites, plus third-party and public-sentiment sources, conducted July 2026. Figures move over time (Euron's course/project counts changed across pages checked days apart) — re-verify anything price- or claim-sensitive before external use.</w:t>
      </w:r>
    </w:p>
    <w:p>
      <w:pPr>
        <w:pStyle w:val="Heading3"/>
        <w:spacing w:after="120" w:before="260"/>
      </w:pPr>
      <w:r>
        <w:rPr>
          <w:b/>
          <w:bCs/>
        </w:rPr>
        <w:t xml:space="preserve">Crio.do</w:t>
      </w:r>
    </w:p>
    <w:p>
      <w:pPr>
        <w:pStyle w:val="ListParagraph"/>
        <w:numPr>
          <w:ilvl w:val="0"/>
          <w:numId w:val="1"/>
        </w:numPr>
        <w:spacing w:after="90" w:line="276"/>
      </w:pPr>
      <w:r>
        <w:t xml:space="preserve">crio.do (homepage, fellowship program, QA automation, Launch, Winter of Doing, Projects Hub, Resources pages)</w:t>
      </w:r>
    </w:p>
    <w:p>
      <w:pPr>
        <w:pStyle w:val="ListParagraph"/>
        <w:numPr>
          <w:ilvl w:val="0"/>
          <w:numId w:val="1"/>
        </w:numPr>
        <w:spacing w:after="90" w:line="276"/>
      </w:pPr>
      <w:r>
        <w:t xml:space="preserve">crio.do/learn/user-guide-policy (placement guarantee, referral, and academic integrity terms)</w:t>
      </w:r>
    </w:p>
    <w:p>
      <w:pPr>
        <w:pStyle w:val="ListParagraph"/>
        <w:numPr>
          <w:ilvl w:val="0"/>
          <w:numId w:val="1"/>
        </w:numPr>
        <w:spacing w:after="90" w:line="276"/>
      </w:pPr>
      <w:r>
        <w:t xml:space="preserve">Trustpilot (crio.do reviews) and Consumer Court Advisor / Consumer Complaints Court threads</w:t>
      </w:r>
    </w:p>
    <w:p>
      <w:pPr>
        <w:pStyle w:val="ListParagraph"/>
        <w:numPr>
          <w:ilvl w:val="0"/>
          <w:numId w:val="1"/>
        </w:numPr>
        <w:spacing w:after="90" w:line="276"/>
      </w:pPr>
      <w:r>
        <w:t xml:space="preserve">PitchBook, Crunchbase, Tracxn, CB Insights (funding, employee count, revenue estimates)</w:t>
      </w:r>
    </w:p>
    <w:p>
      <w:pPr>
        <w:pStyle w:val="ListParagraph"/>
        <w:numPr>
          <w:ilvl w:val="0"/>
          <w:numId w:val="1"/>
        </w:numPr>
        <w:spacing w:after="90" w:line="276"/>
      </w:pPr>
      <w:r>
        <w:t xml:space="preserve">Entrackr, BusinessToday, CIO Tech Outlook coverage of the Skill-Lync acquisition (November 2022)</w:t>
      </w:r>
    </w:p>
    <w:p>
      <w:pPr>
        <w:pStyle w:val="ListParagraph"/>
        <w:numPr>
          <w:ilvl w:val="0"/>
          <w:numId w:val="1"/>
        </w:numPr>
        <w:spacing w:after="90" w:line="276"/>
      </w:pPr>
      <w:r>
        <w:t xml:space="preserve">StartupTalky founder profile; first-person participant write-ups on Medium and DEV.to (2021–2022 Winter of Doing cohorts)</w:t>
      </w:r>
    </w:p>
    <w:p>
      <w:pPr>
        <w:pStyle w:val="Heading3"/>
        <w:spacing w:after="120" w:before="260"/>
      </w:pPr>
      <w:r>
        <w:rPr>
          <w:b/>
          <w:bCs/>
        </w:rPr>
        <w:t xml:space="preserve">Euron &amp; Euron Systems</w:t>
      </w:r>
    </w:p>
    <w:p>
      <w:pPr>
        <w:pStyle w:val="ListParagraph"/>
        <w:numPr>
          <w:ilvl w:val="0"/>
          <w:numId w:val="1"/>
        </w:numPr>
        <w:spacing w:after="90" w:line="276"/>
      </w:pPr>
      <w:r>
        <w:t xml:space="preserve">euronsystems.com (homepage, /compare, /products, /faq) and euron.one (homepage, /plus, course pages)</w:t>
      </w:r>
    </w:p>
    <w:p>
      <w:pPr>
        <w:pStyle w:val="ListParagraph"/>
        <w:numPr>
          <w:ilvl w:val="0"/>
          <w:numId w:val="1"/>
        </w:numPr>
        <w:spacing w:after="90" w:line="276"/>
      </w:pPr>
      <w:r>
        <w:t xml:space="preserve">euronsystems.com blog (“Dream Big: How Euron Systems Turns EdTech Dreams Into Reality”)</w:t>
      </w:r>
    </w:p>
    <w:p>
      <w:pPr>
        <w:pStyle w:val="ListParagraph"/>
        <w:numPr>
          <w:ilvl w:val="0"/>
          <w:numId w:val="1"/>
        </w:numPr>
        <w:spacing w:after="90" w:line="276"/>
      </w:pPr>
      <w:r>
        <w:t xml:space="preserve">Google Play Store listings for both the Euron and Euron Systems apps</w:t>
      </w:r>
    </w:p>
    <w:p>
      <w:pPr>
        <w:pStyle w:val="ListParagraph"/>
        <w:numPr>
          <w:ilvl w:val="0"/>
          <w:numId w:val="1"/>
        </w:numPr>
        <w:spacing w:after="90" w:line="276"/>
      </w:pPr>
      <w:r>
        <w:t xml:space="preserve">Shiksha (iNeuron profile, prior-exit context); LinkedIn, X, and Facebook founder profiles for Sudhanshu Kumar</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E" w:sz="4" w:space="4"/>
      </w:pBdr>
      <w:jc w:val="right"/>
    </w:pPr>
    <w:r>
      <w:rPr>
        <w:i/>
        <w:iCs/>
        <w:color w:val="6B7280"/>
        <w:sz w:val="15"/>
        <w:szCs w:val="15"/>
      </w:rPr>
      <w:t xml:space="preserve">Competitive Teardown: Euron Systems &amp; Crio.do  ·  [Startup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F"/>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9762F" w:sz="8" w:space="6"/>
      </w:pBdr>
      <w:spacing w:after="220" w:before="200"/>
    </w:pPr>
    <w:rPr>
      <w:rFonts w:ascii="Calibri" w:cs="Calibri" w:eastAsia="Calibri" w:hAnsi="Calibri"/>
      <w:b/>
      <w:bCs/>
      <w:color w:val="1B2A4A"/>
      <w:sz w:val="32"/>
      <w:szCs w:val="32"/>
    </w:rPr>
  </w:style>
  <w:style w:type="paragraph" w:styleId="Heading2">
    <w:name w:val="Heading 2"/>
    <w:basedOn w:val="Normal"/>
    <w:next w:val="Normal"/>
    <w:qFormat/>
    <w:pPr>
      <w:spacing w:after="160" w:before="340"/>
    </w:pPr>
    <w:rPr>
      <w:rFonts w:ascii="Calibri" w:cs="Calibri" w:eastAsia="Calibri" w:hAnsi="Calibri"/>
      <w:b/>
      <w:bCs/>
      <w:color w:val="2E4470"/>
      <w:sz w:val="25"/>
      <w:szCs w:val="25"/>
    </w:rPr>
  </w:style>
  <w:style w:type="paragraph" w:styleId="Heading3">
    <w:name w:val="Heading 3"/>
    <w:basedOn w:val="Normal"/>
    <w:next w:val="Normal"/>
    <w:qFormat/>
    <w:pPr>
      <w:spacing w:after="120" w:before="260"/>
    </w:pPr>
    <w:rPr>
      <w:rFonts w:ascii="Calibri" w:cs="Calibri" w:eastAsia="Calibri" w:hAnsi="Calibri"/>
      <w:b/>
      <w:bCs/>
      <w:color w:val="B976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4e33c20198a0eb873cc93d27a3521347af47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Teardown &amp; Feature Strategy: Euron Systems &amp; Crio.do</dc:title>
  <dc:creator>Founder Working Draft</dc:creator>
  <dc:description>Deep-dive competitive analysis and steal/skip/build-extra feature strategy</dc:description>
  <cp:lastModifiedBy>Un-named</cp:lastModifiedBy>
  <cp:revision>1</cp:revision>
  <dcterms:created xsi:type="dcterms:W3CDTF">2026-07-02T03:20:52.846Z</dcterms:created>
  <dcterms:modified xsi:type="dcterms:W3CDTF">2026-07-02T03:20:52.846Z</dcterms:modified>
</cp:coreProperties>
</file>

<file path=docProps/custom.xml><?xml version="1.0" encoding="utf-8"?>
<Properties xmlns="http://schemas.openxmlformats.org/officeDocument/2006/custom-properties" xmlns:vt="http://schemas.openxmlformats.org/officeDocument/2006/docPropsVTypes"/>
</file>