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60"/>
        <w:jc w:val="center"/>
      </w:pPr>
      <w:r>
        <w:rPr>
          <w:b/>
          <w:bCs/>
          <w:color w:val="1B2A4A"/>
          <w:sz w:val="40"/>
          <w:szCs w:val="40"/>
        </w:rPr>
        <w:t xml:space="preserve">PRODUCT REQUIREMENTS &amp;</w:t>
      </w:r>
    </w:p>
    <w:p>
      <w:pPr>
        <w:spacing w:after="360"/>
        <w:jc w:val="center"/>
      </w:pPr>
      <w:r>
        <w:rPr>
          <w:b/>
          <w:bCs/>
          <w:color w:val="1B2A4A"/>
          <w:sz w:val="40"/>
          <w:szCs w:val="40"/>
        </w:rPr>
        <w:t xml:space="preserve">SYSTEM DESIGN SPECIFICATION</w:t>
      </w:r>
    </w:p>
    <w:p>
      <w:pPr>
        <w:spacing w:after="40"/>
        <w:jc w:val="center"/>
      </w:pPr>
      <w:r>
        <w:rPr>
          <w:i/>
          <w:iCs/>
          <w:color w:val="2E4470"/>
          <w:sz w:val="26"/>
          <w:szCs w:val="26"/>
        </w:rPr>
        <w:t xml:space="preserve">A Unified Learning Platform &amp; Mentor-Guided Project Marketplace</w:t>
      </w:r>
    </w:p>
    <w:p>
      <w:pPr>
        <w:spacing w:after="900"/>
        <w:jc w:val="center"/>
      </w:pPr>
      <w:r>
        <w:rPr>
          <w:color w:val="6B7280"/>
          <w:sz w:val="22"/>
          <w:szCs w:val="22"/>
        </w:rPr>
        <w:t xml:space="preserve">for Courses, Complex Mentor-Reviewed Projects, Independent Creators &amp; Enterprise / University Programs</w:t>
      </w:r>
    </w:p>
    <w:p>
      <w:pPr>
        <w:pBdr>
          <w:top w:val="single" w:color="B9762F" w:sz="8" w:space="12"/>
        </w:pBdr>
        <w:spacing w:after="300"/>
      </w:pPr>
      <w:r>
        <w:t xml:space="preserve"/>
      </w:r>
    </w:p>
    <w:p>
      <w:pPr>
        <w:spacing w:after="160"/>
        <w:jc w:val="center"/>
      </w:pPr>
      <w:r>
        <w:rPr>
          <w:b/>
          <w:bCs/>
          <w:color w:val="1B2A4A"/>
          <w:sz w:val="24"/>
          <w:szCs w:val="24"/>
        </w:rPr>
        <w:t xml:space="preserve">[STARTUP NAME] — Working Draft</w:t>
      </w:r>
    </w:p>
    <w:p>
      <w:pPr>
        <w:spacing w:after="40"/>
        <w:jc w:val="center"/>
      </w:pPr>
      <w:r>
        <w:rPr>
          <w:color w:val="6B7280"/>
          <w:sz w:val="20"/>
          <w:szCs w:val="20"/>
        </w:rPr>
        <w:t xml:space="preserve">Version 0.1  ·  July 2026  ·  Founder Working Draft — Internal Strategy Document</w:t>
      </w:r>
    </w:p>
    <w:p>
      <w:pPr>
        <w:spacing w:after="1400"/>
        <w:jc w:val="center"/>
      </w:pPr>
      <w:r>
        <w:rPr>
          <w:i/>
          <w:iCs/>
          <w:color w:val="6B7280"/>
          <w:sz w:val="18"/>
          <w:szCs w:val="18"/>
        </w:rPr>
        <w:t xml:space="preserve">Prepared as a strategic and technical planning draft, grounded in current market research</w:t>
      </w:r>
    </w:p>
    <w:p>
      <w:r>
        <w:br w:type="page"/>
      </w:r>
    </w:p>
    <w:p>
      <w:pPr>
        <w:pStyle w:val="Heading1"/>
        <w:spacing w:after="220" w:before="200"/>
      </w:pPr>
      <w:r>
        <w:rPr>
          <w:b/>
          <w:bCs/>
        </w:rPr>
        <w:t xml:space="preserve">Table of Contents</w:t>
      </w:r>
    </w:p>
    <w:tbl>
      <w:tblPr>
        <w:tblW w:type="dxa" w:w="10206"/>
        <w:tblBorders>
          <w:top w:val="none"/>
          <w:left w:val="none"/>
          <w:bottom w:val="none"/>
          <w:right w:val="none"/>
          <w:insideH w:val="none"/>
          <w:insideV w:val="none"/>
        </w:tblBorders>
      </w:tblPr>
      <w:tblGrid>
        <w:gridCol w:w="8981"/>
        <w:gridCol w:w="1225"/>
      </w:tblGrid>
      <w:tr>
        <w:tc>
          <w:tcPr>
            <w:tcW w:type="dxa" w:w="8981"/>
            <w:tcBorders>
              <w:top w:val="none"/>
              <w:left w:val="none"/>
              <w:bottom w:val="none"/>
              <w:right w:val="none"/>
            </w:tcBorders>
          </w:tcPr>
          <w:p>
            <w:pPr>
              <w:spacing w:after="140"/>
            </w:pPr>
            <w:r>
              <w:rPr>
                <w:color w:val="22262F"/>
                <w:sz w:val="21"/>
                <w:szCs w:val="21"/>
              </w:rPr>
              <w:t xml:space="preserve">1. Executive Summary</w:t>
            </w:r>
          </w:p>
        </w:tc>
        <w:tc>
          <w:tcPr>
            <w:tcW w:type="dxa" w:w="1225"/>
            <w:tcBorders>
              <w:top w:val="none"/>
              <w:left w:val="none"/>
              <w:bottom w:val="none"/>
              <w:right w:val="none"/>
            </w:tcBorders>
            <w:vAlign w:val="center"/>
          </w:tcPr>
          <w:p>
            <w:pPr>
              <w:spacing w:after="140"/>
              <w:jc w:val="right"/>
            </w:pPr>
            <w:r>
              <w:rPr>
                <w:color w:val="6B7280"/>
                <w:sz w:val="21"/>
                <w:szCs w:val="21"/>
              </w:rPr>
              <w:t xml:space="preserve">3</w:t>
            </w:r>
          </w:p>
        </w:tc>
      </w:tr>
      <w:tr>
        <w:tc>
          <w:tcPr>
            <w:tcW w:type="dxa" w:w="8981"/>
            <w:tcBorders>
              <w:top w:val="none"/>
              <w:left w:val="none"/>
              <w:bottom w:val="none"/>
              <w:right w:val="none"/>
            </w:tcBorders>
          </w:tcPr>
          <w:p>
            <w:pPr>
              <w:spacing w:after="140"/>
            </w:pPr>
            <w:r>
              <w:rPr>
                <w:color w:val="22262F"/>
                <w:sz w:val="21"/>
                <w:szCs w:val="21"/>
              </w:rPr>
              <w:t xml:space="preserve">2. Vision, Problem &amp; Opportunity</w:t>
            </w:r>
          </w:p>
        </w:tc>
        <w:tc>
          <w:tcPr>
            <w:tcW w:type="dxa" w:w="1225"/>
            <w:tcBorders>
              <w:top w:val="none"/>
              <w:left w:val="none"/>
              <w:bottom w:val="none"/>
              <w:right w:val="none"/>
            </w:tcBorders>
            <w:vAlign w:val="center"/>
          </w:tcPr>
          <w:p>
            <w:pPr>
              <w:spacing w:after="140"/>
              <w:jc w:val="right"/>
            </w:pPr>
            <w:r>
              <w:rPr>
                <w:color w:val="6B7280"/>
                <w:sz w:val="21"/>
                <w:szCs w:val="21"/>
              </w:rPr>
              <w:t xml:space="preserve">3</w:t>
            </w:r>
          </w:p>
        </w:tc>
      </w:tr>
      <w:tr>
        <w:tc>
          <w:tcPr>
            <w:tcW w:type="dxa" w:w="8981"/>
            <w:tcBorders>
              <w:top w:val="none"/>
              <w:left w:val="none"/>
              <w:bottom w:val="none"/>
              <w:right w:val="none"/>
            </w:tcBorders>
          </w:tcPr>
          <w:p>
            <w:pPr>
              <w:spacing w:after="140"/>
            </w:pPr>
            <w:r>
              <w:rPr>
                <w:color w:val="22262F"/>
                <w:sz w:val="21"/>
                <w:szCs w:val="21"/>
              </w:rPr>
              <w:t xml:space="preserve">3. Market &amp; Competitive Landscape</w:t>
            </w:r>
          </w:p>
        </w:tc>
        <w:tc>
          <w:tcPr>
            <w:tcW w:type="dxa" w:w="1225"/>
            <w:tcBorders>
              <w:top w:val="none"/>
              <w:left w:val="none"/>
              <w:bottom w:val="none"/>
              <w:right w:val="none"/>
            </w:tcBorders>
            <w:vAlign w:val="center"/>
          </w:tcPr>
          <w:p>
            <w:pPr>
              <w:spacing w:after="140"/>
              <w:jc w:val="right"/>
            </w:pPr>
            <w:r>
              <w:rPr>
                <w:color w:val="6B7280"/>
                <w:sz w:val="21"/>
                <w:szCs w:val="21"/>
              </w:rPr>
              <w:t xml:space="preserve">4</w:t>
            </w:r>
          </w:p>
        </w:tc>
      </w:tr>
      <w:tr>
        <w:tc>
          <w:tcPr>
            <w:tcW w:type="dxa" w:w="8981"/>
            <w:tcBorders>
              <w:top w:val="none"/>
              <w:left w:val="none"/>
              <w:bottom w:val="none"/>
              <w:right w:val="none"/>
            </w:tcBorders>
          </w:tcPr>
          <w:p>
            <w:pPr>
              <w:spacing w:after="140"/>
            </w:pPr>
            <w:r>
              <w:rPr>
                <w:color w:val="22262F"/>
                <w:sz w:val="21"/>
                <w:szCs w:val="21"/>
              </w:rPr>
              <w:t xml:space="preserve">4. Build vs. Buy: The LMS Infrastructure Layer</w:t>
            </w:r>
          </w:p>
        </w:tc>
        <w:tc>
          <w:tcPr>
            <w:tcW w:type="dxa" w:w="1225"/>
            <w:tcBorders>
              <w:top w:val="none"/>
              <w:left w:val="none"/>
              <w:bottom w:val="none"/>
              <w:right w:val="none"/>
            </w:tcBorders>
            <w:vAlign w:val="center"/>
          </w:tcPr>
          <w:p>
            <w:pPr>
              <w:spacing w:after="140"/>
              <w:jc w:val="right"/>
            </w:pPr>
            <w:r>
              <w:rPr>
                <w:color w:val="6B7280"/>
                <w:sz w:val="21"/>
                <w:szCs w:val="21"/>
              </w:rPr>
              <w:t xml:space="preserve">7</w:t>
            </w:r>
          </w:p>
        </w:tc>
      </w:tr>
      <w:tr>
        <w:tc>
          <w:tcPr>
            <w:tcW w:type="dxa" w:w="8981"/>
            <w:tcBorders>
              <w:top w:val="none"/>
              <w:left w:val="none"/>
              <w:bottom w:val="none"/>
              <w:right w:val="none"/>
            </w:tcBorders>
          </w:tcPr>
          <w:p>
            <w:pPr>
              <w:spacing w:after="140"/>
            </w:pPr>
            <w:r>
              <w:rPr>
                <w:color w:val="22262F"/>
                <w:sz w:val="21"/>
                <w:szCs w:val="21"/>
              </w:rPr>
              <w:t xml:space="preserve">5. Users &amp; Personas</w:t>
            </w:r>
          </w:p>
        </w:tc>
        <w:tc>
          <w:tcPr>
            <w:tcW w:type="dxa" w:w="1225"/>
            <w:tcBorders>
              <w:top w:val="none"/>
              <w:left w:val="none"/>
              <w:bottom w:val="none"/>
              <w:right w:val="none"/>
            </w:tcBorders>
            <w:vAlign w:val="center"/>
          </w:tcPr>
          <w:p>
            <w:pPr>
              <w:spacing w:after="140"/>
              <w:jc w:val="right"/>
            </w:pPr>
            <w:r>
              <w:rPr>
                <w:color w:val="6B7280"/>
                <w:sz w:val="21"/>
                <w:szCs w:val="21"/>
              </w:rPr>
              <w:t xml:space="preserve">9</w:t>
            </w:r>
          </w:p>
        </w:tc>
      </w:tr>
      <w:tr>
        <w:tc>
          <w:tcPr>
            <w:tcW w:type="dxa" w:w="8981"/>
            <w:tcBorders>
              <w:top w:val="none"/>
              <w:left w:val="none"/>
              <w:bottom w:val="none"/>
              <w:right w:val="none"/>
            </w:tcBorders>
          </w:tcPr>
          <w:p>
            <w:pPr>
              <w:spacing w:after="140"/>
            </w:pPr>
            <w:r>
              <w:rPr>
                <w:color w:val="22262F"/>
                <w:sz w:val="21"/>
                <w:szCs w:val="21"/>
              </w:rPr>
              <w:t xml:space="preserve">6. Product Pillars</w:t>
            </w:r>
          </w:p>
        </w:tc>
        <w:tc>
          <w:tcPr>
            <w:tcW w:type="dxa" w:w="1225"/>
            <w:tcBorders>
              <w:top w:val="none"/>
              <w:left w:val="none"/>
              <w:bottom w:val="none"/>
              <w:right w:val="none"/>
            </w:tcBorders>
            <w:vAlign w:val="center"/>
          </w:tcPr>
          <w:p>
            <w:pPr>
              <w:spacing w:after="140"/>
              <w:jc w:val="right"/>
            </w:pPr>
            <w:r>
              <w:rPr>
                <w:color w:val="6B7280"/>
                <w:sz w:val="21"/>
                <w:szCs w:val="21"/>
              </w:rPr>
              <w:t xml:space="preserve">10</w:t>
            </w:r>
          </w:p>
        </w:tc>
      </w:tr>
      <w:tr>
        <w:tc>
          <w:tcPr>
            <w:tcW w:type="dxa" w:w="8981"/>
            <w:tcBorders>
              <w:top w:val="none"/>
              <w:left w:val="none"/>
              <w:bottom w:val="none"/>
              <w:right w:val="none"/>
            </w:tcBorders>
          </w:tcPr>
          <w:p>
            <w:pPr>
              <w:spacing w:after="140"/>
            </w:pPr>
            <w:r>
              <w:rPr>
                <w:color w:val="22262F"/>
                <w:sz w:val="21"/>
                <w:szCs w:val="21"/>
              </w:rPr>
              <w:t xml:space="preserve">7. Full Feature Set</w:t>
            </w:r>
          </w:p>
        </w:tc>
        <w:tc>
          <w:tcPr>
            <w:tcW w:type="dxa" w:w="1225"/>
            <w:tcBorders>
              <w:top w:val="none"/>
              <w:left w:val="none"/>
              <w:bottom w:val="none"/>
              <w:right w:val="none"/>
            </w:tcBorders>
            <w:vAlign w:val="center"/>
          </w:tcPr>
          <w:p>
            <w:pPr>
              <w:spacing w:after="140"/>
              <w:jc w:val="right"/>
            </w:pPr>
            <w:r>
              <w:rPr>
                <w:color w:val="6B7280"/>
                <w:sz w:val="21"/>
                <w:szCs w:val="21"/>
              </w:rPr>
              <w:t xml:space="preserve">12</w:t>
            </w:r>
          </w:p>
        </w:tc>
      </w:tr>
      <w:tr>
        <w:tc>
          <w:tcPr>
            <w:tcW w:type="dxa" w:w="8981"/>
            <w:tcBorders>
              <w:top w:val="none"/>
              <w:left w:val="none"/>
              <w:bottom w:val="none"/>
              <w:right w:val="none"/>
            </w:tcBorders>
          </w:tcPr>
          <w:p>
            <w:pPr>
              <w:spacing w:after="140"/>
            </w:pPr>
            <w:r>
              <w:rPr>
                <w:color w:val="22262F"/>
                <w:sz w:val="21"/>
                <w:szCs w:val="21"/>
              </w:rPr>
              <w:t xml:space="preserve">8. Pricing &amp; Monetization Strategy</w:t>
            </w:r>
          </w:p>
        </w:tc>
        <w:tc>
          <w:tcPr>
            <w:tcW w:type="dxa" w:w="1225"/>
            <w:tcBorders>
              <w:top w:val="none"/>
              <w:left w:val="none"/>
              <w:bottom w:val="none"/>
              <w:right w:val="none"/>
            </w:tcBorders>
            <w:vAlign w:val="center"/>
          </w:tcPr>
          <w:p>
            <w:pPr>
              <w:spacing w:after="140"/>
              <w:jc w:val="right"/>
            </w:pPr>
            <w:r>
              <w:rPr>
                <w:color w:val="6B7280"/>
                <w:sz w:val="21"/>
                <w:szCs w:val="21"/>
              </w:rPr>
              <w:t xml:space="preserve">15</w:t>
            </w:r>
          </w:p>
        </w:tc>
      </w:tr>
      <w:tr>
        <w:tc>
          <w:tcPr>
            <w:tcW w:type="dxa" w:w="8981"/>
            <w:tcBorders>
              <w:top w:val="none"/>
              <w:left w:val="none"/>
              <w:bottom w:val="none"/>
              <w:right w:val="none"/>
            </w:tcBorders>
          </w:tcPr>
          <w:p>
            <w:pPr>
              <w:spacing w:after="140"/>
            </w:pPr>
            <w:r>
              <w:rPr>
                <w:color w:val="22262F"/>
                <w:sz w:val="21"/>
                <w:szCs w:val="21"/>
              </w:rPr>
              <w:t xml:space="preserve">9. System Design</w:t>
            </w:r>
          </w:p>
        </w:tc>
        <w:tc>
          <w:tcPr>
            <w:tcW w:type="dxa" w:w="1225"/>
            <w:tcBorders>
              <w:top w:val="none"/>
              <w:left w:val="none"/>
              <w:bottom w:val="none"/>
              <w:right w:val="none"/>
            </w:tcBorders>
            <w:vAlign w:val="center"/>
          </w:tcPr>
          <w:p>
            <w:pPr>
              <w:spacing w:after="140"/>
              <w:jc w:val="right"/>
            </w:pPr>
            <w:r>
              <w:rPr>
                <w:color w:val="6B7280"/>
                <w:sz w:val="21"/>
                <w:szCs w:val="21"/>
              </w:rPr>
              <w:t xml:space="preserve">18</w:t>
            </w:r>
          </w:p>
        </w:tc>
      </w:tr>
      <w:tr>
        <w:tc>
          <w:tcPr>
            <w:tcW w:type="dxa" w:w="8981"/>
            <w:tcBorders>
              <w:top w:val="none"/>
              <w:left w:val="none"/>
              <w:bottom w:val="none"/>
              <w:right w:val="none"/>
            </w:tcBorders>
          </w:tcPr>
          <w:p>
            <w:pPr>
              <w:spacing w:after="140"/>
            </w:pPr>
            <w:r>
              <w:rPr>
                <w:color w:val="22262F"/>
                <w:sz w:val="21"/>
                <w:szCs w:val="21"/>
              </w:rPr>
              <w:t xml:space="preserve">10. Open Questions — Explicit Recommendations</w:t>
            </w:r>
          </w:p>
        </w:tc>
        <w:tc>
          <w:tcPr>
            <w:tcW w:type="dxa" w:w="1225"/>
            <w:tcBorders>
              <w:top w:val="none"/>
              <w:left w:val="none"/>
              <w:bottom w:val="none"/>
              <w:right w:val="none"/>
            </w:tcBorders>
            <w:vAlign w:val="center"/>
          </w:tcPr>
          <w:p>
            <w:pPr>
              <w:spacing w:after="140"/>
              <w:jc w:val="right"/>
            </w:pPr>
            <w:r>
              <w:rPr>
                <w:color w:val="6B7280"/>
                <w:sz w:val="21"/>
                <w:szCs w:val="21"/>
              </w:rPr>
              <w:t xml:space="preserve">21</w:t>
            </w:r>
          </w:p>
        </w:tc>
      </w:tr>
      <w:tr>
        <w:tc>
          <w:tcPr>
            <w:tcW w:type="dxa" w:w="8981"/>
            <w:tcBorders>
              <w:top w:val="none"/>
              <w:left w:val="none"/>
              <w:bottom w:val="none"/>
              <w:right w:val="none"/>
            </w:tcBorders>
          </w:tcPr>
          <w:p>
            <w:pPr>
              <w:spacing w:after="140"/>
            </w:pPr>
            <w:r>
              <w:rPr>
                <w:color w:val="22262F"/>
                <w:sz w:val="21"/>
                <w:szCs w:val="21"/>
              </w:rPr>
              <w:t xml:space="preserve">11. Success Metrics</w:t>
            </w:r>
          </w:p>
        </w:tc>
        <w:tc>
          <w:tcPr>
            <w:tcW w:type="dxa" w:w="1225"/>
            <w:tcBorders>
              <w:top w:val="none"/>
              <w:left w:val="none"/>
              <w:bottom w:val="none"/>
              <w:right w:val="none"/>
            </w:tcBorders>
            <w:vAlign w:val="center"/>
          </w:tcPr>
          <w:p>
            <w:pPr>
              <w:spacing w:after="140"/>
              <w:jc w:val="right"/>
            </w:pPr>
            <w:r>
              <w:rPr>
                <w:color w:val="6B7280"/>
                <w:sz w:val="21"/>
                <w:szCs w:val="21"/>
              </w:rPr>
              <w:t xml:space="preserve">22</w:t>
            </w:r>
          </w:p>
        </w:tc>
      </w:tr>
      <w:tr>
        <w:tc>
          <w:tcPr>
            <w:tcW w:type="dxa" w:w="8981"/>
            <w:tcBorders>
              <w:top w:val="none"/>
              <w:left w:val="none"/>
              <w:bottom w:val="none"/>
              <w:right w:val="none"/>
            </w:tcBorders>
          </w:tcPr>
          <w:p>
            <w:pPr>
              <w:spacing w:after="140"/>
            </w:pPr>
            <w:r>
              <w:rPr>
                <w:color w:val="22262F"/>
                <w:sz w:val="21"/>
                <w:szCs w:val="21"/>
              </w:rPr>
              <w:t xml:space="preserve">12. Key Risks</w:t>
            </w:r>
          </w:p>
        </w:tc>
        <w:tc>
          <w:tcPr>
            <w:tcW w:type="dxa" w:w="1225"/>
            <w:tcBorders>
              <w:top w:val="none"/>
              <w:left w:val="none"/>
              <w:bottom w:val="none"/>
              <w:right w:val="none"/>
            </w:tcBorders>
            <w:vAlign w:val="center"/>
          </w:tcPr>
          <w:p>
            <w:pPr>
              <w:spacing w:after="140"/>
              <w:jc w:val="right"/>
            </w:pPr>
            <w:r>
              <w:rPr>
                <w:color w:val="6B7280"/>
                <w:sz w:val="21"/>
                <w:szCs w:val="21"/>
              </w:rPr>
              <w:t xml:space="preserve">23</w:t>
            </w:r>
          </w:p>
        </w:tc>
      </w:tr>
      <w:tr>
        <w:tc>
          <w:tcPr>
            <w:tcW w:type="dxa" w:w="8981"/>
            <w:tcBorders>
              <w:top w:val="none"/>
              <w:left w:val="none"/>
              <w:bottom w:val="none"/>
              <w:right w:val="none"/>
            </w:tcBorders>
          </w:tcPr>
          <w:p>
            <w:pPr>
              <w:spacing w:after="140"/>
            </w:pPr>
            <w:r>
              <w:rPr>
                <w:color w:val="22262F"/>
                <w:sz w:val="21"/>
                <w:szCs w:val="21"/>
              </w:rPr>
              <w:t xml:space="preserve">13. Phased Roadmap</w:t>
            </w:r>
          </w:p>
        </w:tc>
        <w:tc>
          <w:tcPr>
            <w:tcW w:type="dxa" w:w="1225"/>
            <w:tcBorders>
              <w:top w:val="none"/>
              <w:left w:val="none"/>
              <w:bottom w:val="none"/>
              <w:right w:val="none"/>
            </w:tcBorders>
            <w:vAlign w:val="center"/>
          </w:tcPr>
          <w:p>
            <w:pPr>
              <w:spacing w:after="140"/>
              <w:jc w:val="right"/>
            </w:pPr>
            <w:r>
              <w:rPr>
                <w:color w:val="6B7280"/>
                <w:sz w:val="21"/>
                <w:szCs w:val="21"/>
              </w:rPr>
              <w:t xml:space="preserve">24</w:t>
            </w:r>
          </w:p>
        </w:tc>
      </w:tr>
      <w:tr>
        <w:tc>
          <w:tcPr>
            <w:tcW w:type="dxa" w:w="8981"/>
            <w:tcBorders>
              <w:top w:val="none"/>
              <w:left w:val="none"/>
              <w:bottom w:val="none"/>
              <w:right w:val="none"/>
            </w:tcBorders>
          </w:tcPr>
          <w:p>
            <w:pPr>
              <w:spacing w:after="140"/>
            </w:pPr>
            <w:r>
              <w:rPr>
                <w:color w:val="22262F"/>
                <w:sz w:val="21"/>
                <w:szCs w:val="21"/>
              </w:rPr>
              <w:t xml:space="preserve">14. Appendix: Research Sources</w:t>
            </w:r>
          </w:p>
        </w:tc>
        <w:tc>
          <w:tcPr>
            <w:tcW w:type="dxa" w:w="1225"/>
            <w:tcBorders>
              <w:top w:val="none"/>
              <w:left w:val="none"/>
              <w:bottom w:val="none"/>
              <w:right w:val="none"/>
            </w:tcBorders>
            <w:vAlign w:val="center"/>
          </w:tcPr>
          <w:p>
            <w:pPr>
              <w:spacing w:after="140"/>
              <w:jc w:val="right"/>
            </w:pPr>
            <w:r>
              <w:rPr>
                <w:color w:val="6B7280"/>
                <w:sz w:val="21"/>
                <w:szCs w:val="21"/>
              </w:rPr>
              <w:t xml:space="preserve">25</w:t>
            </w:r>
          </w:p>
        </w:tc>
      </w:tr>
    </w:tbl>
    <w:p>
      <w:r>
        <w:br w:type="page"/>
      </w:r>
    </w:p>
    <w:p>
      <w:pPr>
        <w:pStyle w:val="Heading1"/>
        <w:spacing w:after="220" w:before="200"/>
      </w:pPr>
      <w:r>
        <w:rPr>
          <w:b/>
          <w:bCs/>
        </w:rPr>
        <w:t xml:space="preserve">1. Executive Summary</w:t>
      </w:r>
    </w:p>
    <w:p>
      <w:pPr>
        <w:spacing w:after="200" w:line="288"/>
        <w:jc w:val="left"/>
      </w:pPr>
      <w:r>
        <w:rPr>
          <w:b w:val="false"/>
          <w:bCs w:val="false"/>
          <w:i w:val="false"/>
          <w:iCs w:val="false"/>
        </w:rPr>
        <w:t xml:space="preserve">Three things are true at once in technical education right now. </w:t>
      </w:r>
      <w:r>
        <w:rPr>
          <w:b/>
          <w:bCs/>
          <w:i w:val="false"/>
          <w:iCs w:val="false"/>
        </w:rPr>
        <w:t xml:space="preserve">First, </w:t>
      </w:r>
      <w:r>
        <w:rPr>
          <w:b w:val="false"/>
          <w:bCs w:val="false"/>
          <w:i w:val="false"/>
          <w:iCs w:val="false"/>
        </w:rPr>
        <w:t xml:space="preserve">content-only platforms (Coursera, Udemy, Edureka) are excellent at breadth but weak at producing verified, job-ready proof of skill. </w:t>
      </w:r>
      <w:r>
        <w:rPr>
          <w:b/>
          <w:bCs/>
          <w:i w:val="false"/>
          <w:iCs w:val="false"/>
        </w:rPr>
        <w:t xml:space="preserve">Second, </w:t>
      </w:r>
      <w:r>
        <w:rPr>
          <w:b w:val="false"/>
          <w:bCs w:val="false"/>
          <w:i w:val="false"/>
          <w:iCs w:val="false"/>
        </w:rPr>
        <w:t xml:space="preserve">project-first, outcome-driven programs (Crio.do, Scaler, Masai) produce that proof but are narrow, expensive, and slow to expand across subjects because every new track needs new mentors and new infrastructure. </w:t>
      </w:r>
      <w:r>
        <w:rPr>
          <w:b/>
          <w:bCs/>
          <w:i w:val="false"/>
          <w:iCs w:val="false"/>
        </w:rPr>
        <w:t xml:space="preserve">Third, </w:t>
      </w:r>
      <w:r>
        <w:rPr>
          <w:b w:val="false"/>
          <w:bCs w:val="false"/>
          <w:i w:val="false"/>
          <w:iCs w:val="false"/>
        </w:rPr>
        <w:t xml:space="preserve">individual technical creators who are good enough to build an audience (takeuforward/Striver, Educosys/Keerti Purswani, and dozens of smaller educators) are being forced to become software companies — building their own checkout, video hosting, live-class tooling, and community stack — just to teach.</w:t>
      </w:r>
    </w:p>
    <w:p>
      <w:pPr>
        <w:spacing w:after="200" w:line="288"/>
        <w:jc w:val="left"/>
      </w:pPr>
      <w:r>
        <w:rPr>
          <w:b w:val="false"/>
          <w:bCs w:val="false"/>
          <w:i w:val="false"/>
          <w:iCs w:val="false"/>
        </w:rPr>
        <w:t xml:space="preserve">This document specifies a platform that sits across all three problems: a </w:t>
      </w:r>
      <w:r>
        <w:rPr>
          <w:b w:val="false"/>
          <w:bCs w:val="false"/>
          <w:i/>
          <w:iCs/>
        </w:rPr>
        <w:t xml:space="preserve">learning management system</w:t>
      </w:r>
      <w:r>
        <w:rPr>
          <w:b w:val="false"/>
          <w:bCs w:val="false"/>
          <w:i w:val="false"/>
          <w:iCs w:val="false"/>
        </w:rPr>
        <w:t xml:space="preserve"> (recorded + live courses, assignments, quizzes, code sandboxes, capstones) combined with a </w:t>
      </w:r>
      <w:r>
        <w:rPr>
          <w:b w:val="false"/>
          <w:bCs w:val="false"/>
          <w:i/>
          <w:iCs/>
        </w:rPr>
        <w:t xml:space="preserve">mentor-guided project marketplace</w:t>
      </w:r>
      <w:r>
        <w:rPr>
          <w:b w:val="false"/>
          <w:bCs w:val="false"/>
          <w:i w:val="false"/>
          <w:iCs w:val="false"/>
        </w:rPr>
        <w:t xml:space="preserve"> where learners buy multi-week to multi-month, ambiguous, industry-scale projects reviewed by real mentors — sold independently or together, à la carte, to individual learners, through independent creators who use the platform as their entire teaching business, and to enterprise and university partners who need branded, outcome-verified cohort programs.</w:t>
      </w:r>
    </w:p>
    <w:p>
      <w:pPr>
        <w:pBdr>
          <w:left w:val="single" w:color="B9762F" w:sz="18" w:space="8"/>
        </w:pBdr>
        <w:shd w:fill="EEF2F7" w:val="clear"/>
        <w:spacing w:after="200" w:line="288"/>
        <w:ind w:left="120"/>
      </w:pPr>
      <w:r>
        <w:rPr>
          <w:b/>
          <w:bCs/>
          <w:color w:val="B9762F"/>
        </w:rPr>
        <w:t xml:space="preserve">Positioning in one line:  </w:t>
      </w:r>
      <w:r>
        <w:rPr>
          <w:b w:val="false"/>
          <w:bCs w:val="false"/>
          <w:i w:val="false"/>
          <w:iCs w:val="false"/>
        </w:rPr>
        <w:t xml:space="preserve">the shared commerce, delivery, and mentor-marketplace layer for applied technical education — so creators focus on teaching, learners assemble exactly what they want, and institutions get a branded outcome, not just a content license.</w:t>
      </w:r>
    </w:p>
    <w:p>
      <w:pPr>
        <w:pStyle w:val="Heading3"/>
        <w:spacing w:after="120" w:before="260"/>
      </w:pPr>
      <w:r>
        <w:rPr>
          <w:b/>
          <w:bCs/>
        </w:rPr>
        <w:t xml:space="preserve">What this document covers</w:t>
      </w:r>
    </w:p>
    <w:p>
      <w:pPr>
        <w:pStyle w:val="ListParagraph"/>
        <w:numPr>
          <w:ilvl w:val="0"/>
          <w:numId w:val="1"/>
        </w:numPr>
        <w:spacing w:after="90" w:line="276"/>
      </w:pPr>
      <w:r>
        <w:t xml:space="preserve">Market and competitive landscape, including a detailed look at the LMS infrastructure layer (Fermion and peers) since that decision shapes the first 12 months of engineering.</w:t>
      </w:r>
    </w:p>
    <w:p>
      <w:pPr>
        <w:pStyle w:val="ListParagraph"/>
        <w:numPr>
          <w:ilvl w:val="0"/>
          <w:numId w:val="1"/>
        </w:numPr>
        <w:spacing w:after="90" w:line="276"/>
      </w:pPr>
      <w:r>
        <w:t xml:space="preserve">Product requirements across four pillars: Courses, Mentor-Guided Projects, the Creator Marketplace, and Enterprise/University Programs.</w:t>
      </w:r>
    </w:p>
    <w:p>
      <w:pPr>
        <w:pStyle w:val="ListParagraph"/>
        <w:numPr>
          <w:ilvl w:val="0"/>
          <w:numId w:val="1"/>
        </w:numPr>
        <w:spacing w:after="90" w:line="276"/>
      </w:pPr>
      <w:r>
        <w:t xml:space="preserve">A full feature set, split into table-stakes requirements and a set of differentiating features the market has not yet productized well.</w:t>
      </w:r>
    </w:p>
    <w:p>
      <w:pPr>
        <w:pStyle w:val="ListParagraph"/>
        <w:numPr>
          <w:ilvl w:val="0"/>
          <w:numId w:val="1"/>
        </w:numPr>
        <w:spacing w:after="90" w:line="276"/>
      </w:pPr>
      <w:r>
        <w:t xml:space="preserve">A pricing and monetization architecture, including a direct answer to the tier-naming question, benchmarked against real competitor pricing.</w:t>
      </w:r>
    </w:p>
    <w:p>
      <w:pPr>
        <w:pStyle w:val="ListParagraph"/>
        <w:numPr>
          <w:ilvl w:val="0"/>
          <w:numId w:val="1"/>
        </w:numPr>
        <w:spacing w:after="90" w:line="276"/>
      </w:pPr>
      <w:r>
        <w:t xml:space="preserve">A logical system design (modules, data model, integrations, non-functional requirements) described independent of any specific technology choice.</w:t>
      </w:r>
    </w:p>
    <w:p>
      <w:pPr>
        <w:pStyle w:val="ListParagraph"/>
        <w:numPr>
          <w:ilvl w:val="0"/>
          <w:numId w:val="1"/>
        </w:numPr>
        <w:spacing w:after="90" w:line="276"/>
      </w:pPr>
      <w:r>
        <w:t xml:space="preserve">Explicit recommendations on every open question raised during scoping, plus risks and a phased roadmap.</w:t>
      </w:r>
    </w:p>
    <w:p>
      <w:pPr>
        <w:pStyle w:val="Heading1"/>
        <w:spacing w:after="220" w:before="200"/>
      </w:pPr>
      <w:r>
        <w:rPr>
          <w:b/>
          <w:bCs/>
        </w:rPr>
        <w:t xml:space="preserve">2. Vision, Problem &amp; Opportunity</w:t>
      </w:r>
    </w:p>
    <w:p>
      <w:pPr>
        <w:pStyle w:val="Heading2"/>
        <w:spacing w:after="160" w:before="340"/>
      </w:pPr>
      <w:r>
        <w:rPr>
          <w:b/>
          <w:bCs/>
        </w:rPr>
        <w:t xml:space="preserve">2.1 The problem, by audience</w:t>
      </w:r>
    </w:p>
    <w:p>
      <w:pPr>
        <w:pStyle w:val="Heading3"/>
        <w:spacing w:after="120" w:before="260"/>
      </w:pPr>
      <w:r>
        <w:rPr>
          <w:b/>
          <w:bCs/>
        </w:rPr>
        <w:t xml:space="preserve">Learners</w:t>
      </w:r>
    </w:p>
    <w:p>
      <w:pPr>
        <w:spacing w:after="200" w:line="288"/>
        <w:jc w:val="left"/>
      </w:pPr>
      <w:r>
        <w:t xml:space="preserve">The market is split between platforms that are broad but shallow (a learner finishes a Udemy or Coursera course with a certificate but no verified proof they can do the work) and platforms that are deep but narrow and expensive (a learner gets real project experience from Crio.do or Scaler, but only in one track, at a five- or six-figure INR price, with no lighter-weight entry point). Nobody lets a learner buy exactly one thing — a single hard project, reviewed by a real mentor, in a subject a specific creator teaches well — without committing to an entire bootcamp.</w:t>
      </w:r>
    </w:p>
    <w:p>
      <w:pPr>
        <w:pStyle w:val="Heading3"/>
        <w:spacing w:after="120" w:before="260"/>
      </w:pPr>
      <w:r>
        <w:rPr>
          <w:b/>
          <w:bCs/>
        </w:rPr>
        <w:t xml:space="preserve">Independent creators</w:t>
      </w:r>
    </w:p>
    <w:p>
      <w:pPr>
        <w:spacing w:after="200" w:line="288"/>
        <w:jc w:val="left"/>
      </w:pPr>
      <w:r>
        <w:t xml:space="preserve">Creators who reach meaningful scale face a binary choice today: list on a marketplace like Udemy and cede pricing, brand, and the learner relationship in exchange for distribution, or build their own stack the way Educosys and takeuforward have — their own checkout, their own video security, their own live-class tooling, their own community, their own mobile app. That second path works for the handful of creators who reach the scale to justify it, but it means every promising mid-size educator is spending a large share of their time on infrastructure instead of curriculum.</w:t>
      </w:r>
    </w:p>
    <w:p>
      <w:pPr>
        <w:pStyle w:val="Heading3"/>
        <w:spacing w:after="120" w:before="260"/>
      </w:pPr>
      <w:r>
        <w:rPr>
          <w:b/>
          <w:bCs/>
        </w:rPr>
        <w:t xml:space="preserve">Enterprise and university partners</w:t>
      </w:r>
    </w:p>
    <w:p>
      <w:pPr>
        <w:spacing w:after="200" w:line="288"/>
        <w:jc w:val="left"/>
      </w:pPr>
      <w:r>
        <w:t xml:space="preserve">Institutions running programs in the style of an IIT or IIM certificate course already work through empanelled delivery partners — the university keeps academic authority and certification, and the partner handles reach, learner support, and operations. The available partners today are either broad generalist upskilling companies (UpGrad, Emeritus-style operators) with limited hands-on technical depth, or narrow LMS vendors with no operations muscle. There is room for a partner that is technical-first and can operate a real mentor-graded project layer inside a university-branded program.</w:t>
      </w:r>
    </w:p>
    <w:p>
      <w:pPr>
        <w:pStyle w:val="Heading2"/>
        <w:spacing w:after="160" w:before="340"/>
      </w:pPr>
      <w:r>
        <w:rPr>
          <w:b/>
          <w:bCs/>
        </w:rPr>
        <w:t xml:space="preserve">2.2 The opportunity</w:t>
      </w:r>
    </w:p>
    <w:p>
      <w:pPr>
        <w:spacing w:after="200" w:line="288"/>
        <w:jc w:val="left"/>
      </w:pPr>
      <w:r>
        <w:t xml:space="preserve">No single competitor currently combines all four of: (1) a genuine LMS with live and recorded delivery, (2) an industry-scale mentor-graded project marketplace sold independently of courses, (3) a multi-tenant storefront that lets independent creators run their entire teaching business without becoming an infrastructure company, and (4) enterprise/university program packaging. Each existing player is strong in one lane and largely absent from the others. That gap is the wedge.</w:t>
      </w:r>
    </w:p>
    <w:p>
      <w:pPr>
        <w:spacing w:after="60"/>
      </w:pPr>
    </w:p>
    <w:p>
      <w:pPr>
        <w:pStyle w:val="Heading1"/>
        <w:spacing w:after="220" w:before="200"/>
      </w:pPr>
      <w:r>
        <w:rPr>
          <w:b/>
          <w:bCs/>
        </w:rPr>
        <w:t xml:space="preserve">3. Market &amp; Competitive Landscape</w:t>
      </w:r>
    </w:p>
    <w:p>
      <w:pPr>
        <w:pStyle w:val="Heading2"/>
        <w:spacing w:after="160" w:before="340"/>
      </w:pPr>
      <w:r>
        <w:rPr>
          <w:b/>
          <w:bCs/>
        </w:rPr>
        <w:t xml:space="preserve">3.1 Category map</w:t>
      </w:r>
    </w:p>
    <w:p>
      <w:pPr>
        <w:spacing w:after="200" w:line="288"/>
        <w:jc w:val="left"/>
      </w:pPr>
      <w:r>
        <w:t xml:space="preserve">Research across the named competitors and adjacent players groups the landscape into six distinct categories. Understanding which category a competitor sits in matters more than its name — several “competitors” on your list are actually infrastructure vendors, not content competitors.</w:t>
      </w:r>
    </w:p>
    <w:p>
      <w:pPr>
        <w:pStyle w:val="ListParagraph"/>
        <w:numPr>
          <w:ilvl w:val="0"/>
          <w:numId w:val="1"/>
        </w:numPr>
        <w:spacing w:after="90" w:line="276"/>
      </w:pPr>
      <w:r>
        <w:rPr>
          <w:b/>
          <w:bCs/>
          <w:i w:val="false"/>
          <w:iCs w:val="false"/>
        </w:rPr>
        <w:t xml:space="preserve">Broad content marketplaces / MOOCs — </w:t>
      </w:r>
      <w:r>
        <w:rPr>
          <w:b w:val="false"/>
          <w:bCs w:val="false"/>
          <w:i w:val="false"/>
          <w:iCs w:val="false"/>
        </w:rPr>
        <w:t xml:space="preserve">Coursera, Udemy, LinkedIn Learning. Massive catalogs, university and corporate brand partnerships, weak on verified hands-on outcomes.</w:t>
      </w:r>
    </w:p>
    <w:p>
      <w:pPr>
        <w:pStyle w:val="ListParagraph"/>
        <w:numPr>
          <w:ilvl w:val="0"/>
          <w:numId w:val="1"/>
        </w:numPr>
        <w:spacing w:after="90" w:line="276"/>
      </w:pPr>
      <w:r>
        <w:rPr>
          <w:b/>
          <w:bCs/>
          <w:i w:val="false"/>
          <w:iCs w:val="false"/>
        </w:rPr>
        <w:t xml:space="preserve">India high-ticket outcome programs — </w:t>
      </w:r>
      <w:r>
        <w:rPr>
          <w:b w:val="false"/>
          <w:bCs w:val="false"/>
          <w:i w:val="false"/>
          <w:iCs w:val="false"/>
        </w:rPr>
        <w:t xml:space="preserve">UpGrad, Edureka, Scaler, Masai. University-affiliated or placement-driven, expensive, long sales cycles, heavy EMI usage.</w:t>
      </w:r>
    </w:p>
    <w:p>
      <w:pPr>
        <w:pStyle w:val="ListParagraph"/>
        <w:numPr>
          <w:ilvl w:val="0"/>
          <w:numId w:val="1"/>
        </w:numPr>
        <w:spacing w:after="90" w:line="276"/>
      </w:pPr>
      <w:r>
        <w:rPr>
          <w:b/>
          <w:bCs/>
          <w:i w:val="false"/>
          <w:iCs w:val="false"/>
        </w:rPr>
        <w:t xml:space="preserve">Applied, project-first upskilling — </w:t>
      </w:r>
      <w:r>
        <w:rPr>
          <w:b w:val="false"/>
          <w:bCs w:val="false"/>
          <w:i w:val="false"/>
          <w:iCs w:val="false"/>
        </w:rPr>
        <w:t xml:space="preserve">Crio.do (and, internationally, Pesto Tech). Real industry-modelled projects, success-fee-on-placement pricing, narrow subject range.</w:t>
      </w:r>
    </w:p>
    <w:p>
      <w:pPr>
        <w:pStyle w:val="ListParagraph"/>
        <w:numPr>
          <w:ilvl w:val="0"/>
          <w:numId w:val="1"/>
        </w:numPr>
        <w:spacing w:after="90" w:line="276"/>
      </w:pPr>
      <w:r>
        <w:rPr>
          <w:b/>
          <w:bCs/>
          <w:i w:val="false"/>
          <w:iCs w:val="false"/>
        </w:rPr>
        <w:t xml:space="preserve">Solo/small-team creator-led technical education — </w:t>
      </w:r>
      <w:r>
        <w:rPr>
          <w:b w:val="false"/>
          <w:bCs w:val="false"/>
          <w:i w:val="false"/>
          <w:iCs w:val="false"/>
        </w:rPr>
        <w:t xml:space="preserve">takeuforward (Striver), Educosys (Keerti Purswani), Euron (Sudhanshu Kumar). Trust-driven, YouTube-fed funnels, each running (or having had to build) their own commerce and delivery stack.</w:t>
      </w:r>
    </w:p>
    <w:p>
      <w:pPr>
        <w:pStyle w:val="ListParagraph"/>
        <w:numPr>
          <w:ilvl w:val="0"/>
          <w:numId w:val="1"/>
        </w:numPr>
        <w:spacing w:after="90" w:line="276"/>
      </w:pPr>
      <w:r>
        <w:rPr>
          <w:b/>
          <w:bCs/>
          <w:i w:val="false"/>
          <w:iCs w:val="false"/>
        </w:rPr>
        <w:t xml:space="preserve">LMS / creator infrastructure (“picks and shovels”) — </w:t>
      </w:r>
      <w:r>
        <w:rPr>
          <w:b w:val="false"/>
          <w:bCs w:val="false"/>
          <w:i w:val="false"/>
          <w:iCs w:val="false"/>
        </w:rPr>
        <w:t xml:space="preserve">Fermion, Graphy (Unacademy), Euron Systems, and the general Teachable / Kajabi / Thinkific class. These are not audience competitors — they are potential vendors or, if you build your own core, direct architectural competitors.</w:t>
      </w:r>
    </w:p>
    <w:p>
      <w:pPr>
        <w:pStyle w:val="ListParagraph"/>
        <w:numPr>
          <w:ilvl w:val="0"/>
          <w:numId w:val="1"/>
        </w:numPr>
        <w:spacing w:after="90" w:line="276"/>
      </w:pPr>
      <w:r>
        <w:rPr>
          <w:b/>
          <w:bCs/>
          <w:i w:val="false"/>
          <w:iCs w:val="false"/>
        </w:rPr>
        <w:t xml:space="preserve">Cohort-course and mentor-marketplace infrastructure — </w:t>
      </w:r>
      <w:r>
        <w:rPr>
          <w:b w:val="false"/>
          <w:bCs w:val="false"/>
          <w:i w:val="false"/>
          <w:iCs w:val="false"/>
        </w:rPr>
        <w:t xml:space="preserve">Maven, Disco (cohort infra); ADPList, MentorCruise, Topmate-class platforms (1:1 mentor marketplaces). Useful pricing and workflow precedent for the mentor-guided project engine specifically.</w:t>
      </w:r>
    </w:p>
    <w:p>
      <w:pPr>
        <w:pStyle w:val="Heading2"/>
        <w:spacing w:after="160" w:before="340"/>
      </w:pPr>
      <w:r>
        <w:rPr>
          <w:b/>
          <w:bCs/>
        </w:rPr>
        <w:t xml:space="preserve">3.2 Competitive benchmark</w:t>
      </w:r>
    </w:p>
    <w:tbl>
      <w:tblPr>
        <w:tblW w:type="dxa" w:w="10206"/>
        <w:tblBorders>
          <w:top w:val="single" w:color="C9D1DE" w:sz="4"/>
          <w:left w:val="single" w:color="C9D1DE" w:sz="4"/>
          <w:bottom w:val="single" w:color="C9D1DE" w:sz="4"/>
          <w:right w:val="single" w:color="C9D1DE" w:sz="4"/>
          <w:insideH w:val="single" w:color="C9D1DE" w:sz="4"/>
          <w:insideV w:val="single" w:color="C9D1DE" w:sz="4"/>
        </w:tblBorders>
      </w:tblPr>
      <w:tblGrid>
        <w:gridCol w:w="1429"/>
        <w:gridCol w:w="1327"/>
        <w:gridCol w:w="2449"/>
        <w:gridCol w:w="2143"/>
        <w:gridCol w:w="2858"/>
      </w:tblGrid>
      <w:tr>
        <w:trPr>
          <w:tblHeader/>
        </w:trPr>
        <w:tc>
          <w:tcPr>
            <w:tcW w:type="dxa" w:w="1429"/>
            <w:shd w:fill="1B2A4A" w:val="clear"/>
            <w:tcMar>
              <w:top w:type="dxa" w:w="100"/>
              <w:left w:type="dxa" w:w="110"/>
              <w:bottom w:type="dxa" w:w="100"/>
              <w:right w:type="dxa" w:w="110"/>
            </w:tcMar>
            <w:vAlign w:val="center"/>
          </w:tcPr>
          <w:p>
            <w:pPr>
              <w:spacing w:after="0"/>
            </w:pPr>
            <w:r>
              <w:rPr>
                <w:b/>
                <w:bCs/>
                <w:color w:val="FFFFFF"/>
                <w:sz w:val="18"/>
                <w:szCs w:val="18"/>
              </w:rPr>
              <w:t xml:space="preserve">Player</w:t>
            </w:r>
          </w:p>
        </w:tc>
        <w:tc>
          <w:tcPr>
            <w:tcW w:type="dxa" w:w="1327"/>
            <w:shd w:fill="1B2A4A" w:val="clear"/>
            <w:tcMar>
              <w:top w:type="dxa" w:w="100"/>
              <w:left w:type="dxa" w:w="110"/>
              <w:bottom w:type="dxa" w:w="100"/>
              <w:right w:type="dxa" w:w="110"/>
            </w:tcMar>
            <w:vAlign w:val="center"/>
          </w:tcPr>
          <w:p>
            <w:pPr>
              <w:spacing w:after="0"/>
            </w:pPr>
            <w:r>
              <w:rPr>
                <w:b/>
                <w:bCs/>
                <w:color w:val="FFFFFF"/>
                <w:sz w:val="18"/>
                <w:szCs w:val="18"/>
              </w:rPr>
              <w:t xml:space="preserve">Category</w:t>
            </w:r>
          </w:p>
        </w:tc>
        <w:tc>
          <w:tcPr>
            <w:tcW w:type="dxa" w:w="2449"/>
            <w:shd w:fill="1B2A4A" w:val="clear"/>
            <w:tcMar>
              <w:top w:type="dxa" w:w="100"/>
              <w:left w:type="dxa" w:w="110"/>
              <w:bottom w:type="dxa" w:w="100"/>
              <w:right w:type="dxa" w:w="110"/>
            </w:tcMar>
            <w:vAlign w:val="center"/>
          </w:tcPr>
          <w:p>
            <w:pPr>
              <w:spacing w:after="0"/>
            </w:pPr>
            <w:r>
              <w:rPr>
                <w:b/>
                <w:bCs/>
                <w:color w:val="FFFFFF"/>
                <w:sz w:val="18"/>
                <w:szCs w:val="18"/>
              </w:rPr>
              <w:t xml:space="preserve">Core commercial model</w:t>
            </w:r>
          </w:p>
        </w:tc>
        <w:tc>
          <w:tcPr>
            <w:tcW w:type="dxa" w:w="2143"/>
            <w:shd w:fill="1B2A4A" w:val="clear"/>
            <w:tcMar>
              <w:top w:type="dxa" w:w="100"/>
              <w:left w:type="dxa" w:w="110"/>
              <w:bottom w:type="dxa" w:w="100"/>
              <w:right w:type="dxa" w:w="110"/>
            </w:tcMar>
            <w:vAlign w:val="center"/>
          </w:tcPr>
          <w:p>
            <w:pPr>
              <w:spacing w:after="0"/>
            </w:pPr>
            <w:r>
              <w:rPr>
                <w:b/>
                <w:bCs/>
                <w:color w:val="FFFFFF"/>
                <w:sz w:val="18"/>
                <w:szCs w:val="18"/>
              </w:rPr>
              <w:t xml:space="preserve">Indicative price point</w:t>
            </w:r>
          </w:p>
        </w:tc>
        <w:tc>
          <w:tcPr>
            <w:tcW w:type="dxa" w:w="2858"/>
            <w:shd w:fill="1B2A4A" w:val="clear"/>
            <w:tcMar>
              <w:top w:type="dxa" w:w="100"/>
              <w:left w:type="dxa" w:w="110"/>
              <w:bottom w:type="dxa" w:w="100"/>
              <w:right w:type="dxa" w:w="110"/>
            </w:tcMar>
            <w:vAlign w:val="center"/>
          </w:tcPr>
          <w:p>
            <w:pPr>
              <w:spacing w:after="0"/>
            </w:pPr>
            <w:r>
              <w:rPr>
                <w:b/>
                <w:bCs/>
                <w:color w:val="FFFFFF"/>
                <w:sz w:val="18"/>
                <w:szCs w:val="18"/>
              </w:rPr>
              <w:t xml:space="preserve">Where we can win</w:t>
            </w:r>
          </w:p>
        </w:tc>
      </w:tr>
      <w:tr>
        <w:tc>
          <w:tcPr>
            <w:tcW w:type="dxa" w:w="1429"/>
            <w:tcMar>
              <w:top w:type="dxa" w:w="90"/>
              <w:left w:type="dxa" w:w="110"/>
              <w:bottom w:type="dxa" w:w="90"/>
              <w:right w:type="dxa" w:w="110"/>
            </w:tcMar>
            <w:vAlign w:val="center"/>
          </w:tcPr>
          <w:p>
            <w:pPr>
              <w:spacing w:after="0" w:line="260"/>
            </w:pPr>
            <w:r>
              <w:rPr>
                <w:b w:val="false"/>
                <w:bCs w:val="false"/>
                <w:sz w:val="18"/>
                <w:szCs w:val="18"/>
              </w:rPr>
              <w:t xml:space="preserve">Coursera</w:t>
            </w:r>
          </w:p>
        </w:tc>
        <w:tc>
          <w:tcPr>
            <w:tcW w:type="dxa" w:w="1327"/>
            <w:tcMar>
              <w:top w:type="dxa" w:w="90"/>
              <w:left w:type="dxa" w:w="110"/>
              <w:bottom w:type="dxa" w:w="90"/>
              <w:right w:type="dxa" w:w="110"/>
            </w:tcMar>
            <w:vAlign w:val="center"/>
          </w:tcPr>
          <w:p>
            <w:pPr>
              <w:spacing w:after="0" w:line="260"/>
            </w:pPr>
            <w:r>
              <w:rPr>
                <w:b w:val="false"/>
                <w:bCs w:val="false"/>
                <w:sz w:val="18"/>
                <w:szCs w:val="18"/>
              </w:rPr>
              <w:t xml:space="preserve">Broad MOOC</w:t>
            </w:r>
          </w:p>
        </w:tc>
        <w:tc>
          <w:tcPr>
            <w:tcW w:type="dxa" w:w="2449"/>
            <w:tcMar>
              <w:top w:type="dxa" w:w="90"/>
              <w:left w:type="dxa" w:w="110"/>
              <w:bottom w:type="dxa" w:w="90"/>
              <w:right w:type="dxa" w:w="110"/>
            </w:tcMar>
            <w:vAlign w:val="center"/>
          </w:tcPr>
          <w:p>
            <w:pPr>
              <w:spacing w:after="0" w:line="260"/>
            </w:pPr>
            <w:r>
              <w:rPr>
                <w:b w:val="false"/>
                <w:bCs w:val="false"/>
                <w:sz w:val="18"/>
                <w:szCs w:val="18"/>
              </w:rPr>
              <w:t xml:space="preserve">Coursera Plus subscription + à la carte + Business/Enterprise</w:t>
            </w:r>
          </w:p>
        </w:tc>
        <w:tc>
          <w:tcPr>
            <w:tcW w:type="dxa" w:w="2143"/>
            <w:tcMar>
              <w:top w:type="dxa" w:w="90"/>
              <w:left w:type="dxa" w:w="110"/>
              <w:bottom w:type="dxa" w:w="90"/>
              <w:right w:type="dxa" w:w="110"/>
            </w:tcMar>
            <w:vAlign w:val="center"/>
          </w:tcPr>
          <w:p>
            <w:pPr>
              <w:spacing w:after="0" w:line="260"/>
            </w:pPr>
            <w:r>
              <w:rPr>
                <w:b w:val="false"/>
                <w:bCs w:val="false"/>
                <w:sz w:val="18"/>
                <w:szCs w:val="18"/>
              </w:rPr>
              <w:t xml:space="preserve">$399/yr Plus · $399/user/yr Teams · Enterprise custom</w:t>
            </w:r>
          </w:p>
        </w:tc>
        <w:tc>
          <w:tcPr>
            <w:tcW w:type="dxa" w:w="2858"/>
            <w:tcMar>
              <w:top w:type="dxa" w:w="90"/>
              <w:left w:type="dxa" w:w="110"/>
              <w:bottom w:type="dxa" w:w="90"/>
              <w:right w:type="dxa" w:w="110"/>
            </w:tcMar>
            <w:vAlign w:val="center"/>
          </w:tcPr>
          <w:p>
            <w:pPr>
              <w:spacing w:after="0" w:line="260"/>
            </w:pPr>
            <w:r>
              <w:rPr>
                <w:b w:val="false"/>
                <w:bCs w:val="false"/>
                <w:sz w:val="18"/>
                <w:szCs w:val="18"/>
              </w:rPr>
              <w:t xml:space="preserve">No mentor-graded, industry-scale projects; generic “guided projects” only</w:t>
            </w:r>
          </w:p>
        </w:tc>
      </w:tr>
      <w:tr>
        <w:tc>
          <w:tcPr>
            <w:tcW w:type="dxa" w:w="1429"/>
            <w:shd w:fill="EEF2F7" w:val="clear"/>
            <w:tcMar>
              <w:top w:type="dxa" w:w="90"/>
              <w:left w:type="dxa" w:w="110"/>
              <w:bottom w:type="dxa" w:w="90"/>
              <w:right w:type="dxa" w:w="110"/>
            </w:tcMar>
            <w:vAlign w:val="center"/>
          </w:tcPr>
          <w:p>
            <w:pPr>
              <w:spacing w:after="0" w:line="260"/>
            </w:pPr>
            <w:r>
              <w:rPr>
                <w:b w:val="false"/>
                <w:bCs w:val="false"/>
                <w:sz w:val="18"/>
                <w:szCs w:val="18"/>
              </w:rPr>
              <w:t xml:space="preserve">Udemy</w:t>
            </w:r>
          </w:p>
        </w:tc>
        <w:tc>
          <w:tcPr>
            <w:tcW w:type="dxa" w:w="1327"/>
            <w:shd w:fill="EEF2F7" w:val="clear"/>
            <w:tcMar>
              <w:top w:type="dxa" w:w="90"/>
              <w:left w:type="dxa" w:w="110"/>
              <w:bottom w:type="dxa" w:w="90"/>
              <w:right w:type="dxa" w:w="110"/>
            </w:tcMar>
            <w:vAlign w:val="center"/>
          </w:tcPr>
          <w:p>
            <w:pPr>
              <w:spacing w:after="0" w:line="260"/>
            </w:pPr>
            <w:r>
              <w:rPr>
                <w:b w:val="false"/>
                <w:bCs w:val="false"/>
                <w:sz w:val="18"/>
                <w:szCs w:val="18"/>
              </w:rPr>
              <w:t xml:space="preserve">Broad marketplace</w:t>
            </w:r>
          </w:p>
        </w:tc>
        <w:tc>
          <w:tcPr>
            <w:tcW w:type="dxa" w:w="2449"/>
            <w:shd w:fill="EEF2F7" w:val="clear"/>
            <w:tcMar>
              <w:top w:type="dxa" w:w="90"/>
              <w:left w:type="dxa" w:w="110"/>
              <w:bottom w:type="dxa" w:w="90"/>
              <w:right w:type="dxa" w:w="110"/>
            </w:tcMar>
            <w:vAlign w:val="center"/>
          </w:tcPr>
          <w:p>
            <w:pPr>
              <w:spacing w:after="0" w:line="260"/>
            </w:pPr>
            <w:r>
              <w:rPr>
                <w:b w:val="false"/>
                <w:bCs w:val="false"/>
                <w:sz w:val="18"/>
                <w:szCs w:val="18"/>
              </w:rPr>
              <w:t xml:space="preserve">À la carte (dynamic pricing) + Personal Plan + Business (Team/Enterprise)</w:t>
            </w:r>
          </w:p>
        </w:tc>
        <w:tc>
          <w:tcPr>
            <w:tcW w:type="dxa" w:w="2143"/>
            <w:shd w:fill="EEF2F7" w:val="clear"/>
            <w:tcMar>
              <w:top w:type="dxa" w:w="90"/>
              <w:left w:type="dxa" w:w="110"/>
              <w:bottom w:type="dxa" w:w="90"/>
              <w:right w:type="dxa" w:w="110"/>
            </w:tcMar>
            <w:vAlign w:val="center"/>
          </w:tcPr>
          <w:p>
            <w:pPr>
              <w:spacing w:after="0" w:line="260"/>
            </w:pPr>
            <w:r>
              <w:rPr>
                <w:b w:val="false"/>
                <w:bCs w:val="false"/>
                <w:sz w:val="18"/>
                <w:szCs w:val="18"/>
              </w:rPr>
              <w:t xml:space="preserve">Courses often $10–$20 on sale · Business Team ~$30/user/mo</w:t>
            </w:r>
          </w:p>
        </w:tc>
        <w:tc>
          <w:tcPr>
            <w:tcW w:type="dxa" w:w="2858"/>
            <w:shd w:fill="EEF2F7" w:val="clear"/>
            <w:tcMar>
              <w:top w:type="dxa" w:w="90"/>
              <w:left w:type="dxa" w:w="110"/>
              <w:bottom w:type="dxa" w:w="90"/>
              <w:right w:type="dxa" w:w="110"/>
            </w:tcMar>
            <w:vAlign w:val="center"/>
          </w:tcPr>
          <w:p>
            <w:pPr>
              <w:spacing w:after="0" w:line="260"/>
            </w:pPr>
            <w:r>
              <w:rPr>
                <w:b w:val="false"/>
                <w:bCs w:val="false"/>
                <w:sz w:val="18"/>
                <w:szCs w:val="18"/>
              </w:rPr>
              <w:t xml:space="preserve">Marketplace quality is inconsistent; no structured mentorship or project depth</w:t>
            </w:r>
          </w:p>
        </w:tc>
      </w:tr>
      <w:tr>
        <w:tc>
          <w:tcPr>
            <w:tcW w:type="dxa" w:w="1429"/>
            <w:tcMar>
              <w:top w:type="dxa" w:w="90"/>
              <w:left w:type="dxa" w:w="110"/>
              <w:bottom w:type="dxa" w:w="90"/>
              <w:right w:type="dxa" w:w="110"/>
            </w:tcMar>
            <w:vAlign w:val="center"/>
          </w:tcPr>
          <w:p>
            <w:pPr>
              <w:spacing w:after="0" w:line="260"/>
            </w:pPr>
            <w:r>
              <w:rPr>
                <w:b w:val="false"/>
                <w:bCs w:val="false"/>
                <w:sz w:val="18"/>
                <w:szCs w:val="18"/>
              </w:rPr>
              <w:t xml:space="preserve">UpGrad</w:t>
            </w:r>
          </w:p>
        </w:tc>
        <w:tc>
          <w:tcPr>
            <w:tcW w:type="dxa" w:w="1327"/>
            <w:tcMar>
              <w:top w:type="dxa" w:w="90"/>
              <w:left w:type="dxa" w:w="110"/>
              <w:bottom w:type="dxa" w:w="90"/>
              <w:right w:type="dxa" w:w="110"/>
            </w:tcMar>
            <w:vAlign w:val="center"/>
          </w:tcPr>
          <w:p>
            <w:pPr>
              <w:spacing w:after="0" w:line="260"/>
            </w:pPr>
            <w:r>
              <w:rPr>
                <w:b w:val="false"/>
                <w:bCs w:val="false"/>
                <w:sz w:val="18"/>
                <w:szCs w:val="18"/>
              </w:rPr>
              <w:t xml:space="preserve">India high-ticket / university</w:t>
            </w:r>
          </w:p>
        </w:tc>
        <w:tc>
          <w:tcPr>
            <w:tcW w:type="dxa" w:w="2449"/>
            <w:tcMar>
              <w:top w:type="dxa" w:w="90"/>
              <w:left w:type="dxa" w:w="110"/>
              <w:bottom w:type="dxa" w:w="90"/>
              <w:right w:type="dxa" w:w="110"/>
            </w:tcMar>
            <w:vAlign w:val="center"/>
          </w:tcPr>
          <w:p>
            <w:pPr>
              <w:spacing w:after="0" w:line="260"/>
            </w:pPr>
            <w:r>
              <w:rPr>
                <w:b w:val="false"/>
                <w:bCs w:val="false"/>
                <w:sz w:val="18"/>
                <w:szCs w:val="18"/>
              </w:rPr>
              <w:t xml:space="preserve">Program fee + heavy EMI, 300+ hiring partners</w:t>
            </w:r>
          </w:p>
        </w:tc>
        <w:tc>
          <w:tcPr>
            <w:tcW w:type="dxa" w:w="2143"/>
            <w:tcMar>
              <w:top w:type="dxa" w:w="90"/>
              <w:left w:type="dxa" w:w="110"/>
              <w:bottom w:type="dxa" w:w="90"/>
              <w:right w:type="dxa" w:w="110"/>
            </w:tcMar>
            <w:vAlign w:val="center"/>
          </w:tcPr>
          <w:p>
            <w:pPr>
              <w:spacing w:after="0" w:line="260"/>
            </w:pPr>
            <w:r>
              <w:rPr>
                <w:b w:val="false"/>
                <w:bCs w:val="false"/>
                <w:sz w:val="18"/>
                <w:szCs w:val="18"/>
              </w:rPr>
              <w:t xml:space="preserve">₹99K–₹3L+ per program</w:t>
            </w:r>
          </w:p>
        </w:tc>
        <w:tc>
          <w:tcPr>
            <w:tcW w:type="dxa" w:w="2858"/>
            <w:tcMar>
              <w:top w:type="dxa" w:w="90"/>
              <w:left w:type="dxa" w:w="110"/>
              <w:bottom w:type="dxa" w:w="90"/>
              <w:right w:type="dxa" w:w="110"/>
            </w:tcMar>
            <w:vAlign w:val="center"/>
          </w:tcPr>
          <w:p>
            <w:pPr>
              <w:spacing w:after="0" w:line="260"/>
            </w:pPr>
            <w:r>
              <w:rPr>
                <w:b w:val="false"/>
                <w:bCs w:val="false"/>
                <w:sz w:val="18"/>
                <w:szCs w:val="18"/>
              </w:rPr>
              <w:t xml:space="preserve">Long, expensive, one-size-fits-all programs; no à la carte entry point</w:t>
            </w:r>
          </w:p>
        </w:tc>
      </w:tr>
      <w:tr>
        <w:tc>
          <w:tcPr>
            <w:tcW w:type="dxa" w:w="1429"/>
            <w:shd w:fill="EEF2F7" w:val="clear"/>
            <w:tcMar>
              <w:top w:type="dxa" w:w="90"/>
              <w:left w:type="dxa" w:w="110"/>
              <w:bottom w:type="dxa" w:w="90"/>
              <w:right w:type="dxa" w:w="110"/>
            </w:tcMar>
            <w:vAlign w:val="center"/>
          </w:tcPr>
          <w:p>
            <w:pPr>
              <w:spacing w:after="0" w:line="260"/>
            </w:pPr>
            <w:r>
              <w:rPr>
                <w:b w:val="false"/>
                <w:bCs w:val="false"/>
                <w:sz w:val="18"/>
                <w:szCs w:val="18"/>
              </w:rPr>
              <w:t xml:space="preserve">Edureka</w:t>
            </w:r>
          </w:p>
        </w:tc>
        <w:tc>
          <w:tcPr>
            <w:tcW w:type="dxa" w:w="1327"/>
            <w:shd w:fill="EEF2F7" w:val="clear"/>
            <w:tcMar>
              <w:top w:type="dxa" w:w="90"/>
              <w:left w:type="dxa" w:w="110"/>
              <w:bottom w:type="dxa" w:w="90"/>
              <w:right w:type="dxa" w:w="110"/>
            </w:tcMar>
            <w:vAlign w:val="center"/>
          </w:tcPr>
          <w:p>
            <w:pPr>
              <w:spacing w:after="0" w:line="260"/>
            </w:pPr>
            <w:r>
              <w:rPr>
                <w:b w:val="false"/>
                <w:bCs w:val="false"/>
                <w:sz w:val="18"/>
                <w:szCs w:val="18"/>
              </w:rPr>
              <w:t xml:space="preserve">India live + self-paced</w:t>
            </w:r>
          </w:p>
        </w:tc>
        <w:tc>
          <w:tcPr>
            <w:tcW w:type="dxa" w:w="2449"/>
            <w:shd w:fill="EEF2F7" w:val="clear"/>
            <w:tcMar>
              <w:top w:type="dxa" w:w="90"/>
              <w:left w:type="dxa" w:w="110"/>
              <w:bottom w:type="dxa" w:w="90"/>
              <w:right w:type="dxa" w:w="110"/>
            </w:tcMar>
            <w:vAlign w:val="center"/>
          </w:tcPr>
          <w:p>
            <w:pPr>
              <w:spacing w:after="0" w:line="260"/>
            </w:pPr>
            <w:r>
              <w:rPr>
                <w:b w:val="false"/>
                <w:bCs w:val="false"/>
                <w:sz w:val="18"/>
                <w:szCs w:val="18"/>
              </w:rPr>
              <w:t xml:space="preserve">Pure à la carte per course, no subscription</w:t>
            </w:r>
          </w:p>
        </w:tc>
        <w:tc>
          <w:tcPr>
            <w:tcW w:type="dxa" w:w="2143"/>
            <w:shd w:fill="EEF2F7" w:val="clear"/>
            <w:tcMar>
              <w:top w:type="dxa" w:w="90"/>
              <w:left w:type="dxa" w:w="110"/>
              <w:bottom w:type="dxa" w:w="90"/>
              <w:right w:type="dxa" w:w="110"/>
            </w:tcMar>
            <w:vAlign w:val="center"/>
          </w:tcPr>
          <w:p>
            <w:pPr>
              <w:spacing w:after="0" w:line="260"/>
            </w:pPr>
            <w:r>
              <w:rPr>
                <w:b w:val="false"/>
                <w:bCs w:val="false"/>
                <w:sz w:val="18"/>
                <w:szCs w:val="18"/>
              </w:rPr>
              <w:t xml:space="preserve">$179–$1,500+ per course</w:t>
            </w:r>
          </w:p>
        </w:tc>
        <w:tc>
          <w:tcPr>
            <w:tcW w:type="dxa" w:w="2858"/>
            <w:shd w:fill="EEF2F7" w:val="clear"/>
            <w:tcMar>
              <w:top w:type="dxa" w:w="90"/>
              <w:left w:type="dxa" w:w="110"/>
              <w:bottom w:type="dxa" w:w="90"/>
              <w:right w:type="dxa" w:w="110"/>
            </w:tcMar>
            <w:vAlign w:val="center"/>
          </w:tcPr>
          <w:p>
            <w:pPr>
              <w:spacing w:after="0" w:line="260"/>
            </w:pPr>
            <w:r>
              <w:rPr>
                <w:b w:val="false"/>
                <w:bCs w:val="false"/>
                <w:sz w:val="18"/>
                <w:szCs w:val="18"/>
              </w:rPr>
              <w:t xml:space="preserve">No subscription/bundle economics; ageing product experience</w:t>
            </w:r>
          </w:p>
        </w:tc>
      </w:tr>
      <w:tr>
        <w:tc>
          <w:tcPr>
            <w:tcW w:type="dxa" w:w="1429"/>
            <w:tcMar>
              <w:top w:type="dxa" w:w="90"/>
              <w:left w:type="dxa" w:w="110"/>
              <w:bottom w:type="dxa" w:w="90"/>
              <w:right w:type="dxa" w:w="110"/>
            </w:tcMar>
            <w:vAlign w:val="center"/>
          </w:tcPr>
          <w:p>
            <w:pPr>
              <w:spacing w:after="0" w:line="260"/>
            </w:pPr>
            <w:r>
              <w:rPr>
                <w:b w:val="false"/>
                <w:bCs w:val="false"/>
                <w:sz w:val="18"/>
                <w:szCs w:val="18"/>
              </w:rPr>
              <w:t xml:space="preserve">Crio.do</w:t>
            </w:r>
          </w:p>
        </w:tc>
        <w:tc>
          <w:tcPr>
            <w:tcW w:type="dxa" w:w="1327"/>
            <w:tcMar>
              <w:top w:type="dxa" w:w="90"/>
              <w:left w:type="dxa" w:w="110"/>
              <w:bottom w:type="dxa" w:w="90"/>
              <w:right w:type="dxa" w:w="110"/>
            </w:tcMar>
            <w:vAlign w:val="center"/>
          </w:tcPr>
          <w:p>
            <w:pPr>
              <w:spacing w:after="0" w:line="260"/>
            </w:pPr>
            <w:r>
              <w:rPr>
                <w:b w:val="false"/>
                <w:bCs w:val="false"/>
                <w:sz w:val="18"/>
                <w:szCs w:val="18"/>
              </w:rPr>
              <w:t xml:space="preserve">Applied project-first</w:t>
            </w:r>
          </w:p>
        </w:tc>
        <w:tc>
          <w:tcPr>
            <w:tcW w:type="dxa" w:w="2449"/>
            <w:tcMar>
              <w:top w:type="dxa" w:w="90"/>
              <w:left w:type="dxa" w:w="110"/>
              <w:bottom w:type="dxa" w:w="90"/>
              <w:right w:type="dxa" w:w="110"/>
            </w:tcMar>
            <w:vAlign w:val="center"/>
          </w:tcPr>
          <w:p>
            <w:pPr>
              <w:spacing w:after="0" w:line="260"/>
            </w:pPr>
            <w:r>
              <w:rPr>
                <w:b w:val="false"/>
                <w:bCs w:val="false"/>
                <w:sz w:val="18"/>
                <w:szCs w:val="18"/>
              </w:rPr>
              <w:t xml:space="preserve">Program fee (~₹2L) + placement success fee (₹20K–₹40K)</w:t>
            </w:r>
          </w:p>
        </w:tc>
        <w:tc>
          <w:tcPr>
            <w:tcW w:type="dxa" w:w="2143"/>
            <w:tcMar>
              <w:top w:type="dxa" w:w="90"/>
              <w:left w:type="dxa" w:w="110"/>
              <w:bottom w:type="dxa" w:w="90"/>
              <w:right w:type="dxa" w:w="110"/>
            </w:tcMar>
            <w:vAlign w:val="center"/>
          </w:tcPr>
          <w:p>
            <w:pPr>
              <w:spacing w:after="0" w:line="260"/>
            </w:pPr>
            <w:r>
              <w:rPr>
                <w:b w:val="false"/>
                <w:bCs w:val="false"/>
                <w:sz w:val="18"/>
                <w:szCs w:val="18"/>
              </w:rPr>
              <w:t xml:space="preserve">Program + ₹19,999–₹39,999 success fee</w:t>
            </w:r>
          </w:p>
        </w:tc>
        <w:tc>
          <w:tcPr>
            <w:tcW w:type="dxa" w:w="2858"/>
            <w:tcMar>
              <w:top w:type="dxa" w:w="90"/>
              <w:left w:type="dxa" w:w="110"/>
              <w:bottom w:type="dxa" w:w="90"/>
              <w:right w:type="dxa" w:w="110"/>
            </w:tcMar>
            <w:vAlign w:val="center"/>
          </w:tcPr>
          <w:p>
            <w:pPr>
              <w:spacing w:after="0" w:line="260"/>
            </w:pPr>
            <w:r>
              <w:rPr>
                <w:b w:val="false"/>
                <w:bCs w:val="false"/>
                <w:sz w:val="18"/>
                <w:szCs w:val="18"/>
              </w:rPr>
              <w:t xml:space="preserve">Narrow subject range (software dev / QA); no lighter à la carte project</w:t>
            </w:r>
          </w:p>
        </w:tc>
      </w:tr>
      <w:tr>
        <w:tc>
          <w:tcPr>
            <w:tcW w:type="dxa" w:w="1429"/>
            <w:shd w:fill="EEF2F7" w:val="clear"/>
            <w:tcMar>
              <w:top w:type="dxa" w:w="90"/>
              <w:left w:type="dxa" w:w="110"/>
              <w:bottom w:type="dxa" w:w="90"/>
              <w:right w:type="dxa" w:w="110"/>
            </w:tcMar>
            <w:vAlign w:val="center"/>
          </w:tcPr>
          <w:p>
            <w:pPr>
              <w:spacing w:after="0" w:line="260"/>
            </w:pPr>
            <w:r>
              <w:rPr>
                <w:b w:val="false"/>
                <w:bCs w:val="false"/>
                <w:sz w:val="18"/>
                <w:szCs w:val="18"/>
              </w:rPr>
              <w:t xml:space="preserve">Scaler / Masai</w:t>
            </w:r>
          </w:p>
        </w:tc>
        <w:tc>
          <w:tcPr>
            <w:tcW w:type="dxa" w:w="1327"/>
            <w:shd w:fill="EEF2F7" w:val="clear"/>
            <w:tcMar>
              <w:top w:type="dxa" w:w="90"/>
              <w:left w:type="dxa" w:w="110"/>
              <w:bottom w:type="dxa" w:w="90"/>
              <w:right w:type="dxa" w:w="110"/>
            </w:tcMar>
            <w:vAlign w:val="center"/>
          </w:tcPr>
          <w:p>
            <w:pPr>
              <w:spacing w:after="0" w:line="260"/>
            </w:pPr>
            <w:r>
              <w:rPr>
                <w:b w:val="false"/>
                <w:bCs w:val="false"/>
                <w:sz w:val="18"/>
                <w:szCs w:val="18"/>
              </w:rPr>
              <w:t xml:space="preserve">India cohort + ISA</w:t>
            </w:r>
          </w:p>
        </w:tc>
        <w:tc>
          <w:tcPr>
            <w:tcW w:type="dxa" w:w="2449"/>
            <w:shd w:fill="EEF2F7" w:val="clear"/>
            <w:tcMar>
              <w:top w:type="dxa" w:w="90"/>
              <w:left w:type="dxa" w:w="110"/>
              <w:bottom w:type="dxa" w:w="90"/>
              <w:right w:type="dxa" w:w="110"/>
            </w:tcMar>
            <w:vAlign w:val="center"/>
          </w:tcPr>
          <w:p>
            <w:pPr>
              <w:spacing w:after="0" w:line="260"/>
            </w:pPr>
            <w:r>
              <w:rPr>
                <w:b w:val="false"/>
                <w:bCs w:val="false"/>
                <w:sz w:val="18"/>
                <w:szCs w:val="18"/>
              </w:rPr>
              <w:t xml:space="preserve">High-ticket subscription or income-share agreement</w:t>
            </w:r>
          </w:p>
        </w:tc>
        <w:tc>
          <w:tcPr>
            <w:tcW w:type="dxa" w:w="2143"/>
            <w:shd w:fill="EEF2F7" w:val="clear"/>
            <w:tcMar>
              <w:top w:type="dxa" w:w="90"/>
              <w:left w:type="dxa" w:w="110"/>
              <w:bottom w:type="dxa" w:w="90"/>
              <w:right w:type="dxa" w:w="110"/>
            </w:tcMar>
            <w:vAlign w:val="center"/>
          </w:tcPr>
          <w:p>
            <w:pPr>
              <w:spacing w:after="0" w:line="260"/>
            </w:pPr>
            <w:r>
              <w:rPr>
                <w:b w:val="false"/>
                <w:bCs w:val="false"/>
                <w:sz w:val="18"/>
                <w:szCs w:val="18"/>
              </w:rPr>
              <w:t xml:space="preserve">₹2L–₹4L or deferred ISA</w:t>
            </w:r>
          </w:p>
        </w:tc>
        <w:tc>
          <w:tcPr>
            <w:tcW w:type="dxa" w:w="2858"/>
            <w:shd w:fill="EEF2F7" w:val="clear"/>
            <w:tcMar>
              <w:top w:type="dxa" w:w="90"/>
              <w:left w:type="dxa" w:w="110"/>
              <w:bottom w:type="dxa" w:w="90"/>
              <w:right w:type="dxa" w:w="110"/>
            </w:tcMar>
            <w:vAlign w:val="center"/>
          </w:tcPr>
          <w:p>
            <w:pPr>
              <w:spacing w:after="0" w:line="260"/>
            </w:pPr>
            <w:r>
              <w:rPr>
                <w:b w:val="false"/>
                <w:bCs w:val="false"/>
                <w:sz w:val="18"/>
                <w:szCs w:val="18"/>
              </w:rPr>
              <w:t xml:space="preserve">Very high commitment bar; not modular</w:t>
            </w:r>
          </w:p>
        </w:tc>
      </w:tr>
      <w:tr>
        <w:tc>
          <w:tcPr>
            <w:tcW w:type="dxa" w:w="1429"/>
            <w:tcMar>
              <w:top w:type="dxa" w:w="90"/>
              <w:left w:type="dxa" w:w="110"/>
              <w:bottom w:type="dxa" w:w="90"/>
              <w:right w:type="dxa" w:w="110"/>
            </w:tcMar>
            <w:vAlign w:val="center"/>
          </w:tcPr>
          <w:p>
            <w:pPr>
              <w:spacing w:after="0" w:line="260"/>
            </w:pPr>
            <w:r>
              <w:rPr>
                <w:b w:val="false"/>
                <w:bCs w:val="false"/>
                <w:sz w:val="18"/>
                <w:szCs w:val="18"/>
              </w:rPr>
              <w:t xml:space="preserve">takeuforward (Striver)</w:t>
            </w:r>
          </w:p>
        </w:tc>
        <w:tc>
          <w:tcPr>
            <w:tcW w:type="dxa" w:w="1327"/>
            <w:tcMar>
              <w:top w:type="dxa" w:w="90"/>
              <w:left w:type="dxa" w:w="110"/>
              <w:bottom w:type="dxa" w:w="90"/>
              <w:right w:type="dxa" w:w="110"/>
            </w:tcMar>
            <w:vAlign w:val="center"/>
          </w:tcPr>
          <w:p>
            <w:pPr>
              <w:spacing w:after="0" w:line="260"/>
            </w:pPr>
            <w:r>
              <w:rPr>
                <w:b w:val="false"/>
                <w:bCs w:val="false"/>
                <w:sz w:val="18"/>
                <w:szCs w:val="18"/>
              </w:rPr>
              <w:t xml:space="preserve">Solo creator</w:t>
            </w:r>
          </w:p>
        </w:tc>
        <w:tc>
          <w:tcPr>
            <w:tcW w:type="dxa" w:w="2449"/>
            <w:tcMar>
              <w:top w:type="dxa" w:w="90"/>
              <w:left w:type="dxa" w:w="110"/>
              <w:bottom w:type="dxa" w:w="90"/>
              <w:right w:type="dxa" w:w="110"/>
            </w:tcMar>
            <w:vAlign w:val="center"/>
          </w:tcPr>
          <w:p>
            <w:pPr>
              <w:spacing w:after="0" w:line="260"/>
            </w:pPr>
            <w:r>
              <w:rPr>
                <w:b w:val="false"/>
                <w:bCs w:val="false"/>
                <w:sz w:val="18"/>
                <w:szCs w:val="18"/>
              </w:rPr>
              <w:t xml:space="preserve">Freemium (YouTube) + TUF+ paid subscription</w:t>
            </w:r>
          </w:p>
        </w:tc>
        <w:tc>
          <w:tcPr>
            <w:tcW w:type="dxa" w:w="2143"/>
            <w:tcMar>
              <w:top w:type="dxa" w:w="90"/>
              <w:left w:type="dxa" w:w="110"/>
              <w:bottom w:type="dxa" w:w="90"/>
              <w:right w:type="dxa" w:w="110"/>
            </w:tcMar>
            <w:vAlign w:val="center"/>
          </w:tcPr>
          <w:p>
            <w:pPr>
              <w:spacing w:after="0" w:line="260"/>
            </w:pPr>
            <w:r>
              <w:rPr>
                <w:b w:val="false"/>
                <w:bCs w:val="false"/>
                <w:sz w:val="18"/>
                <w:szCs w:val="18"/>
              </w:rPr>
              <w:t xml:space="preserve">Moderate subscription</w:t>
            </w:r>
          </w:p>
        </w:tc>
        <w:tc>
          <w:tcPr>
            <w:tcW w:type="dxa" w:w="2858"/>
            <w:tcMar>
              <w:top w:type="dxa" w:w="90"/>
              <w:left w:type="dxa" w:w="110"/>
              <w:bottom w:type="dxa" w:w="90"/>
              <w:right w:type="dxa" w:w="110"/>
            </w:tcMar>
            <w:vAlign w:val="center"/>
          </w:tcPr>
          <w:p>
            <w:pPr>
              <w:spacing w:after="0" w:line="260"/>
            </w:pPr>
            <w:r>
              <w:rPr>
                <w:b w:val="false"/>
                <w:bCs w:val="false"/>
                <w:sz w:val="18"/>
                <w:szCs w:val="18"/>
              </w:rPr>
              <w:t xml:space="preserve">Single-creator ceiling; not a multi-creator marketplace</w:t>
            </w:r>
          </w:p>
        </w:tc>
      </w:tr>
      <w:tr>
        <w:tc>
          <w:tcPr>
            <w:tcW w:type="dxa" w:w="1429"/>
            <w:shd w:fill="EEF2F7" w:val="clear"/>
            <w:tcMar>
              <w:top w:type="dxa" w:w="90"/>
              <w:left w:type="dxa" w:w="110"/>
              <w:bottom w:type="dxa" w:w="90"/>
              <w:right w:type="dxa" w:w="110"/>
            </w:tcMar>
            <w:vAlign w:val="center"/>
          </w:tcPr>
          <w:p>
            <w:pPr>
              <w:spacing w:after="0" w:line="260"/>
            </w:pPr>
            <w:r>
              <w:rPr>
                <w:b w:val="false"/>
                <w:bCs w:val="false"/>
                <w:sz w:val="18"/>
                <w:szCs w:val="18"/>
              </w:rPr>
              <w:t xml:space="preserve">Educosys (Keerti Purswani)</w:t>
            </w:r>
          </w:p>
        </w:tc>
        <w:tc>
          <w:tcPr>
            <w:tcW w:type="dxa" w:w="1327"/>
            <w:shd w:fill="EEF2F7" w:val="clear"/>
            <w:tcMar>
              <w:top w:type="dxa" w:w="90"/>
              <w:left w:type="dxa" w:w="110"/>
              <w:bottom w:type="dxa" w:w="90"/>
              <w:right w:type="dxa" w:w="110"/>
            </w:tcMar>
            <w:vAlign w:val="center"/>
          </w:tcPr>
          <w:p>
            <w:pPr>
              <w:spacing w:after="0" w:line="260"/>
            </w:pPr>
            <w:r>
              <w:rPr>
                <w:b w:val="false"/>
                <w:bCs w:val="false"/>
                <w:sz w:val="18"/>
                <w:szCs w:val="18"/>
              </w:rPr>
              <w:t xml:space="preserve">Solo/small-team creator</w:t>
            </w:r>
          </w:p>
        </w:tc>
        <w:tc>
          <w:tcPr>
            <w:tcW w:type="dxa" w:w="2449"/>
            <w:shd w:fill="EEF2F7" w:val="clear"/>
            <w:tcMar>
              <w:top w:type="dxa" w:w="90"/>
              <w:left w:type="dxa" w:w="110"/>
              <w:bottom w:type="dxa" w:w="90"/>
              <w:right w:type="dxa" w:w="110"/>
            </w:tcMar>
            <w:vAlign w:val="center"/>
          </w:tcPr>
          <w:p>
            <w:pPr>
              <w:spacing w:after="0" w:line="260"/>
            </w:pPr>
            <w:r>
              <w:rPr>
                <w:b w:val="false"/>
                <w:bCs w:val="false"/>
                <w:sz w:val="18"/>
                <w:szCs w:val="18"/>
              </w:rPr>
              <w:t xml:space="preserve">Live cohort course fees, self-built registration stack</w:t>
            </w:r>
          </w:p>
        </w:tc>
        <w:tc>
          <w:tcPr>
            <w:tcW w:type="dxa" w:w="2143"/>
            <w:shd w:fill="EEF2F7" w:val="clear"/>
            <w:tcMar>
              <w:top w:type="dxa" w:w="90"/>
              <w:left w:type="dxa" w:w="110"/>
              <w:bottom w:type="dxa" w:w="90"/>
              <w:right w:type="dxa" w:w="110"/>
            </w:tcMar>
            <w:vAlign w:val="center"/>
          </w:tcPr>
          <w:p>
            <w:pPr>
              <w:spacing w:after="0" w:line="260"/>
            </w:pPr>
            <w:r>
              <w:rPr>
                <w:b w:val="false"/>
                <w:bCs w:val="false"/>
                <w:sz w:val="18"/>
                <w:szCs w:val="18"/>
              </w:rPr>
              <w:t xml:space="preserve">Per-cohort fee</w:t>
            </w:r>
          </w:p>
        </w:tc>
        <w:tc>
          <w:tcPr>
            <w:tcW w:type="dxa" w:w="2858"/>
            <w:shd w:fill="EEF2F7" w:val="clear"/>
            <w:tcMar>
              <w:top w:type="dxa" w:w="90"/>
              <w:left w:type="dxa" w:w="110"/>
              <w:bottom w:type="dxa" w:w="90"/>
              <w:right w:type="dxa" w:w="110"/>
            </w:tcMar>
            <w:vAlign w:val="center"/>
          </w:tcPr>
          <w:p>
            <w:pPr>
              <w:spacing w:after="0" w:line="260"/>
            </w:pPr>
            <w:r>
              <w:rPr>
                <w:b w:val="false"/>
                <w:bCs w:val="false"/>
                <w:sz w:val="18"/>
                <w:szCs w:val="18"/>
              </w:rPr>
              <w:t xml:space="preserve">Running their own infra end-to-end — exactly the pain this platform removes</w:t>
            </w:r>
          </w:p>
        </w:tc>
      </w:tr>
      <w:tr>
        <w:tc>
          <w:tcPr>
            <w:tcW w:type="dxa" w:w="1429"/>
            <w:tcMar>
              <w:top w:type="dxa" w:w="90"/>
              <w:left w:type="dxa" w:w="110"/>
              <w:bottom w:type="dxa" w:w="90"/>
              <w:right w:type="dxa" w:w="110"/>
            </w:tcMar>
            <w:vAlign w:val="center"/>
          </w:tcPr>
          <w:p>
            <w:pPr>
              <w:spacing w:after="0" w:line="260"/>
            </w:pPr>
            <w:r>
              <w:rPr>
                <w:b w:val="false"/>
                <w:bCs w:val="false"/>
                <w:sz w:val="18"/>
                <w:szCs w:val="18"/>
              </w:rPr>
              <w:t xml:space="preserve">Euron / Euron Systems</w:t>
            </w:r>
          </w:p>
        </w:tc>
        <w:tc>
          <w:tcPr>
            <w:tcW w:type="dxa" w:w="1327"/>
            <w:tcMar>
              <w:top w:type="dxa" w:w="90"/>
              <w:left w:type="dxa" w:w="110"/>
              <w:bottom w:type="dxa" w:w="90"/>
              <w:right w:type="dxa" w:w="110"/>
            </w:tcMar>
            <w:vAlign w:val="center"/>
          </w:tcPr>
          <w:p>
            <w:pPr>
              <w:spacing w:after="0" w:line="260"/>
            </w:pPr>
            <w:r>
              <w:rPr>
                <w:b w:val="false"/>
                <w:bCs w:val="false"/>
                <w:sz w:val="18"/>
                <w:szCs w:val="18"/>
              </w:rPr>
              <w:t xml:space="preserve">Creator platform + infra vendor</w:t>
            </w:r>
          </w:p>
        </w:tc>
        <w:tc>
          <w:tcPr>
            <w:tcW w:type="dxa" w:w="2449"/>
            <w:tcMar>
              <w:top w:type="dxa" w:w="90"/>
              <w:left w:type="dxa" w:w="110"/>
              <w:bottom w:type="dxa" w:w="90"/>
              <w:right w:type="dxa" w:w="110"/>
            </w:tcMar>
            <w:vAlign w:val="center"/>
          </w:tcPr>
          <w:p>
            <w:pPr>
              <w:spacing w:after="0" w:line="260"/>
            </w:pPr>
            <w:r>
              <w:rPr>
                <w:b w:val="false"/>
                <w:bCs w:val="false"/>
                <w:sz w:val="18"/>
                <w:szCs w:val="18"/>
              </w:rPr>
              <w:t xml:space="preserve">B2C: one subscription for 56+ courses. B2B: white-label EdTech OS</w:t>
            </w:r>
          </w:p>
        </w:tc>
        <w:tc>
          <w:tcPr>
            <w:tcW w:type="dxa" w:w="2143"/>
            <w:tcMar>
              <w:top w:type="dxa" w:w="90"/>
              <w:left w:type="dxa" w:w="110"/>
              <w:bottom w:type="dxa" w:w="90"/>
              <w:right w:type="dxa" w:w="110"/>
            </w:tcMar>
            <w:vAlign w:val="center"/>
          </w:tcPr>
          <w:p>
            <w:pPr>
              <w:spacing w:after="0" w:line="260"/>
            </w:pPr>
            <w:r>
              <w:rPr>
                <w:b w:val="false"/>
                <w:bCs w:val="false"/>
                <w:sz w:val="18"/>
                <w:szCs w:val="18"/>
              </w:rPr>
              <w:t xml:space="preserve">Low-cost aggressive B2C pricing</w:t>
            </w:r>
          </w:p>
        </w:tc>
        <w:tc>
          <w:tcPr>
            <w:tcW w:type="dxa" w:w="2858"/>
            <w:tcMar>
              <w:top w:type="dxa" w:w="90"/>
              <w:left w:type="dxa" w:w="110"/>
              <w:bottom w:type="dxa" w:w="90"/>
              <w:right w:type="dxa" w:w="110"/>
            </w:tcMar>
            <w:vAlign w:val="center"/>
          </w:tcPr>
          <w:p>
            <w:pPr>
              <w:spacing w:after="0" w:line="260"/>
            </w:pPr>
            <w:r>
              <w:rPr>
                <w:b w:val="false"/>
                <w:bCs w:val="false"/>
                <w:sz w:val="18"/>
                <w:szCs w:val="18"/>
              </w:rPr>
              <w:t xml:space="preserve">Euron Systems is a second, newer Fermion-class infra competitor to evaluate</w:t>
            </w:r>
          </w:p>
        </w:tc>
      </w:tr>
      <w:tr>
        <w:tc>
          <w:tcPr>
            <w:tcW w:type="dxa" w:w="1429"/>
            <w:shd w:fill="EEF2F7" w:val="clear"/>
            <w:tcMar>
              <w:top w:type="dxa" w:w="90"/>
              <w:left w:type="dxa" w:w="110"/>
              <w:bottom w:type="dxa" w:w="90"/>
              <w:right w:type="dxa" w:w="110"/>
            </w:tcMar>
            <w:vAlign w:val="center"/>
          </w:tcPr>
          <w:p>
            <w:pPr>
              <w:spacing w:after="0" w:line="260"/>
            </w:pPr>
            <w:r>
              <w:rPr>
                <w:b w:val="false"/>
                <w:bCs w:val="false"/>
                <w:sz w:val="18"/>
                <w:szCs w:val="18"/>
              </w:rPr>
              <w:t xml:space="preserve">Fermion</w:t>
            </w:r>
          </w:p>
        </w:tc>
        <w:tc>
          <w:tcPr>
            <w:tcW w:type="dxa" w:w="1327"/>
            <w:shd w:fill="EEF2F7" w:val="clear"/>
            <w:tcMar>
              <w:top w:type="dxa" w:w="90"/>
              <w:left w:type="dxa" w:w="110"/>
              <w:bottom w:type="dxa" w:w="90"/>
              <w:right w:type="dxa" w:w="110"/>
            </w:tcMar>
            <w:vAlign w:val="center"/>
          </w:tcPr>
          <w:p>
            <w:pPr>
              <w:spacing w:after="0" w:line="260"/>
            </w:pPr>
            <w:r>
              <w:rPr>
                <w:b w:val="false"/>
                <w:bCs w:val="false"/>
                <w:sz w:val="18"/>
                <w:szCs w:val="18"/>
              </w:rPr>
              <w:t xml:space="preserve">LMS infrastructure</w:t>
            </w:r>
          </w:p>
        </w:tc>
        <w:tc>
          <w:tcPr>
            <w:tcW w:type="dxa" w:w="2449"/>
            <w:shd w:fill="EEF2F7" w:val="clear"/>
            <w:tcMar>
              <w:top w:type="dxa" w:w="90"/>
              <w:left w:type="dxa" w:w="110"/>
              <w:bottom w:type="dxa" w:w="90"/>
              <w:right w:type="dxa" w:w="110"/>
            </w:tcMar>
            <w:vAlign w:val="center"/>
          </w:tcPr>
          <w:p>
            <w:pPr>
              <w:spacing w:after="0" w:line="260"/>
            </w:pPr>
            <w:r>
              <w:rPr>
                <w:b w:val="false"/>
                <w:bCs w:val="false"/>
                <w:sz w:val="18"/>
                <w:szCs w:val="18"/>
              </w:rPr>
              <w:t xml:space="preserve">Usage-based, $0 base fee, 0% transaction fee</w:t>
            </w:r>
          </w:p>
        </w:tc>
        <w:tc>
          <w:tcPr>
            <w:tcW w:type="dxa" w:w="2143"/>
            <w:shd w:fill="EEF2F7" w:val="clear"/>
            <w:tcMar>
              <w:top w:type="dxa" w:w="90"/>
              <w:left w:type="dxa" w:w="110"/>
              <w:bottom w:type="dxa" w:w="90"/>
              <w:right w:type="dxa" w:w="110"/>
            </w:tcMar>
            <w:vAlign w:val="center"/>
          </w:tcPr>
          <w:p>
            <w:pPr>
              <w:spacing w:after="0" w:line="260"/>
            </w:pPr>
            <w:r>
              <w:rPr>
                <w:b w:val="false"/>
                <w:bCs w:val="false"/>
                <w:sz w:val="18"/>
                <w:szCs w:val="18"/>
              </w:rPr>
              <w:t xml:space="preserve">Basic/Pro $0 base + usage · Enterprise custom</w:t>
            </w:r>
          </w:p>
        </w:tc>
        <w:tc>
          <w:tcPr>
            <w:tcW w:type="dxa" w:w="2858"/>
            <w:shd w:fill="EEF2F7" w:val="clear"/>
            <w:tcMar>
              <w:top w:type="dxa" w:w="90"/>
              <w:left w:type="dxa" w:w="110"/>
              <w:bottom w:type="dxa" w:w="90"/>
              <w:right w:type="dxa" w:w="110"/>
            </w:tcMar>
            <w:vAlign w:val="center"/>
          </w:tcPr>
          <w:p>
            <w:pPr>
              <w:spacing w:after="0" w:line="260"/>
            </w:pPr>
            <w:r>
              <w:rPr>
                <w:b w:val="false"/>
                <w:bCs w:val="false"/>
                <w:sz w:val="18"/>
                <w:szCs w:val="18"/>
              </w:rPr>
              <w:t xml:space="preserve">Narrow technical-creator focus; small team — see Section 4</w:t>
            </w:r>
          </w:p>
        </w:tc>
      </w:tr>
      <w:tr>
        <w:tc>
          <w:tcPr>
            <w:tcW w:type="dxa" w:w="1429"/>
            <w:tcMar>
              <w:top w:type="dxa" w:w="90"/>
              <w:left w:type="dxa" w:w="110"/>
              <w:bottom w:type="dxa" w:w="90"/>
              <w:right w:type="dxa" w:w="110"/>
            </w:tcMar>
            <w:vAlign w:val="center"/>
          </w:tcPr>
          <w:p>
            <w:pPr>
              <w:spacing w:after="0" w:line="260"/>
            </w:pPr>
            <w:r>
              <w:rPr>
                <w:b w:val="false"/>
                <w:bCs w:val="false"/>
                <w:sz w:val="18"/>
                <w:szCs w:val="18"/>
              </w:rPr>
              <w:t xml:space="preserve">Graphy (Unacademy)</w:t>
            </w:r>
          </w:p>
        </w:tc>
        <w:tc>
          <w:tcPr>
            <w:tcW w:type="dxa" w:w="1327"/>
            <w:tcMar>
              <w:top w:type="dxa" w:w="90"/>
              <w:left w:type="dxa" w:w="110"/>
              <w:bottom w:type="dxa" w:w="90"/>
              <w:right w:type="dxa" w:w="110"/>
            </w:tcMar>
            <w:vAlign w:val="center"/>
          </w:tcPr>
          <w:p>
            <w:pPr>
              <w:spacing w:after="0" w:line="260"/>
            </w:pPr>
            <w:r>
              <w:rPr>
                <w:b w:val="false"/>
                <w:bCs w:val="false"/>
                <w:sz w:val="18"/>
                <w:szCs w:val="18"/>
              </w:rPr>
              <w:t xml:space="preserve">Creator platform</w:t>
            </w:r>
          </w:p>
        </w:tc>
        <w:tc>
          <w:tcPr>
            <w:tcW w:type="dxa" w:w="2449"/>
            <w:tcMar>
              <w:top w:type="dxa" w:w="90"/>
              <w:left w:type="dxa" w:w="110"/>
              <w:bottom w:type="dxa" w:w="90"/>
              <w:right w:type="dxa" w:w="110"/>
            </w:tcMar>
            <w:vAlign w:val="center"/>
          </w:tcPr>
          <w:p>
            <w:pPr>
              <w:spacing w:after="0" w:line="260"/>
            </w:pPr>
            <w:r>
              <w:rPr>
                <w:b w:val="false"/>
                <w:bCs w:val="false"/>
                <w:sz w:val="18"/>
                <w:szCs w:val="18"/>
              </w:rPr>
              <w:t xml:space="preserve">Flat SaaS ($49–$399/mo) or commission-based (10%→5%)</w:t>
            </w:r>
          </w:p>
        </w:tc>
        <w:tc>
          <w:tcPr>
            <w:tcW w:type="dxa" w:w="2143"/>
            <w:tcMar>
              <w:top w:type="dxa" w:w="90"/>
              <w:left w:type="dxa" w:w="110"/>
              <w:bottom w:type="dxa" w:w="90"/>
              <w:right w:type="dxa" w:w="110"/>
            </w:tcMar>
            <w:vAlign w:val="center"/>
          </w:tcPr>
          <w:p>
            <w:pPr>
              <w:spacing w:after="0" w:line="260"/>
            </w:pPr>
            <w:r>
              <w:rPr>
                <w:b w:val="false"/>
                <w:bCs w:val="false"/>
                <w:sz w:val="18"/>
                <w:szCs w:val="18"/>
              </w:rPr>
              <w:t xml:space="preserve">$49–$399/mo (USD) · ₹1,999–₹8,400/mo (INR)</w:t>
            </w:r>
          </w:p>
        </w:tc>
        <w:tc>
          <w:tcPr>
            <w:tcW w:type="dxa" w:w="2858"/>
            <w:tcMar>
              <w:top w:type="dxa" w:w="90"/>
              <w:left w:type="dxa" w:w="110"/>
              <w:bottom w:type="dxa" w:w="90"/>
              <w:right w:type="dxa" w:w="110"/>
            </w:tcMar>
            <w:vAlign w:val="center"/>
          </w:tcPr>
          <w:p>
            <w:pPr>
              <w:spacing w:after="0" w:line="260"/>
            </w:pPr>
            <w:r>
              <w:rPr>
                <w:b w:val="false"/>
                <w:bCs w:val="false"/>
                <w:sz w:val="18"/>
                <w:szCs w:val="18"/>
              </w:rPr>
              <w:t xml:space="preserve">General-purpose creator tool, not technical — no native code sandbox</w:t>
            </w:r>
          </w:p>
        </w:tc>
      </w:tr>
      <w:tr>
        <w:tc>
          <w:tcPr>
            <w:tcW w:type="dxa" w:w="1429"/>
            <w:shd w:fill="EEF2F7" w:val="clear"/>
            <w:tcMar>
              <w:top w:type="dxa" w:w="90"/>
              <w:left w:type="dxa" w:w="110"/>
              <w:bottom w:type="dxa" w:w="90"/>
              <w:right w:type="dxa" w:w="110"/>
            </w:tcMar>
            <w:vAlign w:val="center"/>
          </w:tcPr>
          <w:p>
            <w:pPr>
              <w:spacing w:after="0" w:line="260"/>
            </w:pPr>
            <w:r>
              <w:rPr>
                <w:b w:val="false"/>
                <w:bCs w:val="false"/>
                <w:sz w:val="18"/>
                <w:szCs w:val="18"/>
              </w:rPr>
              <w:t xml:space="preserve">Maven</w:t>
            </w:r>
          </w:p>
        </w:tc>
        <w:tc>
          <w:tcPr>
            <w:tcW w:type="dxa" w:w="1327"/>
            <w:shd w:fill="EEF2F7" w:val="clear"/>
            <w:tcMar>
              <w:top w:type="dxa" w:w="90"/>
              <w:left w:type="dxa" w:w="110"/>
              <w:bottom w:type="dxa" w:w="90"/>
              <w:right w:type="dxa" w:w="110"/>
            </w:tcMar>
            <w:vAlign w:val="center"/>
          </w:tcPr>
          <w:p>
            <w:pPr>
              <w:spacing w:after="0" w:line="260"/>
            </w:pPr>
            <w:r>
              <w:rPr>
                <w:b w:val="false"/>
                <w:bCs w:val="false"/>
                <w:sz w:val="18"/>
                <w:szCs w:val="18"/>
              </w:rPr>
              <w:t xml:space="preserve">Cohort-course infra</w:t>
            </w:r>
          </w:p>
        </w:tc>
        <w:tc>
          <w:tcPr>
            <w:tcW w:type="dxa" w:w="2449"/>
            <w:shd w:fill="EEF2F7" w:val="clear"/>
            <w:tcMar>
              <w:top w:type="dxa" w:w="90"/>
              <w:left w:type="dxa" w:w="110"/>
              <w:bottom w:type="dxa" w:w="90"/>
              <w:right w:type="dxa" w:w="110"/>
            </w:tcMar>
            <w:vAlign w:val="center"/>
          </w:tcPr>
          <w:p>
            <w:pPr>
              <w:spacing w:after="0" w:line="260"/>
            </w:pPr>
            <w:r>
              <w:rPr>
                <w:b w:val="false"/>
                <w:bCs w:val="false"/>
                <w:sz w:val="18"/>
                <w:szCs w:val="18"/>
              </w:rPr>
              <w:t xml:space="preserve">10% platform fee on instructor revenue, no subscription</w:t>
            </w:r>
          </w:p>
        </w:tc>
        <w:tc>
          <w:tcPr>
            <w:tcW w:type="dxa" w:w="2143"/>
            <w:shd w:fill="EEF2F7" w:val="clear"/>
            <w:tcMar>
              <w:top w:type="dxa" w:w="90"/>
              <w:left w:type="dxa" w:w="110"/>
              <w:bottom w:type="dxa" w:w="90"/>
              <w:right w:type="dxa" w:w="110"/>
            </w:tcMar>
            <w:vAlign w:val="center"/>
          </w:tcPr>
          <w:p>
            <w:pPr>
              <w:spacing w:after="0" w:line="260"/>
            </w:pPr>
            <w:r>
              <w:rPr>
                <w:b w:val="false"/>
                <w:bCs w:val="false"/>
                <w:sz w:val="18"/>
                <w:szCs w:val="18"/>
              </w:rPr>
              <w:t xml:space="preserve">Avg. course ~$500 (range $300–$3,000+)</w:t>
            </w:r>
          </w:p>
        </w:tc>
        <w:tc>
          <w:tcPr>
            <w:tcW w:type="dxa" w:w="2858"/>
            <w:shd w:fill="EEF2F7" w:val="clear"/>
            <w:tcMar>
              <w:top w:type="dxa" w:w="90"/>
              <w:left w:type="dxa" w:w="110"/>
              <w:bottom w:type="dxa" w:w="90"/>
              <w:right w:type="dxa" w:w="110"/>
            </w:tcMar>
            <w:vAlign w:val="center"/>
          </w:tcPr>
          <w:p>
            <w:pPr>
              <w:spacing w:after="0" w:line="260"/>
            </w:pPr>
            <w:r>
              <w:rPr>
                <w:b w:val="false"/>
                <w:bCs w:val="false"/>
                <w:sz w:val="18"/>
                <w:szCs w:val="18"/>
              </w:rPr>
              <w:t xml:space="preserve">No project-review workflow or enterprise layer; good pricing-philosophy precedent</w:t>
            </w:r>
          </w:p>
        </w:tc>
      </w:tr>
    </w:tbl>
    <w:p>
      <w:pPr>
        <w:spacing w:after="80"/>
      </w:pPr>
    </w:p>
    <w:p>
      <w:pPr>
        <w:pStyle w:val="Heading2"/>
        <w:spacing w:after="160" w:before="340"/>
      </w:pPr>
      <w:r>
        <w:rPr>
          <w:b/>
          <w:bCs/>
        </w:rPr>
        <w:t xml:space="preserve">3.3 Strategic positioning</w:t>
      </w:r>
    </w:p>
    <w:p>
      <w:pPr>
        <w:spacing w:after="200" w:line="288"/>
        <w:jc w:val="left"/>
      </w:pPr>
      <w:r>
        <w:t xml:space="preserve">The clearest framing: this is a six-sided marketplace, not a single product. The diagram below maps who trades what with the platform — it is the lens the rest of this document, especially pricing and system design, is built around.</w:t>
      </w:r>
    </w:p>
    <w:p>
      <w:pPr>
        <w:spacing w:after="240" w:before="120"/>
        <w:jc w:val="center"/>
      </w:pPr>
      <w:r>
        <w:drawing>
          <wp:inline distT="0" distB="0" distL="0" distR="0">
            <wp:extent cx="5848350" cy="521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5210175"/>
                    </a:xfrm>
                    <a:prstGeom prst="rect">
                      <a:avLst/>
                    </a:prstGeom>
                  </pic:spPr>
                </pic:pic>
              </a:graphicData>
            </a:graphic>
          </wp:inline>
        </w:drawing>
      </w:r>
    </w:p>
    <w:p>
      <w:pPr>
        <w:spacing w:after="300"/>
        <w:jc w:val="center"/>
      </w:pPr>
      <w:r>
        <w:rPr>
          <w:i/>
          <w:iCs/>
          <w:color w:val="6B7280"/>
          <w:sz w:val="17"/>
          <w:szCs w:val="17"/>
        </w:rPr>
        <w:t xml:space="preserve">Figure 1 — The platform as a six-sided marketplace: learners, creators, mentors, enterprise/university partners, hiring partners, and affiliates.</w:t>
      </w:r>
    </w:p>
    <w:p>
      <w:pPr>
        <w:pBdr>
          <w:left w:val="single" w:color="B9762F" w:sz="18" w:space="8"/>
        </w:pBdr>
        <w:shd w:fill="EEF2F7" w:val="clear"/>
        <w:spacing w:after="200" w:line="288"/>
        <w:ind w:left="120"/>
      </w:pPr>
      <w:r>
        <w:rPr>
          <w:b/>
          <w:bCs/>
          <w:color w:val="B9762F"/>
        </w:rPr>
        <w:t xml:space="preserve">Positioning statement:  </w:t>
      </w:r>
      <w:r>
        <w:rPr>
          <w:b w:val="false"/>
          <w:bCs w:val="false"/>
          <w:i w:val="false"/>
          <w:iCs w:val="false"/>
        </w:rPr>
        <w:t xml:space="preserve">“Shopify for technical educators, with a mentor-graded project layer productized as a first-class, independently purchasable catalog — not a bolt-on capstone.” Courses prove you learned something; mentor-guided projects prove you can do the job. Selling both, separately or together, through one cart, is the differentiator no single named competitor currently owns.</w:t>
      </w:r>
    </w:p>
    <w:p>
      <w:pPr>
        <w:pStyle w:val="Heading1"/>
        <w:pageBreakBefore/>
        <w:spacing w:after="220" w:before="200"/>
      </w:pPr>
      <w:r>
        <w:rPr>
          <w:b/>
          <w:bCs/>
        </w:rPr>
        <w:t xml:space="preserve">4. Build vs. Buy: The LMS Infrastructure Layer</w:t>
      </w:r>
    </w:p>
    <w:p>
      <w:pPr>
        <w:spacing w:after="200" w:line="288"/>
        <w:jc w:val="left"/>
      </w:pPr>
      <w:r>
        <w:t xml:space="preserve">You asked specifically whether to depend on Fermion (a small company) or lean on more established players. This section reads Fermion's own pricing and product pages closely, places it against the alternatives, and gives a direct recommendation.</w:t>
      </w:r>
    </w:p>
    <w:p>
      <w:pPr>
        <w:pStyle w:val="Heading2"/>
        <w:spacing w:after="160" w:before="340"/>
      </w:pPr>
      <w:r>
        <w:rPr>
          <w:b/>
          <w:bCs/>
        </w:rPr>
        <w:t xml:space="preserve">4.1 What Fermion actually offers</w:t>
      </w:r>
    </w:p>
    <w:p>
      <w:pPr>
        <w:spacing w:after="200" w:line="288"/>
        <w:jc w:val="left"/>
      </w:pPr>
      <w:r>
        <w:t xml:space="preserve">Fermion positions itself as “AI-ready cloud for ed-tech” built specifically for technical creators, bundling four things that are normally four separate vendor relationships:</w:t>
      </w:r>
    </w:p>
    <w:p>
      <w:pPr>
        <w:pStyle w:val="ListParagraph"/>
        <w:numPr>
          <w:ilvl w:val="0"/>
          <w:numId w:val="1"/>
        </w:numPr>
        <w:spacing w:after="90" w:line="276"/>
      </w:pPr>
      <w:r>
        <w:rPr>
          <w:b/>
          <w:bCs/>
          <w:i w:val="false"/>
          <w:iCs w:val="false"/>
        </w:rPr>
        <w:t xml:space="preserve">Managed LMS — </w:t>
      </w:r>
      <w:r>
        <w:rPr>
          <w:b w:val="false"/>
          <w:bCs w:val="false"/>
          <w:i w:val="false"/>
          <w:iCs w:val="false"/>
        </w:rPr>
        <w:t xml:space="preserve">course management, progress tracking, assignments, automated grading, custom enrollment forms, completion certificates, and a 0% platform transaction fee on payments it processes for you.</w:t>
      </w:r>
    </w:p>
    <w:p>
      <w:pPr>
        <w:pStyle w:val="ListParagraph"/>
        <w:numPr>
          <w:ilvl w:val="0"/>
          <w:numId w:val="1"/>
        </w:numPr>
        <w:spacing w:after="90" w:line="276"/>
      </w:pPr>
      <w:r>
        <w:rPr>
          <w:b/>
          <w:bCs/>
          <w:i w:val="false"/>
          <w:iCs w:val="false"/>
        </w:rPr>
        <w:t xml:space="preserve">Live calling infrastructure — </w:t>
      </w:r>
      <w:r>
        <w:rPr>
          <w:b w:val="false"/>
          <w:bCs w:val="false"/>
          <w:i w:val="false"/>
          <w:iCs w:val="false"/>
        </w:rPr>
        <w:t xml:space="preserve">unlimited parallel live calls and webinars “at no additional cost,” positioned explicitly against having to license Zoom/Meet/Webex at scale, plus built-in whiteboard, AI transcription, and analytics.</w:t>
      </w:r>
    </w:p>
    <w:p>
      <w:pPr>
        <w:pStyle w:val="ListParagraph"/>
        <w:numPr>
          <w:ilvl w:val="0"/>
          <w:numId w:val="1"/>
        </w:numPr>
        <w:spacing w:after="90" w:line="276"/>
      </w:pPr>
      <w:r>
        <w:rPr>
          <w:b/>
          <w:bCs/>
          <w:i w:val="false"/>
          <w:iCs w:val="false"/>
        </w:rPr>
        <w:t xml:space="preserve">Coding sandbox / DSA judge — </w:t>
      </w:r>
      <w:r>
        <w:rPr>
          <w:b w:val="false"/>
          <w:bCs w:val="false"/>
          <w:i w:val="false"/>
          <w:iCs w:val="false"/>
        </w:rPr>
        <w:t xml:space="preserve">a real SDK for spinning up and controlling programming sandboxes (file system, streaming command execution) with per-session limits, embeddable directly inside a course — this is the one component none of the general-purpose creator platforms (Graphy, Teachable, Kajabi) offer natively.</w:t>
      </w:r>
    </w:p>
    <w:p>
      <w:pPr>
        <w:pStyle w:val="ListParagraph"/>
        <w:numPr>
          <w:ilvl w:val="0"/>
          <w:numId w:val="1"/>
        </w:numPr>
        <w:spacing w:after="90" w:line="276"/>
      </w:pPr>
      <w:r>
        <w:rPr>
          <w:b/>
          <w:bCs/>
          <w:i w:val="false"/>
          <w:iCs w:val="false"/>
        </w:rPr>
        <w:t xml:space="preserve">Video security — </w:t>
      </w:r>
      <w:r>
        <w:rPr>
          <w:b w:val="false"/>
          <w:bCs w:val="false"/>
          <w:i w:val="false"/>
          <w:iCs w:val="false"/>
        </w:rPr>
        <w:t xml:space="preserve">adaptive streaming with Widevine L1/FairPlay DRM and dynamic watermarking built in, rather than requiring a separate specialist like VdoCipher.</w:t>
      </w:r>
    </w:p>
    <w:p>
      <w:pPr>
        <w:spacing w:after="200" w:line="288"/>
        <w:jc w:val="left"/>
      </w:pPr>
      <w:r>
        <w:t xml:space="preserve">Pricing is unusually aggressive: Basic and Pro both list a $0 base fee, with cost driven almost entirely by metered usage (bandwidth, storage, sandbox-hours, DRM playback licenses, SMS/email, admin seats). Enterprise is custom. A branded Android/iOS app is a $199 one-time add-on. Its public customer list is real but skews toward small-to-mid Indian bootcamps and coaching brands rather than category leaders.</w:t>
      </w:r>
    </w:p>
    <w:p>
      <w:pPr>
        <w:pStyle w:val="Heading2"/>
        <w:spacing w:after="160" w:before="340"/>
      </w:pPr>
      <w:r>
        <w:rPr>
          <w:b/>
          <w:bCs/>
        </w:rPr>
        <w:t xml:space="preserve">4.2 Risk read</w:t>
      </w:r>
    </w:p>
    <w:p>
      <w:pPr>
        <w:pStyle w:val="ListParagraph"/>
        <w:numPr>
          <w:ilvl w:val="0"/>
          <w:numId w:val="1"/>
        </w:numPr>
        <w:spacing w:after="90" w:line="276"/>
      </w:pPr>
      <w:r>
        <w:rPr>
          <w:b/>
          <w:bCs/>
          <w:i w:val="false"/>
          <w:iCs w:val="false"/>
        </w:rPr>
        <w:t xml:space="preserve">Vendor scale and continuity — </w:t>
      </w:r>
      <w:r>
        <w:rPr>
          <w:b w:val="false"/>
          <w:bCs w:val="false"/>
          <w:i w:val="false"/>
          <w:iCs w:val="false"/>
        </w:rPr>
        <w:t xml:space="preserve">Fermion is a small team; there is no published SLA, and its own tier names (Basic / Pro / Enterprise) are the exact generic pattern you were about to adopt for your own product — a small signal that it is built as B2B infrastructure, not as a consumer brand, which is fine for what it is, but a reason not to inherit its defaults uncritically.</w:t>
      </w:r>
    </w:p>
    <w:p>
      <w:pPr>
        <w:pStyle w:val="ListParagraph"/>
        <w:numPr>
          <w:ilvl w:val="0"/>
          <w:numId w:val="1"/>
        </w:numPr>
        <w:spacing w:after="90" w:line="276"/>
      </w:pPr>
      <w:r>
        <w:rPr>
          <w:b/>
          <w:bCs/>
          <w:i w:val="false"/>
          <w:iCs w:val="false"/>
        </w:rPr>
        <w:t xml:space="preserve">A second, newer competitor exists in the same lane — </w:t>
      </w:r>
      <w:r>
        <w:rPr>
          <w:b w:val="false"/>
          <w:bCs w:val="false"/>
          <w:i w:val="false"/>
          <w:iCs w:val="false"/>
        </w:rPr>
        <w:t xml:space="preserve">“Euron Systems,” a white-label “EdTech OS” from Sudhanshu Kumar (founder of iNeuron, which sold to Physics Wallah), explicitly pitches native CRM, HRMS, financial management, DRM, and an AI interview-evaluation system against exactly the “legacy platforms that penalize your success with revenue share” framing Fermion also uses. Worth a side-by-side technical evaluation before committing, precisely because it is new enough that neither vendor has yet proven multi-year durability.</w:t>
      </w:r>
    </w:p>
    <w:p>
      <w:pPr>
        <w:pStyle w:val="ListParagraph"/>
        <w:numPr>
          <w:ilvl w:val="0"/>
          <w:numId w:val="1"/>
        </w:numPr>
        <w:spacing w:after="90" w:line="276"/>
      </w:pPr>
      <w:r>
        <w:rPr>
          <w:b/>
          <w:bCs/>
          <w:i w:val="false"/>
          <w:iCs w:val="false"/>
        </w:rPr>
        <w:t xml:space="preserve">Graphy is the establishment alternative, but built for a different job — </w:t>
      </w:r>
      <w:r>
        <w:rPr>
          <w:b w:val="false"/>
          <w:bCs w:val="false"/>
          <w:i w:val="false"/>
          <w:iCs w:val="false"/>
        </w:rPr>
        <w:t xml:space="preserve">owned by Unacademy (~$3.4B parent), with real scale (200,000+ creators claimed) and enterprise-grade DRM. But its marquee customers (a chess grandmaster, a personal-finance educator) and feature set skew general-purpose — no native code sandbox, no DSA judge. Buying Graphy would mean bolting on a separate code-execution vendor anyway.</w:t>
      </w:r>
    </w:p>
    <w:p>
      <w:pPr>
        <w:pStyle w:val="ListParagraph"/>
        <w:numPr>
          <w:ilvl w:val="0"/>
          <w:numId w:val="1"/>
        </w:numPr>
        <w:spacing w:after="90" w:line="276"/>
      </w:pPr>
      <w:r>
        <w:rPr>
          <w:b/>
          <w:bCs/>
          <w:i w:val="false"/>
          <w:iCs w:val="false"/>
        </w:rPr>
        <w:t xml:space="preserve">The core dependency risk isn’t “will Fermion disappear,” it’s architectural — </w:t>
      </w:r>
      <w:r>
        <w:rPr>
          <w:b w:val="false"/>
          <w:bCs w:val="false"/>
          <w:i w:val="false"/>
          <w:iCs w:val="false"/>
        </w:rPr>
        <w:t xml:space="preserve">the real danger of an all-in-one vendor is designing your own data model and workflows around its assumptions. The mentor-guided project engine, the multi-tenant creator marketplace, and enterprise program packaging are the actual differentiated IP of this business. None of them should live inside a third party's product, regardless of how good that product is today.</w:t>
      </w:r>
    </w:p>
    <w:p>
      <w:pPr>
        <w:pStyle w:val="Heading2"/>
        <w:spacing w:after="160" w:before="340"/>
      </w:pPr>
      <w:r>
        <w:rPr>
          <w:b/>
          <w:bCs/>
        </w:rPr>
        <w:t xml:space="preserve">4.3 Recommendation: rent the commodity layer, own the differentiated layer</w:t>
      </w:r>
    </w:p>
    <w:p>
      <w:pPr>
        <w:pBdr>
          <w:left w:val="single" w:color="B9762F" w:sz="18" w:space="8"/>
        </w:pBdr>
        <w:shd w:fill="EEF2F7" w:val="clear"/>
        <w:spacing w:after="200" w:line="288"/>
        <w:ind w:left="120"/>
      </w:pPr>
      <w:r>
        <w:rPr>
          <w:b/>
          <w:bCs/>
          <w:color w:val="B9762F"/>
        </w:rPr>
        <w:t xml:space="preserve">Recommendation:  </w:t>
      </w:r>
      <w:r>
        <w:rPr>
          <w:b w:val="false"/>
          <w:bCs w:val="false"/>
          <w:i w:val="false"/>
          <w:iCs w:val="false"/>
        </w:rPr>
        <w:t xml:space="preserve">pilot on Fermion (or run a short bake-off against Euron Systems) for video delivery, live-class rendering, and code-sandbox execution for the first 6–12 months, to get to market fast and validate demand — but keep those integrations behind your own service boundary. Your own systems should own the data model, the mentor/project workflow, the multi-tenant commerce layer, and the enterprise packaging from day one, so the underlying video/sandbox/live-class vendor is swappable later without a rebuild. Treat it as a rented engine, not a foundation.</w:t>
      </w:r>
    </w:p>
    <w:p>
      <w:pPr>
        <w:pStyle w:val="Heading3"/>
        <w:spacing w:after="120" w:before="260"/>
      </w:pPr>
      <w:r>
        <w:rPr>
          <w:b/>
          <w:bCs/>
        </w:rPr>
        <w:t xml:space="preserve">Per-component decision matrix</w:t>
      </w:r>
    </w:p>
    <w:tbl>
      <w:tblPr>
        <w:tblW w:type="dxa" w:w="10206"/>
        <w:tblBorders>
          <w:top w:val="single" w:color="C9D1DE" w:sz="4"/>
          <w:left w:val="single" w:color="C9D1DE" w:sz="4"/>
          <w:bottom w:val="single" w:color="C9D1DE" w:sz="4"/>
          <w:right w:val="single" w:color="C9D1DE" w:sz="4"/>
          <w:insideH w:val="single" w:color="C9D1DE" w:sz="4"/>
          <w:insideV w:val="single" w:color="C9D1DE" w:sz="4"/>
        </w:tblBorders>
      </w:tblPr>
      <w:tblGrid>
        <w:gridCol w:w="2041"/>
        <w:gridCol w:w="1633"/>
        <w:gridCol w:w="1939"/>
        <w:gridCol w:w="2041"/>
        <w:gridCol w:w="2552"/>
      </w:tblGrid>
      <w:tr>
        <w:trPr>
          <w:tblHeader/>
        </w:trPr>
        <w:tc>
          <w:tcPr>
            <w:tcW w:type="dxa" w:w="2041"/>
            <w:shd w:fill="1B2A4A" w:val="clear"/>
            <w:tcMar>
              <w:top w:type="dxa" w:w="100"/>
              <w:left w:type="dxa" w:w="110"/>
              <w:bottom w:type="dxa" w:w="100"/>
              <w:right w:type="dxa" w:w="110"/>
            </w:tcMar>
            <w:vAlign w:val="center"/>
          </w:tcPr>
          <w:p>
            <w:pPr>
              <w:spacing w:after="0"/>
            </w:pPr>
            <w:r>
              <w:rPr>
                <w:b/>
                <w:bCs/>
                <w:color w:val="FFFFFF"/>
                <w:sz w:val="18"/>
                <w:szCs w:val="18"/>
              </w:rPr>
              <w:t xml:space="preserve">Component</w:t>
            </w:r>
          </w:p>
        </w:tc>
        <w:tc>
          <w:tcPr>
            <w:tcW w:type="dxa" w:w="1633"/>
            <w:shd w:fill="1B2A4A" w:val="clear"/>
            <w:tcMar>
              <w:top w:type="dxa" w:w="100"/>
              <w:left w:type="dxa" w:w="110"/>
              <w:bottom w:type="dxa" w:w="100"/>
              <w:right w:type="dxa" w:w="110"/>
            </w:tcMar>
            <w:vAlign w:val="center"/>
          </w:tcPr>
          <w:p>
            <w:pPr>
              <w:spacing w:after="0"/>
            </w:pPr>
            <w:r>
              <w:rPr>
                <w:b/>
                <w:bCs/>
                <w:color w:val="FFFFFF"/>
                <w:sz w:val="18"/>
                <w:szCs w:val="18"/>
              </w:rPr>
              <w:t xml:space="preserve">Build in-house</w:t>
            </w:r>
          </w:p>
        </w:tc>
        <w:tc>
          <w:tcPr>
            <w:tcW w:type="dxa" w:w="1939"/>
            <w:shd w:fill="1B2A4A" w:val="clear"/>
            <w:tcMar>
              <w:top w:type="dxa" w:w="100"/>
              <w:left w:type="dxa" w:w="110"/>
              <w:bottom w:type="dxa" w:w="100"/>
              <w:right w:type="dxa" w:w="110"/>
            </w:tcMar>
            <w:vAlign w:val="center"/>
          </w:tcPr>
          <w:p>
            <w:pPr>
              <w:spacing w:after="0"/>
            </w:pPr>
            <w:r>
              <w:rPr>
                <w:b/>
                <w:bCs/>
                <w:color w:val="FFFFFF"/>
                <w:sz w:val="18"/>
                <w:szCs w:val="18"/>
              </w:rPr>
              <w:t xml:space="preserve">Buy: narrow specialist</w:t>
            </w:r>
          </w:p>
        </w:tc>
        <w:tc>
          <w:tcPr>
            <w:tcW w:type="dxa" w:w="2041"/>
            <w:shd w:fill="1B2A4A" w:val="clear"/>
            <w:tcMar>
              <w:top w:type="dxa" w:w="100"/>
              <w:left w:type="dxa" w:w="110"/>
              <w:bottom w:type="dxa" w:w="100"/>
              <w:right w:type="dxa" w:w="110"/>
            </w:tcMar>
            <w:vAlign w:val="center"/>
          </w:tcPr>
          <w:p>
            <w:pPr>
              <w:spacing w:after="0"/>
            </w:pPr>
            <w:r>
              <w:rPr>
                <w:b/>
                <w:bCs/>
                <w:color w:val="FFFFFF"/>
                <w:sz w:val="18"/>
                <w:szCs w:val="18"/>
              </w:rPr>
              <w:t xml:space="preserve">Buy: all-in-one (Fermion-class)</w:t>
            </w:r>
          </w:p>
        </w:tc>
        <w:tc>
          <w:tcPr>
            <w:tcW w:type="dxa" w:w="2552"/>
            <w:shd w:fill="1B2A4A" w:val="clear"/>
            <w:tcMar>
              <w:top w:type="dxa" w:w="100"/>
              <w:left w:type="dxa" w:w="110"/>
              <w:bottom w:type="dxa" w:w="100"/>
              <w:right w:type="dxa" w:w="110"/>
            </w:tcMar>
            <w:vAlign w:val="center"/>
          </w:tcPr>
          <w:p>
            <w:pPr>
              <w:spacing w:after="0"/>
            </w:pPr>
            <w:r>
              <w:rPr>
                <w:b/>
                <w:bCs/>
                <w:color w:val="FFFFFF"/>
                <w:sz w:val="18"/>
                <w:szCs w:val="18"/>
              </w:rPr>
              <w:t xml:space="preserve">Recommendation</w:t>
            </w:r>
          </w:p>
        </w:tc>
      </w:tr>
      <w:tr>
        <w:tc>
          <w:tcPr>
            <w:tcW w:type="dxa" w:w="2041"/>
            <w:tcMar>
              <w:top w:type="dxa" w:w="90"/>
              <w:left w:type="dxa" w:w="110"/>
              <w:bottom w:type="dxa" w:w="90"/>
              <w:right w:type="dxa" w:w="110"/>
            </w:tcMar>
            <w:vAlign w:val="center"/>
          </w:tcPr>
          <w:p>
            <w:pPr>
              <w:spacing w:after="0" w:line="260"/>
            </w:pPr>
            <w:r>
              <w:rPr>
                <w:b w:val="false"/>
                <w:bCs w:val="false"/>
                <w:sz w:val="18"/>
                <w:szCs w:val="18"/>
              </w:rPr>
              <w:t xml:space="preserve">Video hosting + DRM/piracy protection</w:t>
            </w:r>
          </w:p>
        </w:tc>
        <w:tc>
          <w:tcPr>
            <w:tcW w:type="dxa" w:w="1633"/>
            <w:tcMar>
              <w:top w:type="dxa" w:w="90"/>
              <w:left w:type="dxa" w:w="110"/>
              <w:bottom w:type="dxa" w:w="90"/>
              <w:right w:type="dxa" w:w="110"/>
            </w:tcMar>
            <w:vAlign w:val="center"/>
          </w:tcPr>
          <w:p>
            <w:pPr>
              <w:spacing w:after="0" w:line="260"/>
            </w:pPr>
            <w:r>
              <w:rPr>
                <w:b w:val="false"/>
                <w:bCs w:val="false"/>
                <w:sz w:val="18"/>
                <w:szCs w:val="18"/>
              </w:rPr>
              <w:t xml:space="preserve">High effort, low differentiation</w:t>
            </w:r>
          </w:p>
        </w:tc>
        <w:tc>
          <w:tcPr>
            <w:tcW w:type="dxa" w:w="1939"/>
            <w:tcMar>
              <w:top w:type="dxa" w:w="90"/>
              <w:left w:type="dxa" w:w="110"/>
              <w:bottom w:type="dxa" w:w="90"/>
              <w:right w:type="dxa" w:w="110"/>
            </w:tcMar>
            <w:vAlign w:val="center"/>
          </w:tcPr>
          <w:p>
            <w:pPr>
              <w:spacing w:after="0" w:line="260"/>
            </w:pPr>
            <w:r>
              <w:rPr>
                <w:b w:val="false"/>
                <w:bCs w:val="false"/>
                <w:sz w:val="18"/>
                <w:szCs w:val="18"/>
              </w:rPr>
              <w:t xml:space="preserve">VdoCipher, Mux, Cloudflare Stream</w:t>
            </w:r>
          </w:p>
        </w:tc>
        <w:tc>
          <w:tcPr>
            <w:tcW w:type="dxa" w:w="2041"/>
            <w:tcMar>
              <w:top w:type="dxa" w:w="90"/>
              <w:left w:type="dxa" w:w="110"/>
              <w:bottom w:type="dxa" w:w="90"/>
              <w:right w:type="dxa" w:w="110"/>
            </w:tcMar>
            <w:vAlign w:val="center"/>
          </w:tcPr>
          <w:p>
            <w:pPr>
              <w:spacing w:after="0" w:line="260"/>
            </w:pPr>
            <w:r>
              <w:rPr>
                <w:b w:val="false"/>
                <w:bCs w:val="false"/>
                <w:sz w:val="18"/>
                <w:szCs w:val="18"/>
              </w:rPr>
              <w:t xml:space="preserve">Bundled (Fermion, Graphy, Euron Systems)</w:t>
            </w:r>
          </w:p>
        </w:tc>
        <w:tc>
          <w:tcPr>
            <w:tcW w:type="dxa" w:w="2552"/>
            <w:tcMar>
              <w:top w:type="dxa" w:w="90"/>
              <w:left w:type="dxa" w:w="110"/>
              <w:bottom w:type="dxa" w:w="90"/>
              <w:right w:type="dxa" w:w="110"/>
            </w:tcMar>
            <w:vAlign w:val="center"/>
          </w:tcPr>
          <w:p>
            <w:pPr>
              <w:spacing w:after="0" w:line="260"/>
            </w:pPr>
            <w:r>
              <w:rPr>
                <w:b w:val="false"/>
                <w:bCs w:val="false"/>
                <w:sz w:val="18"/>
                <w:szCs w:val="18"/>
              </w:rPr>
              <w:t xml:space="preserve">Buy — commodity, security-critical, not a differentiator</w:t>
            </w:r>
          </w:p>
        </w:tc>
      </w:tr>
      <w:tr>
        <w:tc>
          <w:tcPr>
            <w:tcW w:type="dxa" w:w="2041"/>
            <w:shd w:fill="EEF2F7" w:val="clear"/>
            <w:tcMar>
              <w:top w:type="dxa" w:w="90"/>
              <w:left w:type="dxa" w:w="110"/>
              <w:bottom w:type="dxa" w:w="90"/>
              <w:right w:type="dxa" w:w="110"/>
            </w:tcMar>
            <w:vAlign w:val="center"/>
          </w:tcPr>
          <w:p>
            <w:pPr>
              <w:spacing w:after="0" w:line="260"/>
            </w:pPr>
            <w:r>
              <w:rPr>
                <w:b w:val="false"/>
                <w:bCs w:val="false"/>
                <w:sz w:val="18"/>
                <w:szCs w:val="18"/>
              </w:rPr>
              <w:t xml:space="preserve">Live class rendering</w:t>
            </w:r>
          </w:p>
        </w:tc>
        <w:tc>
          <w:tcPr>
            <w:tcW w:type="dxa" w:w="1633"/>
            <w:shd w:fill="EEF2F7" w:val="clear"/>
            <w:tcMar>
              <w:top w:type="dxa" w:w="90"/>
              <w:left w:type="dxa" w:w="110"/>
              <w:bottom w:type="dxa" w:w="90"/>
              <w:right w:type="dxa" w:w="110"/>
            </w:tcMar>
            <w:vAlign w:val="center"/>
          </w:tcPr>
          <w:p>
            <w:pPr>
              <w:spacing w:after="0" w:line="260"/>
            </w:pPr>
            <w:r>
              <w:rPr>
                <w:b w:val="false"/>
                <w:bCs w:val="false"/>
                <w:sz w:val="18"/>
                <w:szCs w:val="18"/>
              </w:rPr>
              <w:t xml:space="preserve">High effort</w:t>
            </w:r>
          </w:p>
        </w:tc>
        <w:tc>
          <w:tcPr>
            <w:tcW w:type="dxa" w:w="1939"/>
            <w:shd w:fill="EEF2F7" w:val="clear"/>
            <w:tcMar>
              <w:top w:type="dxa" w:w="90"/>
              <w:left w:type="dxa" w:w="110"/>
              <w:bottom w:type="dxa" w:w="90"/>
              <w:right w:type="dxa" w:w="110"/>
            </w:tcMar>
            <w:vAlign w:val="center"/>
          </w:tcPr>
          <w:p>
            <w:pPr>
              <w:spacing w:after="0" w:line="260"/>
            </w:pPr>
            <w:r>
              <w:rPr>
                <w:b w:val="false"/>
                <w:bCs w:val="false"/>
                <w:sz w:val="18"/>
                <w:szCs w:val="18"/>
              </w:rPr>
              <w:t xml:space="preserve">Purpose-built video SDKs</w:t>
            </w:r>
          </w:p>
        </w:tc>
        <w:tc>
          <w:tcPr>
            <w:tcW w:type="dxa" w:w="2041"/>
            <w:shd w:fill="EEF2F7" w:val="clear"/>
            <w:tcMar>
              <w:top w:type="dxa" w:w="90"/>
              <w:left w:type="dxa" w:w="110"/>
              <w:bottom w:type="dxa" w:w="90"/>
              <w:right w:type="dxa" w:w="110"/>
            </w:tcMar>
            <w:vAlign w:val="center"/>
          </w:tcPr>
          <w:p>
            <w:pPr>
              <w:spacing w:after="0" w:line="260"/>
            </w:pPr>
            <w:r>
              <w:rPr>
                <w:b w:val="false"/>
                <w:bCs w:val="false"/>
                <w:sz w:val="18"/>
                <w:szCs w:val="18"/>
              </w:rPr>
              <w:t xml:space="preserve">Bundled, often at better unit economics than per-seat video tools</w:t>
            </w:r>
          </w:p>
        </w:tc>
        <w:tc>
          <w:tcPr>
            <w:tcW w:type="dxa" w:w="2552"/>
            <w:shd w:fill="EEF2F7" w:val="clear"/>
            <w:tcMar>
              <w:top w:type="dxa" w:w="90"/>
              <w:left w:type="dxa" w:w="110"/>
              <w:bottom w:type="dxa" w:w="90"/>
              <w:right w:type="dxa" w:w="110"/>
            </w:tcMar>
            <w:vAlign w:val="center"/>
          </w:tcPr>
          <w:p>
            <w:pPr>
              <w:spacing w:after="0" w:line="260"/>
            </w:pPr>
            <w:r>
              <w:rPr>
                <w:b w:val="false"/>
                <w:bCs w:val="false"/>
                <w:sz w:val="18"/>
                <w:szCs w:val="18"/>
              </w:rPr>
              <w:t xml:space="preserve">Buy — same logic; cost scales badly if self-built early</w:t>
            </w:r>
          </w:p>
        </w:tc>
      </w:tr>
      <w:tr>
        <w:tc>
          <w:tcPr>
            <w:tcW w:type="dxa" w:w="2041"/>
            <w:tcMar>
              <w:top w:type="dxa" w:w="90"/>
              <w:left w:type="dxa" w:w="110"/>
              <w:bottom w:type="dxa" w:w="90"/>
              <w:right w:type="dxa" w:w="110"/>
            </w:tcMar>
            <w:vAlign w:val="center"/>
          </w:tcPr>
          <w:p>
            <w:pPr>
              <w:spacing w:after="0" w:line="260"/>
            </w:pPr>
            <w:r>
              <w:rPr>
                <w:b w:val="false"/>
                <w:bCs w:val="false"/>
                <w:sz w:val="18"/>
                <w:szCs w:val="18"/>
              </w:rPr>
              <w:t xml:space="preserve">Code execution sandbox</w:t>
            </w:r>
          </w:p>
        </w:tc>
        <w:tc>
          <w:tcPr>
            <w:tcW w:type="dxa" w:w="1633"/>
            <w:tcMar>
              <w:top w:type="dxa" w:w="90"/>
              <w:left w:type="dxa" w:w="110"/>
              <w:bottom w:type="dxa" w:w="90"/>
              <w:right w:type="dxa" w:w="110"/>
            </w:tcMar>
            <w:vAlign w:val="center"/>
          </w:tcPr>
          <w:p>
            <w:pPr>
              <w:spacing w:after="0" w:line="260"/>
            </w:pPr>
            <w:r>
              <w:rPr>
                <w:b w:val="false"/>
                <w:bCs w:val="false"/>
                <w:sz w:val="18"/>
                <w:szCs w:val="18"/>
              </w:rPr>
              <w:t xml:space="preserve">Medium–high effort</w:t>
            </w:r>
          </w:p>
        </w:tc>
        <w:tc>
          <w:tcPr>
            <w:tcW w:type="dxa" w:w="1939"/>
            <w:tcMar>
              <w:top w:type="dxa" w:w="90"/>
              <w:left w:type="dxa" w:w="110"/>
              <w:bottom w:type="dxa" w:w="90"/>
              <w:right w:type="dxa" w:w="110"/>
            </w:tcMar>
            <w:vAlign w:val="center"/>
          </w:tcPr>
          <w:p>
            <w:pPr>
              <w:spacing w:after="0" w:line="260"/>
            </w:pPr>
            <w:r>
              <w:rPr>
                <w:b w:val="false"/>
                <w:bCs w:val="false"/>
                <w:sz w:val="18"/>
                <w:szCs w:val="18"/>
              </w:rPr>
              <w:t xml:space="preserve">Judge0 (open-source/hosted), Sphere Engine (commercial)</w:t>
            </w:r>
          </w:p>
        </w:tc>
        <w:tc>
          <w:tcPr>
            <w:tcW w:type="dxa" w:w="2041"/>
            <w:tcMar>
              <w:top w:type="dxa" w:w="90"/>
              <w:left w:type="dxa" w:w="110"/>
              <w:bottom w:type="dxa" w:w="90"/>
              <w:right w:type="dxa" w:w="110"/>
            </w:tcMar>
            <w:vAlign w:val="center"/>
          </w:tcPr>
          <w:p>
            <w:pPr>
              <w:spacing w:after="0" w:line="260"/>
            </w:pPr>
            <w:r>
              <w:rPr>
                <w:b w:val="false"/>
                <w:bCs w:val="false"/>
                <w:sz w:val="18"/>
                <w:szCs w:val="18"/>
              </w:rPr>
              <w:t xml:space="preserve">Bundled natively on Fermion — rare</w:t>
            </w:r>
          </w:p>
        </w:tc>
        <w:tc>
          <w:tcPr>
            <w:tcW w:type="dxa" w:w="2552"/>
            <w:tcMar>
              <w:top w:type="dxa" w:w="90"/>
              <w:left w:type="dxa" w:w="110"/>
              <w:bottom w:type="dxa" w:w="90"/>
              <w:right w:type="dxa" w:w="110"/>
            </w:tcMar>
            <w:vAlign w:val="center"/>
          </w:tcPr>
          <w:p>
            <w:pPr>
              <w:spacing w:after="0" w:line="260"/>
            </w:pPr>
            <w:r>
              <w:rPr>
                <w:b w:val="false"/>
                <w:bCs w:val="false"/>
                <w:sz w:val="18"/>
                <w:szCs w:val="18"/>
              </w:rPr>
              <w:t xml:space="preserve">Buy narrow or bundled; genuinely commoditized, 60–80+ languages available off the shelf</w:t>
            </w:r>
          </w:p>
        </w:tc>
      </w:tr>
      <w:tr>
        <w:tc>
          <w:tcPr>
            <w:tcW w:type="dxa" w:w="2041"/>
            <w:shd w:fill="EEF2F7" w:val="clear"/>
            <w:tcMar>
              <w:top w:type="dxa" w:w="90"/>
              <w:left w:type="dxa" w:w="110"/>
              <w:bottom w:type="dxa" w:w="90"/>
              <w:right w:type="dxa" w:w="110"/>
            </w:tcMar>
            <w:vAlign w:val="center"/>
          </w:tcPr>
          <w:p>
            <w:pPr>
              <w:spacing w:after="0" w:line="260"/>
            </w:pPr>
            <w:r>
              <w:rPr>
                <w:b w:val="false"/>
                <w:bCs w:val="false"/>
                <w:sz w:val="18"/>
                <w:szCs w:val="18"/>
              </w:rPr>
              <w:t xml:space="preserve">Mentor-guided project workflow &amp; rubric engine</w:t>
            </w:r>
          </w:p>
        </w:tc>
        <w:tc>
          <w:tcPr>
            <w:tcW w:type="dxa" w:w="1633"/>
            <w:shd w:fill="EEF2F7" w:val="clear"/>
            <w:tcMar>
              <w:top w:type="dxa" w:w="90"/>
              <w:left w:type="dxa" w:w="110"/>
              <w:bottom w:type="dxa" w:w="90"/>
              <w:right w:type="dxa" w:w="110"/>
            </w:tcMar>
            <w:vAlign w:val="center"/>
          </w:tcPr>
          <w:p>
            <w:pPr>
              <w:spacing w:after="0" w:line="260"/>
            </w:pPr>
            <w:r>
              <w:rPr>
                <w:b w:val="false"/>
                <w:bCs w:val="false"/>
                <w:sz w:val="18"/>
                <w:szCs w:val="18"/>
              </w:rPr>
              <w:t xml:space="preserve">This is the product</w:t>
            </w:r>
          </w:p>
        </w:tc>
        <w:tc>
          <w:tcPr>
            <w:tcW w:type="dxa" w:w="1939"/>
            <w:shd w:fill="EEF2F7" w:val="clear"/>
            <w:tcMar>
              <w:top w:type="dxa" w:w="90"/>
              <w:left w:type="dxa" w:w="110"/>
              <w:bottom w:type="dxa" w:w="90"/>
              <w:right w:type="dxa" w:w="110"/>
            </w:tcMar>
            <w:vAlign w:val="center"/>
          </w:tcPr>
          <w:p>
            <w:pPr>
              <w:spacing w:after="0" w:line="260"/>
            </w:pPr>
            <w:r>
              <w:rPr>
                <w:b w:val="false"/>
                <w:bCs w:val="false"/>
                <w:sz w:val="18"/>
                <w:szCs w:val="18"/>
              </w:rPr>
              <w:t xml:space="preserve">Not available anywhere as a component</w:t>
            </w:r>
          </w:p>
        </w:tc>
        <w:tc>
          <w:tcPr>
            <w:tcW w:type="dxa" w:w="2041"/>
            <w:shd w:fill="EEF2F7" w:val="clear"/>
            <w:tcMar>
              <w:top w:type="dxa" w:w="90"/>
              <w:left w:type="dxa" w:w="110"/>
              <w:bottom w:type="dxa" w:w="90"/>
              <w:right w:type="dxa" w:w="110"/>
            </w:tcMar>
            <w:vAlign w:val="center"/>
          </w:tcPr>
          <w:p>
            <w:pPr>
              <w:spacing w:after="0" w:line="260"/>
            </w:pPr>
            <w:r>
              <w:rPr>
                <w:b w:val="false"/>
                <w:bCs w:val="false"/>
                <w:sz w:val="18"/>
                <w:szCs w:val="18"/>
              </w:rPr>
              <w:t xml:space="preserve">Not offered by any vendor</w:t>
            </w:r>
          </w:p>
        </w:tc>
        <w:tc>
          <w:tcPr>
            <w:tcW w:type="dxa" w:w="2552"/>
            <w:shd w:fill="EEF2F7" w:val="clear"/>
            <w:tcMar>
              <w:top w:type="dxa" w:w="90"/>
              <w:left w:type="dxa" w:w="110"/>
              <w:bottom w:type="dxa" w:w="90"/>
              <w:right w:type="dxa" w:w="110"/>
            </w:tcMar>
            <w:vAlign w:val="center"/>
          </w:tcPr>
          <w:p>
            <w:pPr>
              <w:spacing w:after="0" w:line="260"/>
            </w:pPr>
            <w:r>
              <w:rPr>
                <w:b w:val="false"/>
                <w:bCs w:val="false"/>
                <w:sz w:val="18"/>
                <w:szCs w:val="18"/>
              </w:rPr>
              <w:t xml:space="preserve">Build — core differentiated IP</w:t>
            </w:r>
          </w:p>
        </w:tc>
      </w:tr>
      <w:tr>
        <w:tc>
          <w:tcPr>
            <w:tcW w:type="dxa" w:w="2041"/>
            <w:tcMar>
              <w:top w:type="dxa" w:w="90"/>
              <w:left w:type="dxa" w:w="110"/>
              <w:bottom w:type="dxa" w:w="90"/>
              <w:right w:type="dxa" w:w="110"/>
            </w:tcMar>
            <w:vAlign w:val="center"/>
          </w:tcPr>
          <w:p>
            <w:pPr>
              <w:spacing w:after="0" w:line="260"/>
            </w:pPr>
            <w:r>
              <w:rPr>
                <w:b w:val="false"/>
                <w:bCs w:val="false"/>
                <w:sz w:val="18"/>
                <w:szCs w:val="18"/>
              </w:rPr>
              <w:t xml:space="preserve">Multi-tenant creator storefront &amp; commerce</w:t>
            </w:r>
          </w:p>
        </w:tc>
        <w:tc>
          <w:tcPr>
            <w:tcW w:type="dxa" w:w="1633"/>
            <w:tcMar>
              <w:top w:type="dxa" w:w="90"/>
              <w:left w:type="dxa" w:w="110"/>
              <w:bottom w:type="dxa" w:w="90"/>
              <w:right w:type="dxa" w:w="110"/>
            </w:tcMar>
            <w:vAlign w:val="center"/>
          </w:tcPr>
          <w:p>
            <w:pPr>
              <w:spacing w:after="0" w:line="260"/>
            </w:pPr>
            <w:r>
              <w:rPr>
                <w:b w:val="false"/>
                <w:bCs w:val="false"/>
                <w:sz w:val="18"/>
                <w:szCs w:val="18"/>
              </w:rPr>
              <w:t xml:space="preserve">Core to the business model</w:t>
            </w:r>
          </w:p>
        </w:tc>
        <w:tc>
          <w:tcPr>
            <w:tcW w:type="dxa" w:w="1939"/>
            <w:tcMar>
              <w:top w:type="dxa" w:w="90"/>
              <w:left w:type="dxa" w:w="110"/>
              <w:bottom w:type="dxa" w:w="90"/>
              <w:right w:type="dxa" w:w="110"/>
            </w:tcMar>
            <w:vAlign w:val="center"/>
          </w:tcPr>
          <w:p>
            <w:pPr>
              <w:spacing w:after="0" w:line="260"/>
            </w:pPr>
            <w:r>
              <w:rPr>
                <w:b w:val="false"/>
                <w:bCs w:val="false"/>
                <w:sz w:val="18"/>
                <w:szCs w:val="18"/>
              </w:rPr>
              <w:t xml:space="preserve">Partially: Graphy/Teachable-class (not technical-first)</w:t>
            </w:r>
          </w:p>
        </w:tc>
        <w:tc>
          <w:tcPr>
            <w:tcW w:type="dxa" w:w="2041"/>
            <w:tcMar>
              <w:top w:type="dxa" w:w="90"/>
              <w:left w:type="dxa" w:w="110"/>
              <w:bottom w:type="dxa" w:w="90"/>
              <w:right w:type="dxa" w:w="110"/>
            </w:tcMar>
            <w:vAlign w:val="center"/>
          </w:tcPr>
          <w:p>
            <w:pPr>
              <w:spacing w:after="0" w:line="260"/>
            </w:pPr>
            <w:r>
              <w:rPr>
                <w:b w:val="false"/>
                <w:bCs w:val="false"/>
                <w:sz w:val="18"/>
                <w:szCs w:val="18"/>
              </w:rPr>
              <w:t xml:space="preserve">Partially, but not project-aware</w:t>
            </w:r>
          </w:p>
        </w:tc>
        <w:tc>
          <w:tcPr>
            <w:tcW w:type="dxa" w:w="2552"/>
            <w:tcMar>
              <w:top w:type="dxa" w:w="90"/>
              <w:left w:type="dxa" w:w="110"/>
              <w:bottom w:type="dxa" w:w="90"/>
              <w:right w:type="dxa" w:w="110"/>
            </w:tcMar>
            <w:vAlign w:val="center"/>
          </w:tcPr>
          <w:p>
            <w:pPr>
              <w:spacing w:after="0" w:line="260"/>
            </w:pPr>
            <w:r>
              <w:rPr>
                <w:b w:val="false"/>
                <w:bCs w:val="false"/>
                <w:sz w:val="18"/>
                <w:szCs w:val="18"/>
              </w:rPr>
              <w:t xml:space="preserve">Build — must reflect à la carte cart logic and creator economics you control</w:t>
            </w:r>
          </w:p>
        </w:tc>
      </w:tr>
      <w:tr>
        <w:tc>
          <w:tcPr>
            <w:tcW w:type="dxa" w:w="2041"/>
            <w:shd w:fill="EEF2F7" w:val="clear"/>
            <w:tcMar>
              <w:top w:type="dxa" w:w="90"/>
              <w:left w:type="dxa" w:w="110"/>
              <w:bottom w:type="dxa" w:w="90"/>
              <w:right w:type="dxa" w:w="110"/>
            </w:tcMar>
            <w:vAlign w:val="center"/>
          </w:tcPr>
          <w:p>
            <w:pPr>
              <w:spacing w:after="0" w:line="260"/>
            </w:pPr>
            <w:r>
              <w:rPr>
                <w:b w:val="false"/>
                <w:bCs w:val="false"/>
                <w:sz w:val="18"/>
                <w:szCs w:val="18"/>
              </w:rPr>
              <w:t xml:space="preserve">Payments, payouts, revenue-share ledger</w:t>
            </w:r>
          </w:p>
        </w:tc>
        <w:tc>
          <w:tcPr>
            <w:tcW w:type="dxa" w:w="1633"/>
            <w:shd w:fill="EEF2F7" w:val="clear"/>
            <w:tcMar>
              <w:top w:type="dxa" w:w="90"/>
              <w:left w:type="dxa" w:w="110"/>
              <w:bottom w:type="dxa" w:w="90"/>
              <w:right w:type="dxa" w:w="110"/>
            </w:tcMar>
            <w:vAlign w:val="center"/>
          </w:tcPr>
          <w:p>
            <w:pPr>
              <w:spacing w:after="0" w:line="260"/>
            </w:pPr>
            <w:r>
              <w:rPr>
                <w:b w:val="false"/>
                <w:bCs w:val="false"/>
                <w:sz w:val="18"/>
                <w:szCs w:val="18"/>
              </w:rPr>
              <w:t xml:space="preserve">Medium effort</w:t>
            </w:r>
          </w:p>
        </w:tc>
        <w:tc>
          <w:tcPr>
            <w:tcW w:type="dxa" w:w="1939"/>
            <w:shd w:fill="EEF2F7" w:val="clear"/>
            <w:tcMar>
              <w:top w:type="dxa" w:w="90"/>
              <w:left w:type="dxa" w:w="110"/>
              <w:bottom w:type="dxa" w:w="90"/>
              <w:right w:type="dxa" w:w="110"/>
            </w:tcMar>
            <w:vAlign w:val="center"/>
          </w:tcPr>
          <w:p>
            <w:pPr>
              <w:spacing w:after="0" w:line="260"/>
            </w:pPr>
            <w:r>
              <w:rPr>
                <w:b w:val="false"/>
                <w:bCs w:val="false"/>
                <w:sz w:val="18"/>
                <w:szCs w:val="18"/>
              </w:rPr>
              <w:t xml:space="preserve">Payment gateway + ledger logic in-house</w:t>
            </w:r>
          </w:p>
        </w:tc>
        <w:tc>
          <w:tcPr>
            <w:tcW w:type="dxa" w:w="2041"/>
            <w:shd w:fill="EEF2F7" w:val="clear"/>
            <w:tcMar>
              <w:top w:type="dxa" w:w="90"/>
              <w:left w:type="dxa" w:w="110"/>
              <w:bottom w:type="dxa" w:w="90"/>
              <w:right w:type="dxa" w:w="110"/>
            </w:tcMar>
            <w:vAlign w:val="center"/>
          </w:tcPr>
          <w:p>
            <w:pPr>
              <w:spacing w:after="0" w:line="260"/>
            </w:pPr>
            <w:r>
              <w:rPr>
                <w:b w:val="false"/>
                <w:bCs w:val="false"/>
                <w:sz w:val="18"/>
                <w:szCs w:val="18"/>
              </w:rPr>
              <w:t xml:space="preserve">Often bundled (Fermion handles payouts)</w:t>
            </w:r>
          </w:p>
        </w:tc>
        <w:tc>
          <w:tcPr>
            <w:tcW w:type="dxa" w:w="2552"/>
            <w:shd w:fill="EEF2F7" w:val="clear"/>
            <w:tcMar>
              <w:top w:type="dxa" w:w="90"/>
              <w:left w:type="dxa" w:w="110"/>
              <w:bottom w:type="dxa" w:w="90"/>
              <w:right w:type="dxa" w:w="110"/>
            </w:tcMar>
            <w:vAlign w:val="center"/>
          </w:tcPr>
          <w:p>
            <w:pPr>
              <w:spacing w:after="0" w:line="260"/>
            </w:pPr>
            <w:r>
              <w:rPr>
                <w:b w:val="false"/>
                <w:bCs w:val="false"/>
                <w:sz w:val="18"/>
                <w:szCs w:val="18"/>
              </w:rPr>
              <w:t xml:space="preserve">Hybrid — buy the payment gateway, build the ledger/split logic</w:t>
            </w:r>
          </w:p>
        </w:tc>
      </w:tr>
      <w:tr>
        <w:tc>
          <w:tcPr>
            <w:tcW w:type="dxa" w:w="2041"/>
            <w:tcMar>
              <w:top w:type="dxa" w:w="90"/>
              <w:left w:type="dxa" w:w="110"/>
              <w:bottom w:type="dxa" w:w="90"/>
              <w:right w:type="dxa" w:w="110"/>
            </w:tcMar>
            <w:vAlign w:val="center"/>
          </w:tcPr>
          <w:p>
            <w:pPr>
              <w:spacing w:after="0" w:line="260"/>
            </w:pPr>
            <w:r>
              <w:rPr>
                <w:b w:val="false"/>
                <w:bCs w:val="false"/>
                <w:sz w:val="18"/>
                <w:szCs w:val="18"/>
              </w:rPr>
              <w:t xml:space="preserve">Enterprise program packaging &amp; reporting</w:t>
            </w:r>
          </w:p>
        </w:tc>
        <w:tc>
          <w:tcPr>
            <w:tcW w:type="dxa" w:w="1633"/>
            <w:tcMar>
              <w:top w:type="dxa" w:w="90"/>
              <w:left w:type="dxa" w:w="110"/>
              <w:bottom w:type="dxa" w:w="90"/>
              <w:right w:type="dxa" w:w="110"/>
            </w:tcMar>
            <w:vAlign w:val="center"/>
          </w:tcPr>
          <w:p>
            <w:pPr>
              <w:spacing w:after="0" w:line="260"/>
            </w:pPr>
            <w:r>
              <w:rPr>
                <w:b w:val="false"/>
                <w:bCs w:val="false"/>
                <w:sz w:val="18"/>
                <w:szCs w:val="18"/>
              </w:rPr>
              <w:t xml:space="preserve">Core to enterprise GTM</w:t>
            </w:r>
          </w:p>
        </w:tc>
        <w:tc>
          <w:tcPr>
            <w:tcW w:type="dxa" w:w="1939"/>
            <w:tcMar>
              <w:top w:type="dxa" w:w="90"/>
              <w:left w:type="dxa" w:w="110"/>
              <w:bottom w:type="dxa" w:w="90"/>
              <w:right w:type="dxa" w:w="110"/>
            </w:tcMar>
            <w:vAlign w:val="center"/>
          </w:tcPr>
          <w:p>
            <w:pPr>
              <w:spacing w:after="0" w:line="260"/>
            </w:pPr>
            <w:r>
              <w:rPr>
                <w:b w:val="false"/>
                <w:bCs w:val="false"/>
                <w:sz w:val="18"/>
                <w:szCs w:val="18"/>
              </w:rPr>
              <w:t xml:space="preserve">Not available</w:t>
            </w:r>
          </w:p>
        </w:tc>
        <w:tc>
          <w:tcPr>
            <w:tcW w:type="dxa" w:w="2041"/>
            <w:tcMar>
              <w:top w:type="dxa" w:w="90"/>
              <w:left w:type="dxa" w:w="110"/>
              <w:bottom w:type="dxa" w:w="90"/>
              <w:right w:type="dxa" w:w="110"/>
            </w:tcMar>
            <w:vAlign w:val="center"/>
          </w:tcPr>
          <w:p>
            <w:pPr>
              <w:spacing w:after="0" w:line="260"/>
            </w:pPr>
            <w:r>
              <w:rPr>
                <w:b w:val="false"/>
                <w:bCs w:val="false"/>
                <w:sz w:val="18"/>
                <w:szCs w:val="18"/>
              </w:rPr>
              <w:t xml:space="preserve">Not available</w:t>
            </w:r>
          </w:p>
        </w:tc>
        <w:tc>
          <w:tcPr>
            <w:tcW w:type="dxa" w:w="2552"/>
            <w:tcMar>
              <w:top w:type="dxa" w:w="90"/>
              <w:left w:type="dxa" w:w="110"/>
              <w:bottom w:type="dxa" w:w="90"/>
              <w:right w:type="dxa" w:w="110"/>
            </w:tcMar>
            <w:vAlign w:val="center"/>
          </w:tcPr>
          <w:p>
            <w:pPr>
              <w:spacing w:after="0" w:line="260"/>
            </w:pPr>
            <w:r>
              <w:rPr>
                <w:b w:val="false"/>
                <w:bCs w:val="false"/>
                <w:sz w:val="18"/>
                <w:szCs w:val="18"/>
              </w:rPr>
              <w:t xml:space="preserve">Build — this is the enterprise product</w:t>
            </w:r>
          </w:p>
        </w:tc>
      </w:tr>
    </w:tbl>
    <w:p>
      <w:pPr>
        <w:pStyle w:val="Heading1"/>
        <w:pageBreakBefore/>
        <w:spacing w:after="220" w:before="200"/>
      </w:pPr>
      <w:r>
        <w:rPr>
          <w:b/>
          <w:bCs/>
        </w:rPr>
        <w:t xml:space="preserve">5. Users &amp; Personas</w:t>
      </w:r>
    </w:p>
    <w:p>
      <w:pPr>
        <w:spacing w:after="200" w:line="288"/>
        <w:jc w:val="left"/>
      </w:pPr>
      <w:r>
        <w:t xml:space="preserve">Nine personas across the six-sided marketplace. Every feature and pricing decision in this document should map back to at least one of these.</w:t>
      </w:r>
    </w:p>
    <w:tbl>
      <w:tblPr>
        <w:tblW w:type="dxa" w:w="10206"/>
        <w:tblBorders>
          <w:top w:val="single" w:color="C9D1DE" w:sz="4"/>
          <w:left w:val="single" w:color="C9D1DE" w:sz="4"/>
          <w:bottom w:val="single" w:color="C9D1DE" w:sz="4"/>
          <w:right w:val="single" w:color="C9D1DE" w:sz="4"/>
          <w:insideH w:val="single" w:color="C9D1DE" w:sz="4"/>
          <w:insideV w:val="single" w:color="C9D1DE" w:sz="4"/>
        </w:tblBorders>
      </w:tblPr>
      <w:tblGrid>
        <w:gridCol w:w="1939"/>
        <w:gridCol w:w="2449"/>
        <w:gridCol w:w="2858"/>
        <w:gridCol w:w="2960"/>
      </w:tblGrid>
      <w:tr>
        <w:trPr>
          <w:tblHeader/>
        </w:trPr>
        <w:tc>
          <w:tcPr>
            <w:tcW w:type="dxa" w:w="1939"/>
            <w:shd w:fill="1B2A4A" w:val="clear"/>
            <w:tcMar>
              <w:top w:type="dxa" w:w="100"/>
              <w:left w:type="dxa" w:w="110"/>
              <w:bottom w:type="dxa" w:w="100"/>
              <w:right w:type="dxa" w:w="110"/>
            </w:tcMar>
            <w:vAlign w:val="center"/>
          </w:tcPr>
          <w:p>
            <w:pPr>
              <w:spacing w:after="0"/>
            </w:pPr>
            <w:r>
              <w:rPr>
                <w:b/>
                <w:bCs/>
                <w:color w:val="FFFFFF"/>
                <w:sz w:val="18"/>
                <w:szCs w:val="18"/>
              </w:rPr>
              <w:t xml:space="preserve">Persona</w:t>
            </w:r>
          </w:p>
        </w:tc>
        <w:tc>
          <w:tcPr>
            <w:tcW w:type="dxa" w:w="2449"/>
            <w:shd w:fill="1B2A4A" w:val="clear"/>
            <w:tcMar>
              <w:top w:type="dxa" w:w="100"/>
              <w:left w:type="dxa" w:w="110"/>
              <w:bottom w:type="dxa" w:w="100"/>
              <w:right w:type="dxa" w:w="110"/>
            </w:tcMar>
            <w:vAlign w:val="center"/>
          </w:tcPr>
          <w:p>
            <w:pPr>
              <w:spacing w:after="0"/>
            </w:pPr>
            <w:r>
              <w:rPr>
                <w:b/>
                <w:bCs/>
                <w:color w:val="FFFFFF"/>
                <w:sz w:val="18"/>
                <w:szCs w:val="18"/>
              </w:rPr>
              <w:t xml:space="preserve">Who they are</w:t>
            </w:r>
          </w:p>
        </w:tc>
        <w:tc>
          <w:tcPr>
            <w:tcW w:type="dxa" w:w="2858"/>
            <w:shd w:fill="1B2A4A" w:val="clear"/>
            <w:tcMar>
              <w:top w:type="dxa" w:w="100"/>
              <w:left w:type="dxa" w:w="110"/>
              <w:bottom w:type="dxa" w:w="100"/>
              <w:right w:type="dxa" w:w="110"/>
            </w:tcMar>
            <w:vAlign w:val="center"/>
          </w:tcPr>
          <w:p>
            <w:pPr>
              <w:spacing w:after="0"/>
            </w:pPr>
            <w:r>
              <w:rPr>
                <w:b/>
                <w:bCs/>
                <w:color w:val="FFFFFF"/>
                <w:sz w:val="18"/>
                <w:szCs w:val="18"/>
              </w:rPr>
              <w:t xml:space="preserve">Core need</w:t>
            </w:r>
          </w:p>
        </w:tc>
        <w:tc>
          <w:tcPr>
            <w:tcW w:type="dxa" w:w="2960"/>
            <w:shd w:fill="1B2A4A" w:val="clear"/>
            <w:tcMar>
              <w:top w:type="dxa" w:w="100"/>
              <w:left w:type="dxa" w:w="110"/>
              <w:bottom w:type="dxa" w:w="100"/>
              <w:right w:type="dxa" w:w="110"/>
            </w:tcMar>
            <w:vAlign w:val="center"/>
          </w:tcPr>
          <w:p>
            <w:pPr>
              <w:spacing w:after="0"/>
            </w:pPr>
            <w:r>
              <w:rPr>
                <w:b/>
                <w:bCs/>
                <w:color w:val="FFFFFF"/>
                <w:sz w:val="18"/>
                <w:szCs w:val="18"/>
              </w:rPr>
              <w:t xml:space="preserve">Primary entry point</w:t>
            </w:r>
          </w:p>
        </w:tc>
      </w:tr>
      <w:tr>
        <w:tc>
          <w:tcPr>
            <w:tcW w:type="dxa" w:w="1939"/>
            <w:tcMar>
              <w:top w:type="dxa" w:w="90"/>
              <w:left w:type="dxa" w:w="110"/>
              <w:bottom w:type="dxa" w:w="90"/>
              <w:right w:type="dxa" w:w="110"/>
            </w:tcMar>
            <w:vAlign w:val="center"/>
          </w:tcPr>
          <w:p>
            <w:pPr>
              <w:spacing w:after="0" w:line="260"/>
            </w:pPr>
            <w:r>
              <w:rPr>
                <w:b w:val="false"/>
                <w:bCs w:val="false"/>
                <w:sz w:val="18"/>
                <w:szCs w:val="18"/>
              </w:rPr>
              <w:t xml:space="preserve">Self-paced learner</w:t>
            </w:r>
          </w:p>
        </w:tc>
        <w:tc>
          <w:tcPr>
            <w:tcW w:type="dxa" w:w="2449"/>
            <w:tcMar>
              <w:top w:type="dxa" w:w="90"/>
              <w:left w:type="dxa" w:w="110"/>
              <w:bottom w:type="dxa" w:w="90"/>
              <w:right w:type="dxa" w:w="110"/>
            </w:tcMar>
            <w:vAlign w:val="center"/>
          </w:tcPr>
          <w:p>
            <w:pPr>
              <w:spacing w:after="0" w:line="260"/>
            </w:pPr>
            <w:r>
              <w:rPr>
                <w:b w:val="false"/>
                <w:bCs w:val="false"/>
                <w:sz w:val="18"/>
                <w:szCs w:val="18"/>
              </w:rPr>
              <w:t xml:space="preserve">Working professional or student, budget- and time-constrained</w:t>
            </w:r>
          </w:p>
        </w:tc>
        <w:tc>
          <w:tcPr>
            <w:tcW w:type="dxa" w:w="2858"/>
            <w:tcMar>
              <w:top w:type="dxa" w:w="90"/>
              <w:left w:type="dxa" w:w="110"/>
              <w:bottom w:type="dxa" w:w="90"/>
              <w:right w:type="dxa" w:w="110"/>
            </w:tcMar>
            <w:vAlign w:val="center"/>
          </w:tcPr>
          <w:p>
            <w:pPr>
              <w:spacing w:after="0" w:line="260"/>
            </w:pPr>
            <w:r>
              <w:rPr>
                <w:b w:val="false"/>
                <w:bCs w:val="false"/>
                <w:sz w:val="18"/>
                <w:szCs w:val="18"/>
              </w:rPr>
              <w:t xml:space="preserve">Flexible, credible skill-building at a fair price</w:t>
            </w:r>
          </w:p>
        </w:tc>
        <w:tc>
          <w:tcPr>
            <w:tcW w:type="dxa" w:w="2960"/>
            <w:tcMar>
              <w:top w:type="dxa" w:w="90"/>
              <w:left w:type="dxa" w:w="110"/>
              <w:bottom w:type="dxa" w:w="90"/>
              <w:right w:type="dxa" w:w="110"/>
            </w:tcMar>
            <w:vAlign w:val="center"/>
          </w:tcPr>
          <w:p>
            <w:pPr>
              <w:spacing w:after="0" w:line="260"/>
            </w:pPr>
            <w:r>
              <w:rPr>
                <w:b w:val="false"/>
                <w:bCs w:val="false"/>
                <w:sz w:val="18"/>
                <w:szCs w:val="18"/>
              </w:rPr>
              <w:t xml:space="preserve">Course catalog / creator storefront</w:t>
            </w:r>
          </w:p>
        </w:tc>
      </w:tr>
      <w:tr>
        <w:tc>
          <w:tcPr>
            <w:tcW w:type="dxa" w:w="1939"/>
            <w:shd w:fill="EEF2F7" w:val="clear"/>
            <w:tcMar>
              <w:top w:type="dxa" w:w="90"/>
              <w:left w:type="dxa" w:w="110"/>
              <w:bottom w:type="dxa" w:w="90"/>
              <w:right w:type="dxa" w:w="110"/>
            </w:tcMar>
            <w:vAlign w:val="center"/>
          </w:tcPr>
          <w:p>
            <w:pPr>
              <w:spacing w:after="0" w:line="260"/>
            </w:pPr>
            <w:r>
              <w:rPr>
                <w:b w:val="false"/>
                <w:bCs w:val="false"/>
                <w:sz w:val="18"/>
                <w:szCs w:val="18"/>
              </w:rPr>
              <w:t xml:space="preserve">Live-cohort learner</w:t>
            </w:r>
          </w:p>
        </w:tc>
        <w:tc>
          <w:tcPr>
            <w:tcW w:type="dxa" w:w="2449"/>
            <w:shd w:fill="EEF2F7" w:val="clear"/>
            <w:tcMar>
              <w:top w:type="dxa" w:w="90"/>
              <w:left w:type="dxa" w:w="110"/>
              <w:bottom w:type="dxa" w:w="90"/>
              <w:right w:type="dxa" w:w="110"/>
            </w:tcMar>
            <w:vAlign w:val="center"/>
          </w:tcPr>
          <w:p>
            <w:pPr>
              <w:spacing w:after="0" w:line="260"/>
            </w:pPr>
            <w:r>
              <w:rPr>
                <w:b w:val="false"/>
                <w:bCs w:val="false"/>
                <w:sz w:val="18"/>
                <w:szCs w:val="18"/>
              </w:rPr>
              <w:t xml:space="preserve">Wants structure, accountability, and real-time doubt-solving</w:t>
            </w:r>
          </w:p>
        </w:tc>
        <w:tc>
          <w:tcPr>
            <w:tcW w:type="dxa" w:w="2858"/>
            <w:shd w:fill="EEF2F7" w:val="clear"/>
            <w:tcMar>
              <w:top w:type="dxa" w:w="90"/>
              <w:left w:type="dxa" w:w="110"/>
              <w:bottom w:type="dxa" w:w="90"/>
              <w:right w:type="dxa" w:w="110"/>
            </w:tcMar>
            <w:vAlign w:val="center"/>
          </w:tcPr>
          <w:p>
            <w:pPr>
              <w:spacing w:after="0" w:line="260"/>
            </w:pPr>
            <w:r>
              <w:rPr>
                <w:b w:val="false"/>
                <w:bCs w:val="false"/>
                <w:sz w:val="18"/>
                <w:szCs w:val="18"/>
              </w:rPr>
              <w:t xml:space="preserve">A scheduled, peer-accompanied learning experience</w:t>
            </w:r>
          </w:p>
        </w:tc>
        <w:tc>
          <w:tcPr>
            <w:tcW w:type="dxa" w:w="2960"/>
            <w:shd w:fill="EEF2F7" w:val="clear"/>
            <w:tcMar>
              <w:top w:type="dxa" w:w="90"/>
              <w:left w:type="dxa" w:w="110"/>
              <w:bottom w:type="dxa" w:w="90"/>
              <w:right w:type="dxa" w:w="110"/>
            </w:tcMar>
            <w:vAlign w:val="center"/>
          </w:tcPr>
          <w:p>
            <w:pPr>
              <w:spacing w:after="0" w:line="260"/>
            </w:pPr>
            <w:r>
              <w:rPr>
                <w:b w:val="false"/>
                <w:bCs w:val="false"/>
                <w:sz w:val="18"/>
                <w:szCs w:val="18"/>
              </w:rPr>
              <w:t xml:space="preserve">Live cohort listings</w:t>
            </w:r>
          </w:p>
        </w:tc>
      </w:tr>
      <w:tr>
        <w:tc>
          <w:tcPr>
            <w:tcW w:type="dxa" w:w="1939"/>
            <w:tcMar>
              <w:top w:type="dxa" w:w="90"/>
              <w:left w:type="dxa" w:w="110"/>
              <w:bottom w:type="dxa" w:w="90"/>
              <w:right w:type="dxa" w:w="110"/>
            </w:tcMar>
            <w:vAlign w:val="center"/>
          </w:tcPr>
          <w:p>
            <w:pPr>
              <w:spacing w:after="0" w:line="260"/>
            </w:pPr>
            <w:r>
              <w:rPr>
                <w:b w:val="false"/>
                <w:bCs w:val="false"/>
                <w:sz w:val="18"/>
                <w:szCs w:val="18"/>
              </w:rPr>
              <w:t xml:space="preserve">Project-only learner</w:t>
            </w:r>
          </w:p>
        </w:tc>
        <w:tc>
          <w:tcPr>
            <w:tcW w:type="dxa" w:w="2449"/>
            <w:tcMar>
              <w:top w:type="dxa" w:w="90"/>
              <w:left w:type="dxa" w:w="110"/>
              <w:bottom w:type="dxa" w:w="90"/>
              <w:right w:type="dxa" w:w="110"/>
            </w:tcMar>
            <w:vAlign w:val="center"/>
          </w:tcPr>
          <w:p>
            <w:pPr>
              <w:spacing w:after="0" w:line="260"/>
            </w:pPr>
            <w:r>
              <w:rPr>
                <w:b w:val="false"/>
                <w:bCs w:val="false"/>
                <w:sz w:val="18"/>
                <w:szCs w:val="18"/>
              </w:rPr>
              <w:t xml:space="preserve">Already has the theory; wants verified, portfolio-grade proof of work</w:t>
            </w:r>
          </w:p>
        </w:tc>
        <w:tc>
          <w:tcPr>
            <w:tcW w:type="dxa" w:w="2858"/>
            <w:tcMar>
              <w:top w:type="dxa" w:w="90"/>
              <w:left w:type="dxa" w:w="110"/>
              <w:bottom w:type="dxa" w:w="90"/>
              <w:right w:type="dxa" w:w="110"/>
            </w:tcMar>
            <w:vAlign w:val="center"/>
          </w:tcPr>
          <w:p>
            <w:pPr>
              <w:spacing w:after="0" w:line="260"/>
            </w:pPr>
            <w:r>
              <w:rPr>
                <w:b w:val="false"/>
                <w:bCs w:val="false"/>
                <w:sz w:val="18"/>
                <w:szCs w:val="18"/>
              </w:rPr>
              <w:t xml:space="preserve">A hard, mentor-reviewed project without buying a full course</w:t>
            </w:r>
          </w:p>
        </w:tc>
        <w:tc>
          <w:tcPr>
            <w:tcW w:type="dxa" w:w="2960"/>
            <w:tcMar>
              <w:top w:type="dxa" w:w="90"/>
              <w:left w:type="dxa" w:w="110"/>
              <w:bottom w:type="dxa" w:w="90"/>
              <w:right w:type="dxa" w:w="110"/>
            </w:tcMar>
            <w:vAlign w:val="center"/>
          </w:tcPr>
          <w:p>
            <w:pPr>
              <w:spacing w:after="0" w:line="260"/>
            </w:pPr>
            <w:r>
              <w:rPr>
                <w:b w:val="false"/>
                <w:bCs w:val="false"/>
                <w:sz w:val="18"/>
                <w:szCs w:val="18"/>
              </w:rPr>
              <w:t xml:space="preserve">Project marketplace, purchased à la carte</w:t>
            </w:r>
          </w:p>
        </w:tc>
      </w:tr>
      <w:tr>
        <w:tc>
          <w:tcPr>
            <w:tcW w:type="dxa" w:w="1939"/>
            <w:shd w:fill="EEF2F7" w:val="clear"/>
            <w:tcMar>
              <w:top w:type="dxa" w:w="90"/>
              <w:left w:type="dxa" w:w="110"/>
              <w:bottom w:type="dxa" w:w="90"/>
              <w:right w:type="dxa" w:w="110"/>
            </w:tcMar>
            <w:vAlign w:val="center"/>
          </w:tcPr>
          <w:p>
            <w:pPr>
              <w:spacing w:after="0" w:line="260"/>
            </w:pPr>
            <w:r>
              <w:rPr>
                <w:b w:val="false"/>
                <w:bCs w:val="false"/>
                <w:sz w:val="18"/>
                <w:szCs w:val="18"/>
              </w:rPr>
              <w:t xml:space="preserve">Enterprise / university learner</w:t>
            </w:r>
          </w:p>
        </w:tc>
        <w:tc>
          <w:tcPr>
            <w:tcW w:type="dxa" w:w="2449"/>
            <w:shd w:fill="EEF2F7" w:val="clear"/>
            <w:tcMar>
              <w:top w:type="dxa" w:w="90"/>
              <w:left w:type="dxa" w:w="110"/>
              <w:bottom w:type="dxa" w:w="90"/>
              <w:right w:type="dxa" w:w="110"/>
            </w:tcMar>
            <w:vAlign w:val="center"/>
          </w:tcPr>
          <w:p>
            <w:pPr>
              <w:spacing w:after="0" w:line="260"/>
            </w:pPr>
            <w:r>
              <w:rPr>
                <w:b w:val="false"/>
                <w:bCs w:val="false"/>
                <w:sz w:val="18"/>
                <w:szCs w:val="18"/>
              </w:rPr>
              <w:t xml:space="preserve">Employee or student enrolled via an institutional contract</w:t>
            </w:r>
          </w:p>
        </w:tc>
        <w:tc>
          <w:tcPr>
            <w:tcW w:type="dxa" w:w="2858"/>
            <w:shd w:fill="EEF2F7" w:val="clear"/>
            <w:tcMar>
              <w:top w:type="dxa" w:w="90"/>
              <w:left w:type="dxa" w:w="110"/>
              <w:bottom w:type="dxa" w:w="90"/>
              <w:right w:type="dxa" w:w="110"/>
            </w:tcMar>
            <w:vAlign w:val="center"/>
          </w:tcPr>
          <w:p>
            <w:pPr>
              <w:spacing w:after="0" w:line="260"/>
            </w:pPr>
            <w:r>
              <w:rPr>
                <w:b w:val="false"/>
                <w:bCs w:val="false"/>
                <w:sz w:val="18"/>
                <w:szCs w:val="18"/>
              </w:rPr>
              <w:t xml:space="preserve">Structured upskilling with institutional credit or credibility</w:t>
            </w:r>
          </w:p>
        </w:tc>
        <w:tc>
          <w:tcPr>
            <w:tcW w:type="dxa" w:w="2960"/>
            <w:shd w:fill="EEF2F7" w:val="clear"/>
            <w:tcMar>
              <w:top w:type="dxa" w:w="90"/>
              <w:left w:type="dxa" w:w="110"/>
              <w:bottom w:type="dxa" w:w="90"/>
              <w:right w:type="dxa" w:w="110"/>
            </w:tcMar>
            <w:vAlign w:val="center"/>
          </w:tcPr>
          <w:p>
            <w:pPr>
              <w:spacing w:after="0" w:line="260"/>
            </w:pPr>
            <w:r>
              <w:rPr>
                <w:b w:val="false"/>
                <w:bCs w:val="false"/>
                <w:sz w:val="18"/>
                <w:szCs w:val="18"/>
              </w:rPr>
              <w:t xml:space="preserve">Organization-branded portal</w:t>
            </w:r>
          </w:p>
        </w:tc>
      </w:tr>
      <w:tr>
        <w:tc>
          <w:tcPr>
            <w:tcW w:type="dxa" w:w="1939"/>
            <w:tcMar>
              <w:top w:type="dxa" w:w="90"/>
              <w:left w:type="dxa" w:w="110"/>
              <w:bottom w:type="dxa" w:w="90"/>
              <w:right w:type="dxa" w:w="110"/>
            </w:tcMar>
            <w:vAlign w:val="center"/>
          </w:tcPr>
          <w:p>
            <w:pPr>
              <w:spacing w:after="0" w:line="260"/>
            </w:pPr>
            <w:r>
              <w:rPr>
                <w:b w:val="false"/>
                <w:bCs w:val="false"/>
                <w:sz w:val="18"/>
                <w:szCs w:val="18"/>
              </w:rPr>
              <w:t xml:space="preserve">Mentor / reviewer</w:t>
            </w:r>
          </w:p>
        </w:tc>
        <w:tc>
          <w:tcPr>
            <w:tcW w:type="dxa" w:w="2449"/>
            <w:tcMar>
              <w:top w:type="dxa" w:w="90"/>
              <w:left w:type="dxa" w:w="110"/>
              <w:bottom w:type="dxa" w:w="90"/>
              <w:right w:type="dxa" w:w="110"/>
            </w:tcMar>
            <w:vAlign w:val="center"/>
          </w:tcPr>
          <w:p>
            <w:pPr>
              <w:spacing w:after="0" w:line="260"/>
            </w:pPr>
            <w:r>
              <w:rPr>
                <w:b w:val="false"/>
                <w:bCs w:val="false"/>
                <w:sz w:val="18"/>
                <w:szCs w:val="18"/>
              </w:rPr>
              <w:t xml:space="preserve">Practicing engineer or senior professional monetizing expertise</w:t>
            </w:r>
          </w:p>
        </w:tc>
        <w:tc>
          <w:tcPr>
            <w:tcW w:type="dxa" w:w="2858"/>
            <w:tcMar>
              <w:top w:type="dxa" w:w="90"/>
              <w:left w:type="dxa" w:w="110"/>
              <w:bottom w:type="dxa" w:w="90"/>
              <w:right w:type="dxa" w:w="110"/>
            </w:tcMar>
            <w:vAlign w:val="center"/>
          </w:tcPr>
          <w:p>
            <w:pPr>
              <w:spacing w:after="0" w:line="260"/>
            </w:pPr>
            <w:r>
              <w:rPr>
                <w:b w:val="false"/>
                <w:bCs w:val="false"/>
                <w:sz w:val="18"/>
                <w:szCs w:val="18"/>
              </w:rPr>
              <w:t xml:space="preserve">Flexible, well-compensated review work with good tooling</w:t>
            </w:r>
          </w:p>
        </w:tc>
        <w:tc>
          <w:tcPr>
            <w:tcW w:type="dxa" w:w="2960"/>
            <w:tcMar>
              <w:top w:type="dxa" w:w="90"/>
              <w:left w:type="dxa" w:w="110"/>
              <w:bottom w:type="dxa" w:w="90"/>
              <w:right w:type="dxa" w:w="110"/>
            </w:tcMar>
            <w:vAlign w:val="center"/>
          </w:tcPr>
          <w:p>
            <w:pPr>
              <w:spacing w:after="0" w:line="260"/>
            </w:pPr>
            <w:r>
              <w:rPr>
                <w:b w:val="false"/>
                <w:bCs w:val="false"/>
                <w:sz w:val="18"/>
                <w:szCs w:val="18"/>
              </w:rPr>
              <w:t xml:space="preserve">Mentor workspace, applies and gets vetted</w:t>
            </w:r>
          </w:p>
        </w:tc>
      </w:tr>
      <w:tr>
        <w:tc>
          <w:tcPr>
            <w:tcW w:type="dxa" w:w="1939"/>
            <w:shd w:fill="EEF2F7" w:val="clear"/>
            <w:tcMar>
              <w:top w:type="dxa" w:w="90"/>
              <w:left w:type="dxa" w:w="110"/>
              <w:bottom w:type="dxa" w:w="90"/>
              <w:right w:type="dxa" w:w="110"/>
            </w:tcMar>
            <w:vAlign w:val="center"/>
          </w:tcPr>
          <w:p>
            <w:pPr>
              <w:spacing w:after="0" w:line="260"/>
            </w:pPr>
            <w:r>
              <w:rPr>
                <w:b w:val="false"/>
                <w:bCs w:val="false"/>
                <w:sz w:val="18"/>
                <w:szCs w:val="18"/>
              </w:rPr>
              <w:t xml:space="preserve">Content creator / instructor</w:t>
            </w:r>
          </w:p>
        </w:tc>
        <w:tc>
          <w:tcPr>
            <w:tcW w:type="dxa" w:w="2449"/>
            <w:shd w:fill="EEF2F7" w:val="clear"/>
            <w:tcMar>
              <w:top w:type="dxa" w:w="90"/>
              <w:left w:type="dxa" w:w="110"/>
              <w:bottom w:type="dxa" w:w="90"/>
              <w:right w:type="dxa" w:w="110"/>
            </w:tcMar>
            <w:vAlign w:val="center"/>
          </w:tcPr>
          <w:p>
            <w:pPr>
              <w:spacing w:after="0" w:line="260"/>
            </w:pPr>
            <w:r>
              <w:rPr>
                <w:b w:val="false"/>
                <w:bCs w:val="false"/>
                <w:sz w:val="18"/>
                <w:szCs w:val="18"/>
              </w:rPr>
              <w:t xml:space="preserve">Technical educator with an audience or ambition to build one</w:t>
            </w:r>
          </w:p>
        </w:tc>
        <w:tc>
          <w:tcPr>
            <w:tcW w:type="dxa" w:w="2858"/>
            <w:shd w:fill="EEF2F7" w:val="clear"/>
            <w:tcMar>
              <w:top w:type="dxa" w:w="90"/>
              <w:left w:type="dxa" w:w="110"/>
              <w:bottom w:type="dxa" w:w="90"/>
              <w:right w:type="dxa" w:w="110"/>
            </w:tcMar>
            <w:vAlign w:val="center"/>
          </w:tcPr>
          <w:p>
            <w:pPr>
              <w:spacing w:after="0" w:line="260"/>
            </w:pPr>
            <w:r>
              <w:rPr>
                <w:b w:val="false"/>
                <w:bCs w:val="false"/>
                <w:sz w:val="18"/>
                <w:szCs w:val="18"/>
              </w:rPr>
              <w:t xml:space="preserve">Teach without becoming a software company</w:t>
            </w:r>
          </w:p>
        </w:tc>
        <w:tc>
          <w:tcPr>
            <w:tcW w:type="dxa" w:w="2960"/>
            <w:shd w:fill="EEF2F7" w:val="clear"/>
            <w:tcMar>
              <w:top w:type="dxa" w:w="90"/>
              <w:left w:type="dxa" w:w="110"/>
              <w:bottom w:type="dxa" w:w="90"/>
              <w:right w:type="dxa" w:w="110"/>
            </w:tcMar>
            <w:vAlign w:val="center"/>
          </w:tcPr>
          <w:p>
            <w:pPr>
              <w:spacing w:after="0" w:line="260"/>
            </w:pPr>
            <w:r>
              <w:rPr>
                <w:b w:val="false"/>
                <w:bCs w:val="false"/>
                <w:sz w:val="18"/>
                <w:szCs w:val="18"/>
              </w:rPr>
              <w:t xml:space="preserve">Creator onboarding &amp; storefront setup</w:t>
            </w:r>
          </w:p>
        </w:tc>
      </w:tr>
      <w:tr>
        <w:tc>
          <w:tcPr>
            <w:tcW w:type="dxa" w:w="1939"/>
            <w:tcMar>
              <w:top w:type="dxa" w:w="90"/>
              <w:left w:type="dxa" w:w="110"/>
              <w:bottom w:type="dxa" w:w="90"/>
              <w:right w:type="dxa" w:w="110"/>
            </w:tcMar>
            <w:vAlign w:val="center"/>
          </w:tcPr>
          <w:p>
            <w:pPr>
              <w:spacing w:after="0" w:line="260"/>
            </w:pPr>
            <w:r>
              <w:rPr>
                <w:b w:val="false"/>
                <w:bCs w:val="false"/>
                <w:sz w:val="18"/>
                <w:szCs w:val="18"/>
              </w:rPr>
              <w:t xml:space="preserve">Enterprise / university partner (admin)</w:t>
            </w:r>
          </w:p>
        </w:tc>
        <w:tc>
          <w:tcPr>
            <w:tcW w:type="dxa" w:w="2449"/>
            <w:tcMar>
              <w:top w:type="dxa" w:w="90"/>
              <w:left w:type="dxa" w:w="110"/>
              <w:bottom w:type="dxa" w:w="90"/>
              <w:right w:type="dxa" w:w="110"/>
            </w:tcMar>
            <w:vAlign w:val="center"/>
          </w:tcPr>
          <w:p>
            <w:pPr>
              <w:spacing w:after="0" w:line="260"/>
            </w:pPr>
            <w:r>
              <w:rPr>
                <w:b w:val="false"/>
                <w:bCs w:val="false"/>
                <w:sz w:val="18"/>
                <w:szCs w:val="18"/>
              </w:rPr>
              <w:t xml:space="preserve">L&amp;D lead or academic program office</w:t>
            </w:r>
          </w:p>
        </w:tc>
        <w:tc>
          <w:tcPr>
            <w:tcW w:type="dxa" w:w="2858"/>
            <w:tcMar>
              <w:top w:type="dxa" w:w="90"/>
              <w:left w:type="dxa" w:w="110"/>
              <w:bottom w:type="dxa" w:w="90"/>
              <w:right w:type="dxa" w:w="110"/>
            </w:tcMar>
            <w:vAlign w:val="center"/>
          </w:tcPr>
          <w:p>
            <w:pPr>
              <w:spacing w:after="0" w:line="260"/>
            </w:pPr>
            <w:r>
              <w:rPr>
                <w:b w:val="false"/>
                <w:bCs w:val="false"/>
                <w:sz w:val="18"/>
                <w:szCs w:val="18"/>
              </w:rPr>
              <w:t xml:space="preserve">A branded, reportable, outcome-verified program</w:t>
            </w:r>
          </w:p>
        </w:tc>
        <w:tc>
          <w:tcPr>
            <w:tcW w:type="dxa" w:w="2960"/>
            <w:tcMar>
              <w:top w:type="dxa" w:w="90"/>
              <w:left w:type="dxa" w:w="110"/>
              <w:bottom w:type="dxa" w:w="90"/>
              <w:right w:type="dxa" w:w="110"/>
            </w:tcMar>
            <w:vAlign w:val="center"/>
          </w:tcPr>
          <w:p>
            <w:pPr>
              <w:spacing w:after="0" w:line="260"/>
            </w:pPr>
            <w:r>
              <w:rPr>
                <w:b w:val="false"/>
                <w:bCs w:val="false"/>
                <w:sz w:val="18"/>
                <w:szCs w:val="18"/>
              </w:rPr>
              <w:t xml:space="preserve">Enterprise sales / partnerships</w:t>
            </w:r>
          </w:p>
        </w:tc>
      </w:tr>
      <w:tr>
        <w:tc>
          <w:tcPr>
            <w:tcW w:type="dxa" w:w="1939"/>
            <w:shd w:fill="EEF2F7" w:val="clear"/>
            <w:tcMar>
              <w:top w:type="dxa" w:w="90"/>
              <w:left w:type="dxa" w:w="110"/>
              <w:bottom w:type="dxa" w:w="90"/>
              <w:right w:type="dxa" w:w="110"/>
            </w:tcMar>
            <w:vAlign w:val="center"/>
          </w:tcPr>
          <w:p>
            <w:pPr>
              <w:spacing w:after="0" w:line="260"/>
            </w:pPr>
            <w:r>
              <w:rPr>
                <w:b w:val="false"/>
                <w:bCs w:val="false"/>
                <w:sz w:val="18"/>
                <w:szCs w:val="18"/>
              </w:rPr>
              <w:t xml:space="preserve">Hiring partner</w:t>
            </w:r>
          </w:p>
        </w:tc>
        <w:tc>
          <w:tcPr>
            <w:tcW w:type="dxa" w:w="2449"/>
            <w:shd w:fill="EEF2F7" w:val="clear"/>
            <w:tcMar>
              <w:top w:type="dxa" w:w="90"/>
              <w:left w:type="dxa" w:w="110"/>
              <w:bottom w:type="dxa" w:w="90"/>
              <w:right w:type="dxa" w:w="110"/>
            </w:tcMar>
            <w:vAlign w:val="center"/>
          </w:tcPr>
          <w:p>
            <w:pPr>
              <w:spacing w:after="0" w:line="260"/>
            </w:pPr>
            <w:r>
              <w:rPr>
                <w:b w:val="false"/>
                <w:bCs w:val="false"/>
                <w:sz w:val="18"/>
                <w:szCs w:val="18"/>
              </w:rPr>
              <w:t xml:space="preserve">Company sourcing verified technical talent</w:t>
            </w:r>
          </w:p>
        </w:tc>
        <w:tc>
          <w:tcPr>
            <w:tcW w:type="dxa" w:w="2858"/>
            <w:shd w:fill="EEF2F7" w:val="clear"/>
            <w:tcMar>
              <w:top w:type="dxa" w:w="90"/>
              <w:left w:type="dxa" w:w="110"/>
              <w:bottom w:type="dxa" w:w="90"/>
              <w:right w:type="dxa" w:w="110"/>
            </w:tcMar>
            <w:vAlign w:val="center"/>
          </w:tcPr>
          <w:p>
            <w:pPr>
              <w:spacing w:after="0" w:line="260"/>
            </w:pPr>
            <w:r>
              <w:rPr>
                <w:b w:val="false"/>
                <w:bCs w:val="false"/>
                <w:sz w:val="18"/>
                <w:szCs w:val="18"/>
              </w:rPr>
              <w:t xml:space="preserve">Access to candidates with proven, reviewed project work</w:t>
            </w:r>
          </w:p>
        </w:tc>
        <w:tc>
          <w:tcPr>
            <w:tcW w:type="dxa" w:w="2960"/>
            <w:shd w:fill="EEF2F7" w:val="clear"/>
            <w:tcMar>
              <w:top w:type="dxa" w:w="90"/>
              <w:left w:type="dxa" w:w="110"/>
              <w:bottom w:type="dxa" w:w="90"/>
              <w:right w:type="dxa" w:w="110"/>
            </w:tcMar>
            <w:vAlign w:val="center"/>
          </w:tcPr>
          <w:p>
            <w:pPr>
              <w:spacing w:after="0" w:line="260"/>
            </w:pPr>
            <w:r>
              <w:rPr>
                <w:b w:val="false"/>
                <w:bCs w:val="false"/>
                <w:sz w:val="18"/>
                <w:szCs w:val="18"/>
              </w:rPr>
              <w:t xml:space="preserve">Talent marketplace dashboard</w:t>
            </w:r>
          </w:p>
        </w:tc>
      </w:tr>
      <w:tr>
        <w:tc>
          <w:tcPr>
            <w:tcW w:type="dxa" w:w="1939"/>
            <w:tcMar>
              <w:top w:type="dxa" w:w="90"/>
              <w:left w:type="dxa" w:w="110"/>
              <w:bottom w:type="dxa" w:w="90"/>
              <w:right w:type="dxa" w:w="110"/>
            </w:tcMar>
            <w:vAlign w:val="center"/>
          </w:tcPr>
          <w:p>
            <w:pPr>
              <w:spacing w:after="0" w:line="260"/>
            </w:pPr>
            <w:r>
              <w:rPr>
                <w:b w:val="false"/>
                <w:bCs w:val="false"/>
                <w:sz w:val="18"/>
                <w:szCs w:val="18"/>
              </w:rPr>
              <w:t xml:space="preserve">Platform admin / trust &amp; safety</w:t>
            </w:r>
          </w:p>
        </w:tc>
        <w:tc>
          <w:tcPr>
            <w:tcW w:type="dxa" w:w="2449"/>
            <w:tcMar>
              <w:top w:type="dxa" w:w="90"/>
              <w:left w:type="dxa" w:w="110"/>
              <w:bottom w:type="dxa" w:w="90"/>
              <w:right w:type="dxa" w:w="110"/>
            </w:tcMar>
            <w:vAlign w:val="center"/>
          </w:tcPr>
          <w:p>
            <w:pPr>
              <w:spacing w:after="0" w:line="260"/>
            </w:pPr>
            <w:r>
              <w:rPr>
                <w:b w:val="false"/>
                <w:bCs w:val="false"/>
                <w:sz w:val="18"/>
                <w:szCs w:val="18"/>
              </w:rPr>
              <w:t xml:space="preserve">Internal operations</w:t>
            </w:r>
          </w:p>
        </w:tc>
        <w:tc>
          <w:tcPr>
            <w:tcW w:type="dxa" w:w="2858"/>
            <w:tcMar>
              <w:top w:type="dxa" w:w="90"/>
              <w:left w:type="dxa" w:w="110"/>
              <w:bottom w:type="dxa" w:w="90"/>
              <w:right w:type="dxa" w:w="110"/>
            </w:tcMar>
            <w:vAlign w:val="center"/>
          </w:tcPr>
          <w:p>
            <w:pPr>
              <w:spacing w:after="0" w:line="260"/>
            </w:pPr>
            <w:r>
              <w:rPr>
                <w:b w:val="false"/>
                <w:bCs w:val="false"/>
                <w:sz w:val="18"/>
                <w:szCs w:val="18"/>
              </w:rPr>
              <w:t xml:space="preserve">Content quality, mentor quality, and integrity at marketplace scale</w:t>
            </w:r>
          </w:p>
        </w:tc>
        <w:tc>
          <w:tcPr>
            <w:tcW w:type="dxa" w:w="2960"/>
            <w:tcMar>
              <w:top w:type="dxa" w:w="90"/>
              <w:left w:type="dxa" w:w="110"/>
              <w:bottom w:type="dxa" w:w="90"/>
              <w:right w:type="dxa" w:w="110"/>
            </w:tcMar>
            <w:vAlign w:val="center"/>
          </w:tcPr>
          <w:p>
            <w:pPr>
              <w:spacing w:after="0" w:line="260"/>
            </w:pPr>
            <w:r>
              <w:rPr>
                <w:b w:val="false"/>
                <w:bCs w:val="false"/>
                <w:sz w:val="18"/>
                <w:szCs w:val="18"/>
              </w:rPr>
              <w:t xml:space="preserve">Internal admin console</w:t>
            </w:r>
          </w:p>
        </w:tc>
      </w:tr>
    </w:tbl>
    <w:p>
      <w:pPr>
        <w:pStyle w:val="Heading1"/>
        <w:pageBreakBefore/>
        <w:spacing w:after="220" w:before="200"/>
      </w:pPr>
      <w:r>
        <w:rPr>
          <w:b/>
          <w:bCs/>
        </w:rPr>
        <w:t xml:space="preserve">6. Product Pillars</w:t>
      </w:r>
    </w:p>
    <w:p>
      <w:pPr>
        <w:pStyle w:val="Heading2"/>
        <w:spacing w:after="160" w:before="340"/>
      </w:pPr>
      <w:r>
        <w:rPr>
          <w:b/>
          <w:bCs/>
        </w:rPr>
        <w:t xml:space="preserve">6.1 Courses Platform</w:t>
      </w:r>
    </w:p>
    <w:p>
      <w:pPr>
        <w:spacing w:after="200" w:line="288"/>
        <w:jc w:val="left"/>
      </w:pPr>
      <w:r>
        <w:t xml:space="preserve">A course is a single content entity with a delivery-mode toggle, not two separate products. The same curriculum can run as a live cohort first (premium price, real-time doubt-solving, cohort community) and convert into a self-paced offering afterward (lower price, evergreen sales) — this matches how Educosys and Edureka already operate, and avoids creators duplicating content for “self-paced” and “live” versions.</w:t>
      </w:r>
    </w:p>
    <w:p>
      <w:pPr>
        <w:pStyle w:val="ListParagraph"/>
        <w:numPr>
          <w:ilvl w:val="0"/>
          <w:numId w:val="1"/>
        </w:numPr>
        <w:spacing w:after="90" w:line="276"/>
      </w:pPr>
      <w:r>
        <w:rPr>
          <w:b/>
          <w:bCs/>
          <w:i w:val="false"/>
          <w:iCs w:val="false"/>
        </w:rPr>
        <w:t xml:space="preserve">Delivery: </w:t>
      </w:r>
      <w:r>
        <w:rPr>
          <w:b w:val="false"/>
          <w:bCs w:val="false"/>
          <w:i w:val="false"/>
          <w:iCs w:val="false"/>
        </w:rPr>
        <w:t xml:space="preserve">recorded video (adaptive streaming, offline download, DRM/watermarking) and live classes (calendar-integrated scheduling — see Section 9.5), with automatic recording hand-off into the self-paced version.</w:t>
      </w:r>
    </w:p>
    <w:p>
      <w:pPr>
        <w:pStyle w:val="ListParagraph"/>
        <w:numPr>
          <w:ilvl w:val="0"/>
          <w:numId w:val="1"/>
        </w:numPr>
        <w:spacing w:after="90" w:line="276"/>
      </w:pPr>
      <w:r>
        <w:rPr>
          <w:b/>
          <w:bCs/>
          <w:i w:val="false"/>
          <w:iCs w:val="false"/>
        </w:rPr>
        <w:t xml:space="preserve">Everything a classroom has: </w:t>
      </w:r>
      <w:r>
        <w:rPr>
          <w:b w:val="false"/>
          <w:bCs w:val="false"/>
          <w:i w:val="false"/>
          <w:iCs w:val="false"/>
        </w:rPr>
        <w:t xml:space="preserve">assignments (manual, auto-graded, and peer-reviewed), quizzes with randomized question banks, embedded code sandboxes inside lessons, discussion/doubt forums scoped per cohort or per course, structured capstone projects, and verifiable completion certificates.</w:t>
      </w:r>
    </w:p>
    <w:p>
      <w:pPr>
        <w:pStyle w:val="ListParagraph"/>
        <w:numPr>
          <w:ilvl w:val="0"/>
          <w:numId w:val="1"/>
        </w:numPr>
        <w:spacing w:after="90" w:line="276"/>
      </w:pPr>
      <w:r>
        <w:rPr>
          <w:b/>
          <w:bCs/>
          <w:i w:val="false"/>
          <w:iCs w:val="false"/>
        </w:rPr>
        <w:t xml:space="preserve">Self-paced and live are a mode, not a fork: </w:t>
      </w:r>
      <w:r>
        <w:rPr>
          <w:b w:val="false"/>
          <w:bCs w:val="false"/>
          <w:i w:val="false"/>
          <w:iCs w:val="false"/>
        </w:rPr>
        <w:t xml:space="preserve">one authoring flow, one content library, one set of analytics — mode only changes scheduling, pricing, and cohort-community features.</w:t>
      </w:r>
    </w:p>
    <w:p>
      <w:pPr>
        <w:pStyle w:val="Heading2"/>
        <w:spacing w:after="160" w:before="340"/>
      </w:pPr>
      <w:r>
        <w:rPr>
          <w:b/>
          <w:bCs/>
        </w:rPr>
        <w:t xml:space="preserve">6.2 Mentor-Guided Projects Platform</w:t>
      </w:r>
    </w:p>
    <w:p>
      <w:pPr>
        <w:spacing w:after="200" w:line="288"/>
        <w:jc w:val="left"/>
      </w:pPr>
      <w:r>
        <w:t xml:space="preserve">This is the pillar with no direct full equivalent among the named competitors, and the one you explicitly want to be “big-tech take-home scale.” The design below answers the open question of text-only vs. mentor-guided directly.</w:t>
      </w:r>
    </w:p>
    <w:p>
      <w:pPr>
        <w:pStyle w:val="Heading3"/>
        <w:spacing w:after="120" w:before="260"/>
      </w:pPr>
      <w:r>
        <w:rPr>
          <w:b/>
          <w:bCs/>
        </w:rPr>
        <w:t xml:space="preserve">Recommendation: both, as separate SKUs — not a platform-wide choice</w:t>
      </w:r>
    </w:p>
    <w:p>
      <w:pPr>
        <w:pBdr>
          <w:left w:val="single" w:color="B9762F" w:sz="18" w:space="8"/>
        </w:pBdr>
        <w:shd w:fill="EEF2F7" w:val="clear"/>
        <w:spacing w:after="200" w:line="288"/>
        <w:ind w:left="120"/>
      </w:pPr>
      <w:r>
        <w:rPr>
          <w:b/>
          <w:bCs/>
          <w:color w:val="B9762F"/>
        </w:rPr>
        <w:t xml:space="preserve">Why:  </w:t>
      </w:r>
      <w:r>
        <w:rPr>
          <w:b w:val="false"/>
          <w:bCs w:val="false"/>
          <w:i w:val="false"/>
          <w:iCs w:val="false"/>
        </w:rPr>
        <w:t xml:space="preserve">mentor time is the scarce, costly resource in this business. Forcing every project through a human reviewer caps your growth at your mentor supply. Offering only self/AI-reviewed projects caps your credibility and price. Selling three distinct tracks lets the market self-segment on willingness to pay while you route your limited mentor hours to the tier that actually needs them:</w:t>
      </w:r>
    </w:p>
    <w:tbl>
      <w:tblPr>
        <w:tblW w:type="dxa" w:w="10206"/>
        <w:tblBorders>
          <w:top w:val="single" w:color="C9D1DE" w:sz="4"/>
          <w:left w:val="single" w:color="C9D1DE" w:sz="4"/>
          <w:bottom w:val="single" w:color="C9D1DE" w:sz="4"/>
          <w:right w:val="single" w:color="C9D1DE" w:sz="4"/>
          <w:insideH w:val="single" w:color="C9D1DE" w:sz="4"/>
          <w:insideV w:val="single" w:color="C9D1DE" w:sz="4"/>
        </w:tblBorders>
      </w:tblPr>
      <w:tblGrid>
        <w:gridCol w:w="1837"/>
        <w:gridCol w:w="1837"/>
        <w:gridCol w:w="3776"/>
        <w:gridCol w:w="2756"/>
      </w:tblGrid>
      <w:tr>
        <w:trPr>
          <w:tblHeader/>
        </w:trPr>
        <w:tc>
          <w:tcPr>
            <w:tcW w:type="dxa" w:w="1837"/>
            <w:shd w:fill="1B2A4A" w:val="clear"/>
            <w:tcMar>
              <w:top w:type="dxa" w:w="100"/>
              <w:left w:type="dxa" w:w="110"/>
              <w:bottom w:type="dxa" w:w="100"/>
              <w:right w:type="dxa" w:w="110"/>
            </w:tcMar>
            <w:vAlign w:val="center"/>
          </w:tcPr>
          <w:p>
            <w:pPr>
              <w:spacing w:after="0"/>
            </w:pPr>
            <w:r>
              <w:rPr>
                <w:b/>
                <w:bCs/>
                <w:color w:val="FFFFFF"/>
                <w:sz w:val="18"/>
                <w:szCs w:val="18"/>
              </w:rPr>
              <w:t xml:space="preserve">Track</w:t>
            </w:r>
          </w:p>
        </w:tc>
        <w:tc>
          <w:tcPr>
            <w:tcW w:type="dxa" w:w="1837"/>
            <w:shd w:fill="1B2A4A" w:val="clear"/>
            <w:tcMar>
              <w:top w:type="dxa" w:w="100"/>
              <w:left w:type="dxa" w:w="110"/>
              <w:bottom w:type="dxa" w:w="100"/>
              <w:right w:type="dxa" w:w="110"/>
            </w:tcMar>
            <w:vAlign w:val="center"/>
          </w:tcPr>
          <w:p>
            <w:pPr>
              <w:spacing w:after="0"/>
            </w:pPr>
            <w:r>
              <w:rPr>
                <w:b/>
                <w:bCs/>
                <w:color w:val="FFFFFF"/>
                <w:sz w:val="18"/>
                <w:szCs w:val="18"/>
              </w:rPr>
              <w:t xml:space="preserve">Duration</w:t>
            </w:r>
          </w:p>
        </w:tc>
        <w:tc>
          <w:tcPr>
            <w:tcW w:type="dxa" w:w="3776"/>
            <w:shd w:fill="1B2A4A" w:val="clear"/>
            <w:tcMar>
              <w:top w:type="dxa" w:w="100"/>
              <w:left w:type="dxa" w:w="110"/>
              <w:bottom w:type="dxa" w:w="100"/>
              <w:right w:type="dxa" w:w="110"/>
            </w:tcMar>
            <w:vAlign w:val="center"/>
          </w:tcPr>
          <w:p>
            <w:pPr>
              <w:spacing w:after="0"/>
            </w:pPr>
            <w:r>
              <w:rPr>
                <w:b/>
                <w:bCs/>
                <w:color w:val="FFFFFF"/>
                <w:sz w:val="18"/>
                <w:szCs w:val="18"/>
              </w:rPr>
              <w:t xml:space="preserve">Review model</w:t>
            </w:r>
          </w:p>
        </w:tc>
        <w:tc>
          <w:tcPr>
            <w:tcW w:type="dxa" w:w="2756"/>
            <w:shd w:fill="1B2A4A" w:val="clear"/>
            <w:tcMar>
              <w:top w:type="dxa" w:w="100"/>
              <w:left w:type="dxa" w:w="110"/>
              <w:bottom w:type="dxa" w:w="100"/>
              <w:right w:type="dxa" w:w="110"/>
            </w:tcMar>
            <w:vAlign w:val="center"/>
          </w:tcPr>
          <w:p>
            <w:pPr>
              <w:spacing w:after="0"/>
            </w:pPr>
            <w:r>
              <w:rPr>
                <w:b/>
                <w:bCs/>
                <w:color w:val="FFFFFF"/>
                <w:sz w:val="18"/>
                <w:szCs w:val="18"/>
              </w:rPr>
              <w:t xml:space="preserve">Positioning</w:t>
            </w:r>
          </w:p>
        </w:tc>
      </w:tr>
      <w:tr>
        <w:tc>
          <w:tcPr>
            <w:tcW w:type="dxa" w:w="1837"/>
            <w:tcMar>
              <w:top w:type="dxa" w:w="90"/>
              <w:left w:type="dxa" w:w="110"/>
              <w:bottom w:type="dxa" w:w="90"/>
              <w:right w:type="dxa" w:w="110"/>
            </w:tcMar>
            <w:vAlign w:val="center"/>
          </w:tcPr>
          <w:p>
            <w:pPr>
              <w:spacing w:after="0" w:line="260"/>
            </w:pPr>
            <w:r>
              <w:rPr>
                <w:b w:val="false"/>
                <w:bCs w:val="false"/>
                <w:sz w:val="18"/>
                <w:szCs w:val="18"/>
              </w:rPr>
              <w:t xml:space="preserve">Sprint</w:t>
            </w:r>
          </w:p>
        </w:tc>
        <w:tc>
          <w:tcPr>
            <w:tcW w:type="dxa" w:w="1837"/>
            <w:tcMar>
              <w:top w:type="dxa" w:w="90"/>
              <w:left w:type="dxa" w:w="110"/>
              <w:bottom w:type="dxa" w:w="90"/>
              <w:right w:type="dxa" w:w="110"/>
            </w:tcMar>
            <w:vAlign w:val="center"/>
          </w:tcPr>
          <w:p>
            <w:pPr>
              <w:spacing w:after="0" w:line="260"/>
            </w:pPr>
            <w:r>
              <w:rPr>
                <w:b w:val="false"/>
                <w:bCs w:val="false"/>
                <w:sz w:val="18"/>
                <w:szCs w:val="18"/>
              </w:rPr>
              <w:t xml:space="preserve">1–2 weeks</w:t>
            </w:r>
          </w:p>
        </w:tc>
        <w:tc>
          <w:tcPr>
            <w:tcW w:type="dxa" w:w="3776"/>
            <w:tcMar>
              <w:top w:type="dxa" w:w="90"/>
              <w:left w:type="dxa" w:w="110"/>
              <w:bottom w:type="dxa" w:w="90"/>
              <w:right w:type="dxa" w:w="110"/>
            </w:tcMar>
            <w:vAlign w:val="center"/>
          </w:tcPr>
          <w:p>
            <w:pPr>
              <w:spacing w:after="0" w:line="260"/>
            </w:pPr>
            <w:r>
              <w:rPr>
                <w:b w:val="false"/>
                <w:bCs w:val="false"/>
                <w:sz w:val="18"/>
                <w:szCs w:val="18"/>
              </w:rPr>
              <w:t xml:space="preserve">Structured self-review checklist + automated/AI first-pass feedback</w:t>
            </w:r>
          </w:p>
        </w:tc>
        <w:tc>
          <w:tcPr>
            <w:tcW w:type="dxa" w:w="2756"/>
            <w:tcMar>
              <w:top w:type="dxa" w:w="90"/>
              <w:left w:type="dxa" w:w="110"/>
              <w:bottom w:type="dxa" w:w="90"/>
              <w:right w:type="dxa" w:w="110"/>
            </w:tcMar>
            <w:vAlign w:val="center"/>
          </w:tcPr>
          <w:p>
            <w:pPr>
              <w:spacing w:after="0" w:line="260"/>
            </w:pPr>
            <w:r>
              <w:rPr>
                <w:b w:val="false"/>
                <w:bCs w:val="false"/>
                <w:sz w:val="18"/>
                <w:szCs w:val="18"/>
              </w:rPr>
              <w:t xml:space="preserve">Low-cost, high-volume skill practice</w:t>
            </w:r>
          </w:p>
        </w:tc>
      </w:tr>
      <w:tr>
        <w:tc>
          <w:tcPr>
            <w:tcW w:type="dxa" w:w="1837"/>
            <w:shd w:fill="EEF2F7" w:val="clear"/>
            <w:tcMar>
              <w:top w:type="dxa" w:w="90"/>
              <w:left w:type="dxa" w:w="110"/>
              <w:bottom w:type="dxa" w:w="90"/>
              <w:right w:type="dxa" w:w="110"/>
            </w:tcMar>
            <w:vAlign w:val="center"/>
          </w:tcPr>
          <w:p>
            <w:pPr>
              <w:spacing w:after="0" w:line="260"/>
            </w:pPr>
            <w:r>
              <w:rPr>
                <w:b w:val="false"/>
                <w:bCs w:val="false"/>
                <w:sz w:val="18"/>
                <w:szCs w:val="18"/>
              </w:rPr>
              <w:t xml:space="preserve">Capstone</w:t>
            </w:r>
          </w:p>
        </w:tc>
        <w:tc>
          <w:tcPr>
            <w:tcW w:type="dxa" w:w="1837"/>
            <w:shd w:fill="EEF2F7" w:val="clear"/>
            <w:tcMar>
              <w:top w:type="dxa" w:w="90"/>
              <w:left w:type="dxa" w:w="110"/>
              <w:bottom w:type="dxa" w:w="90"/>
              <w:right w:type="dxa" w:w="110"/>
            </w:tcMar>
            <w:vAlign w:val="center"/>
          </w:tcPr>
          <w:p>
            <w:pPr>
              <w:spacing w:after="0" w:line="260"/>
            </w:pPr>
            <w:r>
              <w:rPr>
                <w:b w:val="false"/>
                <w:bCs w:val="false"/>
                <w:sz w:val="18"/>
                <w:szCs w:val="18"/>
              </w:rPr>
              <w:t xml:space="preserve">4–8 weeks</w:t>
            </w:r>
          </w:p>
        </w:tc>
        <w:tc>
          <w:tcPr>
            <w:tcW w:type="dxa" w:w="3776"/>
            <w:shd w:fill="EEF2F7" w:val="clear"/>
            <w:tcMar>
              <w:top w:type="dxa" w:w="90"/>
              <w:left w:type="dxa" w:w="110"/>
              <w:bottom w:type="dxa" w:w="90"/>
              <w:right w:type="dxa" w:w="110"/>
            </w:tcMar>
            <w:vAlign w:val="center"/>
          </w:tcPr>
          <w:p>
            <w:pPr>
              <w:spacing w:after="0" w:line="260"/>
            </w:pPr>
            <w:r>
              <w:rPr>
                <w:b w:val="false"/>
                <w:bCs w:val="false"/>
                <w:sz w:val="18"/>
                <w:szCs w:val="18"/>
              </w:rPr>
              <w:t xml:space="preserve">AI first-pass review + human mentor at kickoff, midpoint, and final checkpoints</w:t>
            </w:r>
          </w:p>
        </w:tc>
        <w:tc>
          <w:tcPr>
            <w:tcW w:type="dxa" w:w="2756"/>
            <w:shd w:fill="EEF2F7" w:val="clear"/>
            <w:tcMar>
              <w:top w:type="dxa" w:w="90"/>
              <w:left w:type="dxa" w:w="110"/>
              <w:bottom w:type="dxa" w:w="90"/>
              <w:right w:type="dxa" w:w="110"/>
            </w:tcMar>
            <w:vAlign w:val="center"/>
          </w:tcPr>
          <w:p>
            <w:pPr>
              <w:spacing w:after="0" w:line="260"/>
            </w:pPr>
            <w:r>
              <w:rPr>
                <w:b w:val="false"/>
                <w:bCs w:val="false"/>
                <w:sz w:val="18"/>
                <w:szCs w:val="18"/>
              </w:rPr>
              <w:t xml:space="preserve">The default “serious” project tier</w:t>
            </w:r>
          </w:p>
        </w:tc>
      </w:tr>
      <w:tr>
        <w:tc>
          <w:tcPr>
            <w:tcW w:type="dxa" w:w="1837"/>
            <w:tcMar>
              <w:top w:type="dxa" w:w="90"/>
              <w:left w:type="dxa" w:w="110"/>
              <w:bottom w:type="dxa" w:w="90"/>
              <w:right w:type="dxa" w:w="110"/>
            </w:tcMar>
            <w:vAlign w:val="center"/>
          </w:tcPr>
          <w:p>
            <w:pPr>
              <w:spacing w:after="0" w:line="260"/>
            </w:pPr>
            <w:r>
              <w:rPr>
                <w:b w:val="false"/>
                <w:bCs w:val="false"/>
                <w:sz w:val="18"/>
                <w:szCs w:val="18"/>
              </w:rPr>
              <w:t xml:space="preserve">Flagship / Industry</w:t>
            </w:r>
          </w:p>
        </w:tc>
        <w:tc>
          <w:tcPr>
            <w:tcW w:type="dxa" w:w="1837"/>
            <w:tcMar>
              <w:top w:type="dxa" w:w="90"/>
              <w:left w:type="dxa" w:w="110"/>
              <w:bottom w:type="dxa" w:w="90"/>
              <w:right w:type="dxa" w:w="110"/>
            </w:tcMar>
            <w:vAlign w:val="center"/>
          </w:tcPr>
          <w:p>
            <w:pPr>
              <w:spacing w:after="0" w:line="260"/>
            </w:pPr>
            <w:r>
              <w:rPr>
                <w:b w:val="false"/>
                <w:bCs w:val="false"/>
                <w:sz w:val="18"/>
                <w:szCs w:val="18"/>
              </w:rPr>
              <w:t xml:space="preserve">2–4 months</w:t>
            </w:r>
          </w:p>
        </w:tc>
        <w:tc>
          <w:tcPr>
            <w:tcW w:type="dxa" w:w="3776"/>
            <w:tcMar>
              <w:top w:type="dxa" w:w="90"/>
              <w:left w:type="dxa" w:w="110"/>
              <w:bottom w:type="dxa" w:w="90"/>
              <w:right w:type="dxa" w:w="110"/>
            </w:tcMar>
            <w:vAlign w:val="center"/>
          </w:tcPr>
          <w:p>
            <w:pPr>
              <w:spacing w:after="0" w:line="260"/>
            </w:pPr>
            <w:r>
              <w:rPr>
                <w:b w:val="false"/>
                <w:bCs w:val="false"/>
                <w:sz w:val="18"/>
                <w:szCs w:val="18"/>
              </w:rPr>
              <w:t xml:space="preserve">Fully mentor-guided, weekly touchpoints, live final defense</w:t>
            </w:r>
          </w:p>
        </w:tc>
        <w:tc>
          <w:tcPr>
            <w:tcW w:type="dxa" w:w="2756"/>
            <w:tcMar>
              <w:top w:type="dxa" w:w="90"/>
              <w:left w:type="dxa" w:w="110"/>
              <w:bottom w:type="dxa" w:w="90"/>
              <w:right w:type="dxa" w:w="110"/>
            </w:tcMar>
            <w:vAlign w:val="center"/>
          </w:tcPr>
          <w:p>
            <w:pPr>
              <w:spacing w:after="0" w:line="260"/>
            </w:pPr>
            <w:r>
              <w:rPr>
                <w:b w:val="false"/>
                <w:bCs w:val="false"/>
                <w:sz w:val="18"/>
                <w:szCs w:val="18"/>
              </w:rPr>
              <w:t xml:space="preserve">Portfolio-grade, take-home-assessment scale</w:t>
            </w:r>
          </w:p>
        </w:tc>
      </w:tr>
    </w:tbl>
    <w:p>
      <w:pPr>
        <w:pStyle w:val="Heading3"/>
        <w:spacing w:after="120" w:before="260"/>
      </w:pPr>
      <w:r>
        <w:rPr>
          <w:b/>
          <w:bCs/>
        </w:rPr>
        <w:t xml:space="preserve">Making projects AI-resistant and genuinely hard</w:t>
      </w:r>
    </w:p>
    <w:p>
      <w:pPr>
        <w:spacing w:after="200" w:line="288"/>
        <w:jc w:val="left"/>
      </w:pPr>
      <w:r>
        <w:t xml:space="preserve">You were explicit that these should be at the scale of a take-home assessment from an AI-native startup — ambiguous, large, and still meaningfully hard even with AI assistance. Three design choices get you there:</w:t>
      </w:r>
    </w:p>
    <w:p>
      <w:pPr>
        <w:pStyle w:val="ListParagraph"/>
        <w:numPr>
          <w:ilvl w:val="0"/>
          <w:numId w:val="1"/>
        </w:numPr>
        <w:spacing w:after="90" w:line="276"/>
      </w:pPr>
      <w:r>
        <w:rPr>
          <w:b/>
          <w:bCs/>
          <w:i w:val="false"/>
          <w:iCs w:val="false"/>
        </w:rPr>
        <w:t xml:space="preserve">Ambiguous, real-world briefs, not tutorials — </w:t>
      </w:r>
      <w:r>
        <w:rPr>
          <w:b w:val="false"/>
          <w:bCs w:val="false"/>
          <w:i w:val="false"/>
          <w:iCs w:val="false"/>
        </w:rPr>
        <w:t xml:space="preserve">specs with incomplete requirements and tradeoff decisions the learner must make and justify, optionally co-authored with hiring partners so the project doubles as a recruiting signal.</w:t>
      </w:r>
    </w:p>
    <w:p>
      <w:pPr>
        <w:pStyle w:val="ListParagraph"/>
        <w:numPr>
          <w:ilvl w:val="0"/>
          <w:numId w:val="1"/>
        </w:numPr>
        <w:spacing w:after="90" w:line="276"/>
      </w:pPr>
      <w:r>
        <w:rPr>
          <w:b/>
          <w:bCs/>
          <w:i w:val="false"/>
          <w:iCs w:val="false"/>
        </w:rPr>
        <w:t xml:space="preserve">A held-out, private evaluation layer — </w:t>
      </w:r>
      <w:r>
        <w:rPr>
          <w:b w:val="false"/>
          <w:bCs w:val="false"/>
          <w:i w:val="false"/>
          <w:iCs w:val="false"/>
        </w:rPr>
        <w:t xml:space="preserve">test data, edge cases, or a live grading harness the learner cannot see in advance, so the deliverable has to actually work, not just look complete.</w:t>
      </w:r>
    </w:p>
    <w:p>
      <w:pPr>
        <w:pStyle w:val="ListParagraph"/>
        <w:numPr>
          <w:ilvl w:val="0"/>
          <w:numId w:val="1"/>
        </w:numPr>
        <w:spacing w:after="90" w:line="276"/>
      </w:pPr>
      <w:r>
        <w:rPr>
          <w:b/>
          <w:bCs/>
          <w:i w:val="false"/>
          <w:iCs w:val="false"/>
        </w:rPr>
        <w:t xml:space="preserve">A mandatory live defense on Capstone and Flagship tiers — </w:t>
      </w:r>
      <w:r>
        <w:rPr>
          <w:b w:val="false"/>
          <w:bCs w:val="false"/>
          <w:i w:val="false"/>
          <w:iCs w:val="false"/>
        </w:rPr>
        <w:t xml:space="preserve">the learner explains and justifies their own design decisions to a mentor, with AI-assisted follow-up questioning to probe understanding. This directly targets the “did they actually learn it or did an AI just do it” problem, and becomes a genuine integrity signal that competitors without this checkpoint cannot claim.</w:t>
      </w:r>
    </w:p>
    <w:p>
      <w:pPr>
        <w:pStyle w:val="Heading2"/>
        <w:spacing w:after="160" w:before="340"/>
      </w:pPr>
      <w:r>
        <w:rPr>
          <w:b/>
          <w:bCs/>
        </w:rPr>
        <w:t xml:space="preserve">6.3 Creator Platform (multi-tenant)</w:t>
      </w:r>
    </w:p>
    <w:p>
      <w:pPr>
        <w:pStyle w:val="ListParagraph"/>
        <w:numPr>
          <w:ilvl w:val="0"/>
          <w:numId w:val="1"/>
        </w:numPr>
        <w:spacing w:after="90" w:line="276"/>
      </w:pPr>
      <w:r>
        <w:rPr>
          <w:b/>
          <w:bCs/>
          <w:i w:val="false"/>
          <w:iCs w:val="false"/>
        </w:rPr>
        <w:t xml:space="preserve">Branded storefront — </w:t>
      </w:r>
      <w:r>
        <w:rPr>
          <w:b w:val="false"/>
          <w:bCs w:val="false"/>
          <w:i w:val="false"/>
          <w:iCs w:val="false"/>
        </w:rPr>
        <w:t xml:space="preserve">every creator gets a branded page (and optionally a custom domain), discoverable both through their own audience and through shared marketplace search — dual discovery that neither a fully independent site (the Educosys model) nor a submerged marketplace listing (the Udemy model) provides.</w:t>
      </w:r>
    </w:p>
    <w:p>
      <w:pPr>
        <w:pStyle w:val="ListParagraph"/>
        <w:numPr>
          <w:ilvl w:val="0"/>
          <w:numId w:val="1"/>
        </w:numPr>
        <w:spacing w:after="90" w:line="276"/>
      </w:pPr>
      <w:r>
        <w:rPr>
          <w:b/>
          <w:bCs/>
          <w:i w:val="false"/>
          <w:iCs w:val="false"/>
        </w:rPr>
        <w:t xml:space="preserve">Authoring &amp; operations tools — </w:t>
      </w:r>
      <w:r>
        <w:rPr>
          <w:b w:val="false"/>
          <w:bCs w:val="false"/>
          <w:i w:val="false"/>
          <w:iCs w:val="false"/>
        </w:rPr>
        <w:t xml:space="preserve">course and project authoring, live cohort scheduling, a revenue and payout dashboard, and learner analytics — the exact stack Educosys and takeuforward had to build themselves.</w:t>
      </w:r>
    </w:p>
    <w:p>
      <w:pPr>
        <w:pStyle w:val="ListParagraph"/>
        <w:numPr>
          <w:ilvl w:val="0"/>
          <w:numId w:val="1"/>
        </w:numPr>
        <w:spacing w:after="90" w:line="276"/>
      </w:pPr>
      <w:r>
        <w:rPr>
          <w:b/>
          <w:bCs/>
          <w:i w:val="false"/>
          <w:iCs w:val="false"/>
        </w:rPr>
        <w:t xml:space="preserve">Tiered creator economics — </w:t>
      </w:r>
      <w:r>
        <w:rPr>
          <w:b w:val="false"/>
          <w:bCs w:val="false"/>
          <w:i w:val="false"/>
          <w:iCs w:val="false"/>
        </w:rPr>
        <w:t xml:space="preserve">detailed in Section 8.5, benchmarked against Maven's 90/10 split, Udemy's organic-only economics, and Graphy's flat-fee-vs-commission choice.</w:t>
      </w:r>
    </w:p>
    <w:p>
      <w:pPr>
        <w:pBdr>
          <w:left w:val="single" w:color="B9762F" w:sz="18" w:space="8"/>
        </w:pBdr>
        <w:shd w:fill="EEF2F7" w:val="clear"/>
        <w:spacing w:after="200" w:line="288"/>
        <w:ind w:left="120"/>
      </w:pPr>
      <w:r>
        <w:rPr>
          <w:b/>
          <w:bCs/>
          <w:color w:val="B9762F"/>
        </w:rPr>
        <w:t xml:space="preserve">On recruiting “anchor” creators like Striver:  </w:t>
      </w:r>
      <w:r>
        <w:rPr>
          <w:b w:val="false"/>
          <w:bCs w:val="false"/>
          <w:i w:val="false"/>
          <w:iCs w:val="false"/>
        </w:rPr>
        <w:t xml:space="preserve">a creator at that scale has already solved their own infrastructure problem and has limited reason to move. The real early ICP is the layer just below — educators at the stage Educosys or early Euron were at — who are good enough to have an audience but don't want to run a software company. Marquee creators are a later, custom-deal motion once the platform has distribution to offer, not a launch assumption.</w:t>
      </w:r>
    </w:p>
    <w:p>
      <w:pPr>
        <w:pStyle w:val="Heading2"/>
        <w:spacing w:after="160" w:before="340"/>
      </w:pPr>
      <w:r>
        <w:rPr>
          <w:b/>
          <w:bCs/>
        </w:rPr>
        <w:t xml:space="preserve">6.4 Enterprise &amp; University Programs</w:t>
      </w:r>
    </w:p>
    <w:p>
      <w:pPr>
        <w:spacing w:after="200" w:line="288"/>
        <w:jc w:val="left"/>
      </w:pPr>
      <w:r>
        <w:t xml:space="preserve">Research into how IIT and IIM programs actually run (via IIT Jammu, IIT Madras CODE/NPTEL, and IIM Tiruchirappalli's published partner structures) confirms a consistent pattern: the institution keeps academic authority, delivery standards, and certification; an empanelled partner handles program reach, learner support, and operations. That is an operating relationship, not a software license — the enterprise sales motion needs to sell delivery capability, not just seats.</w:t>
      </w:r>
    </w:p>
    <w:p>
      <w:pPr>
        <w:pBdr>
          <w:left w:val="single" w:color="B9762F" w:sz="18" w:space="8"/>
        </w:pBdr>
        <w:shd w:fill="EEF2F7" w:val="clear"/>
        <w:spacing w:after="200" w:line="288"/>
        <w:ind w:left="120"/>
      </w:pPr>
      <w:r>
        <w:rPr>
          <w:b/>
          <w:bCs/>
          <w:color w:val="B9762F"/>
        </w:rPr>
        <w:t xml:space="preserve">Recommendation on courses vs. projects for enterprise:  </w:t>
      </w:r>
      <w:r>
        <w:rPr>
          <w:b w:val="false"/>
          <w:bCs w:val="false"/>
          <w:i w:val="false"/>
          <w:iCs w:val="false"/>
        </w:rPr>
        <w:t xml:space="preserve">don't force a choice — package a configurable “Program” as the core enterprise SKU: a curated course sequence, an optional mentor-guided capstone drawn from the same project catalog used at retail, a co-branded certificate, and cohort operations/reporting. This mirrors how real university programs already combine coursework with a final project, and lets a corporate L&amp;D buyer choose catalog-only (Udemy Business-style) or a full custom cohort with capstones mapped to their own tech stack — something neither Udemy Business nor Coursera for Business can offer, since their project content is generic.</w:t>
      </w:r>
    </w:p>
    <w:p>
      <w:pPr>
        <w:pStyle w:val="Heading2"/>
        <w:spacing w:after="160" w:before="340"/>
      </w:pPr>
      <w:r>
        <w:rPr>
          <w:b/>
          <w:bCs/>
        </w:rPr>
        <w:t xml:space="preserve">6.5 Commerce, Cart &amp; Checkout</w:t>
      </w:r>
    </w:p>
    <w:p>
      <w:pPr>
        <w:pStyle w:val="ListParagraph"/>
        <w:numPr>
          <w:ilvl w:val="0"/>
          <w:numId w:val="1"/>
        </w:numPr>
        <w:spacing w:after="90" w:line="276"/>
      </w:pPr>
      <w:r>
        <w:rPr>
          <w:b/>
          <w:bCs/>
          <w:i w:val="false"/>
          <w:iCs w:val="false"/>
        </w:rPr>
        <w:t xml:space="preserve">Universal cart — </w:t>
      </w:r>
      <w:r>
        <w:rPr>
          <w:b w:val="false"/>
          <w:bCs w:val="false"/>
          <w:i w:val="false"/>
          <w:iCs w:val="false"/>
        </w:rPr>
        <w:t xml:space="preserve">courses and projects are independent, addable line items. Nothing is bundled by force, per your explicit requirement.</w:t>
      </w:r>
    </w:p>
    <w:p>
      <w:pPr>
        <w:pStyle w:val="ListParagraph"/>
        <w:numPr>
          <w:ilvl w:val="0"/>
          <w:numId w:val="1"/>
        </w:numPr>
        <w:spacing w:after="90" w:line="276"/>
      </w:pPr>
      <w:r>
        <w:rPr>
          <w:b/>
          <w:bCs/>
          <w:i w:val="false"/>
          <w:iCs w:val="false"/>
        </w:rPr>
        <w:t xml:space="preserve">Soft bundle suggestions — </w:t>
      </w:r>
      <w:r>
        <w:rPr>
          <w:b w:val="false"/>
          <w:bCs w:val="false"/>
          <w:i w:val="false"/>
          <w:iCs w:val="false"/>
        </w:rPr>
        <w:t xml:space="preserve">e.g. “add the mentor-guided capstone for this course at 20% off” at checkout — upsell, never a gate.</w:t>
      </w:r>
    </w:p>
    <w:p>
      <w:pPr>
        <w:pStyle w:val="ListParagraph"/>
        <w:numPr>
          <w:ilvl w:val="0"/>
          <w:numId w:val="1"/>
        </w:numPr>
        <w:spacing w:after="90" w:line="276"/>
      </w:pPr>
      <w:r>
        <w:rPr>
          <w:b/>
          <w:bCs/>
          <w:i w:val="false"/>
          <w:iCs w:val="false"/>
        </w:rPr>
        <w:t xml:space="preserve">Payment flexibility — </w:t>
      </w:r>
      <w:r>
        <w:rPr>
          <w:b w:val="false"/>
          <w:bCs w:val="false"/>
          <w:i w:val="false"/>
          <w:iCs w:val="false"/>
        </w:rPr>
        <w:t xml:space="preserve">coupons, regional/PPP-adjusted pricing, EMI at checkout (see Section 8.6), gifting, and a corporate/team bulk-purchase flow separate from the full enterprise sales motion.</w:t>
      </w:r>
    </w:p>
    <w:p>
      <w:pPr>
        <w:pStyle w:val="Heading1"/>
        <w:pageBreakBefore/>
        <w:spacing w:after="220" w:before="200"/>
      </w:pPr>
      <w:r>
        <w:rPr>
          <w:b/>
          <w:bCs/>
        </w:rPr>
        <w:t xml:space="preserve">7. Full Feature Set</w:t>
      </w:r>
    </w:p>
    <w:p>
      <w:pPr>
        <w:pStyle w:val="Heading2"/>
        <w:spacing w:after="160" w:before="340"/>
      </w:pPr>
      <w:r>
        <w:rPr>
          <w:b/>
          <w:bCs/>
        </w:rPr>
        <w:t xml:space="preserve">7.1 Table-stakes requirements</w:t>
      </w:r>
    </w:p>
    <w:p>
      <w:pPr>
        <w:spacing w:after="200" w:line="288"/>
        <w:jc w:val="left"/>
      </w:pPr>
      <w:r>
        <w:t xml:space="preserve">The features you already listed, formalized as requirements. These are the price of entry, not the differentiator — every serious competitor above has them in some form.</w:t>
      </w:r>
    </w:p>
    <w:p>
      <w:pPr>
        <w:pStyle w:val="ListParagraph"/>
        <w:numPr>
          <w:ilvl w:val="0"/>
          <w:numId w:val="1"/>
        </w:numPr>
        <w:spacing w:after="90" w:line="276"/>
      </w:pPr>
      <w:r>
        <w:rPr>
          <w:b/>
          <w:bCs/>
          <w:i w:val="false"/>
          <w:iCs w:val="false"/>
        </w:rPr>
        <w:t xml:space="preserve">Content delivery: </w:t>
      </w:r>
      <w:r>
        <w:rPr>
          <w:b w:val="false"/>
          <w:bCs w:val="false"/>
          <w:i w:val="false"/>
          <w:iCs w:val="false"/>
        </w:rPr>
        <w:t xml:space="preserve">recorded video with adaptive streaming and offline download; live classes with recording hand-off; drip-fed or fully-open content release.</w:t>
      </w:r>
    </w:p>
    <w:p>
      <w:pPr>
        <w:pStyle w:val="ListParagraph"/>
        <w:numPr>
          <w:ilvl w:val="0"/>
          <w:numId w:val="1"/>
        </w:numPr>
        <w:spacing w:after="90" w:line="276"/>
      </w:pPr>
      <w:r>
        <w:rPr>
          <w:b/>
          <w:bCs/>
          <w:i w:val="false"/>
          <w:iCs w:val="false"/>
        </w:rPr>
        <w:t xml:space="preserve">Assessment: </w:t>
      </w:r>
      <w:r>
        <w:rPr>
          <w:b w:val="false"/>
          <w:bCs w:val="false"/>
          <w:i w:val="false"/>
          <w:iCs w:val="false"/>
        </w:rPr>
        <w:t xml:space="preserve">assignments (manual/auto/peer-graded), quizzes with question banks and randomization, rubric-graded capstones.</w:t>
      </w:r>
    </w:p>
    <w:p>
      <w:pPr>
        <w:pStyle w:val="ListParagraph"/>
        <w:numPr>
          <w:ilvl w:val="0"/>
          <w:numId w:val="1"/>
        </w:numPr>
        <w:spacing w:after="90" w:line="276"/>
      </w:pPr>
      <w:r>
        <w:rPr>
          <w:b/>
          <w:bCs/>
          <w:i w:val="false"/>
          <w:iCs w:val="false"/>
        </w:rPr>
        <w:t xml:space="preserve">Hands-on practice: </w:t>
      </w:r>
      <w:r>
        <w:rPr>
          <w:b w:val="false"/>
          <w:bCs w:val="false"/>
          <w:i w:val="false"/>
          <w:iCs w:val="false"/>
        </w:rPr>
        <w:t xml:space="preserve">embedded code sandboxes inside lessons, supporting common languages, with resource and session limits.</w:t>
      </w:r>
    </w:p>
    <w:p>
      <w:pPr>
        <w:pStyle w:val="ListParagraph"/>
        <w:numPr>
          <w:ilvl w:val="0"/>
          <w:numId w:val="1"/>
        </w:numPr>
        <w:spacing w:after="90" w:line="276"/>
      </w:pPr>
      <w:r>
        <w:rPr>
          <w:b/>
          <w:bCs/>
          <w:i w:val="false"/>
          <w:iCs w:val="false"/>
        </w:rPr>
        <w:t xml:space="preserve">Communication: </w:t>
      </w:r>
      <w:r>
        <w:rPr>
          <w:b w:val="false"/>
          <w:bCs w:val="false"/>
          <w:i w:val="false"/>
          <w:iCs w:val="false"/>
        </w:rPr>
        <w:t xml:space="preserve">discussion/doubt forums, cohort announcements, email/SMS/push notifications.</w:t>
      </w:r>
    </w:p>
    <w:p>
      <w:pPr>
        <w:pStyle w:val="ListParagraph"/>
        <w:numPr>
          <w:ilvl w:val="0"/>
          <w:numId w:val="1"/>
        </w:numPr>
        <w:spacing w:after="90" w:line="276"/>
      </w:pPr>
      <w:r>
        <w:rPr>
          <w:b/>
          <w:bCs/>
          <w:i w:val="false"/>
          <w:iCs w:val="false"/>
        </w:rPr>
        <w:t xml:space="preserve">Certification: </w:t>
      </w:r>
      <w:r>
        <w:rPr>
          <w:b w:val="false"/>
          <w:bCs w:val="false"/>
          <w:i w:val="false"/>
          <w:iCs w:val="false"/>
        </w:rPr>
        <w:t xml:space="preserve">completion certificates, downloadable and shareable.</w:t>
      </w:r>
    </w:p>
    <w:p>
      <w:pPr>
        <w:pStyle w:val="ListParagraph"/>
        <w:numPr>
          <w:ilvl w:val="0"/>
          <w:numId w:val="1"/>
        </w:numPr>
        <w:spacing w:after="90" w:line="276"/>
      </w:pPr>
      <w:r>
        <w:rPr>
          <w:b/>
          <w:bCs/>
          <w:i w:val="false"/>
          <w:iCs w:val="false"/>
        </w:rPr>
        <w:t xml:space="preserve">Commerce basics: </w:t>
      </w:r>
      <w:r>
        <w:rPr>
          <w:b w:val="false"/>
          <w:bCs w:val="false"/>
          <w:i w:val="false"/>
          <w:iCs w:val="false"/>
        </w:rPr>
        <w:t xml:space="preserve">global payment acceptance, invoicing, multi-currency support.</w:t>
      </w:r>
    </w:p>
    <w:p>
      <w:pPr>
        <w:pStyle w:val="Heading2"/>
        <w:spacing w:after="160" w:before="340"/>
      </w:pPr>
      <w:r>
        <w:rPr>
          <w:b/>
          <w:bCs/>
        </w:rPr>
        <w:t xml:space="preserve">7.2 Differentiating features</w:t>
      </w:r>
    </w:p>
    <w:p>
      <w:pPr>
        <w:spacing w:after="200" w:line="288"/>
        <w:jc w:val="left"/>
      </w:pPr>
      <w:r>
        <w:t xml:space="preserve">These are the additions worth building beyond what you scoped — organized by the job each one does for the business. Every item below is either validated by a specific pattern found in research (cited inline) or addresses a gap no researched competitor currently fills.</w:t>
      </w:r>
    </w:p>
    <w:p>
      <w:pPr>
        <w:pStyle w:val="Heading3"/>
        <w:spacing w:after="120" w:before="260"/>
      </w:pPr>
      <w:r>
        <w:rPr>
          <w:b/>
          <w:bCs/>
        </w:rPr>
        <w:t xml:space="preserve">A. AI-native learning layer</w:t>
      </w:r>
    </w:p>
    <w:p>
      <w:pPr>
        <w:pStyle w:val="ListParagraph"/>
        <w:numPr>
          <w:ilvl w:val="0"/>
          <w:numId w:val="1"/>
        </w:numPr>
        <w:spacing w:after="90" w:line="276"/>
      </w:pPr>
      <w:r>
        <w:rPr>
          <w:b/>
          <w:bCs/>
          <w:i w:val="false"/>
          <w:iCs w:val="false"/>
        </w:rPr>
        <w:t xml:space="preserve">24/7 AI teaching assistant — </w:t>
      </w:r>
      <w:r>
        <w:rPr>
          <w:b w:val="false"/>
          <w:bCs w:val="false"/>
          <w:i w:val="false"/>
          <w:iCs w:val="false"/>
        </w:rPr>
        <w:t xml:space="preserve">trained on each course's specific content and the creator's own teaching style, so doubt-resolution scales without consuming creator or mentor time. Euron's “EURI” and Graphy's “AI Brain” validate this is becoming a baseline expectation, not a nice-to-have.</w:t>
      </w:r>
    </w:p>
    <w:p>
      <w:pPr>
        <w:pStyle w:val="ListParagraph"/>
        <w:numPr>
          <w:ilvl w:val="0"/>
          <w:numId w:val="1"/>
        </w:numPr>
        <w:spacing w:after="90" w:line="276"/>
      </w:pPr>
      <w:r>
        <w:rPr>
          <w:b/>
          <w:bCs/>
          <w:i w:val="false"/>
          <w:iCs w:val="false"/>
        </w:rPr>
        <w:t xml:space="preserve">AI first-pass project review — </w:t>
      </w:r>
      <w:r>
        <w:rPr>
          <w:b w:val="false"/>
          <w:bCs w:val="false"/>
          <w:i w:val="false"/>
          <w:iCs w:val="false"/>
        </w:rPr>
        <w:t xml:space="preserve">an automated rubric check before a human mentor sees a submission — the single highest-leverage move for scaling the mentor-guided project engine, since it multiplies effective mentor throughput without hiring more mentors.</w:t>
      </w:r>
    </w:p>
    <w:p>
      <w:pPr>
        <w:pStyle w:val="ListParagraph"/>
        <w:numPr>
          <w:ilvl w:val="0"/>
          <w:numId w:val="1"/>
        </w:numPr>
        <w:spacing w:after="90" w:line="276"/>
      </w:pPr>
      <w:r>
        <w:rPr>
          <w:b/>
          <w:bCs/>
          <w:i w:val="false"/>
          <w:iCs w:val="false"/>
        </w:rPr>
        <w:t xml:space="preserve">Mandatory live defense with AI-assisted questioning — </w:t>
      </w:r>
      <w:r>
        <w:rPr>
          <w:b w:val="false"/>
          <w:bCs w:val="false"/>
          <w:i w:val="false"/>
          <w:iCs w:val="false"/>
        </w:rPr>
        <w:t xml:space="preserve">described in Section 6.2 — both a learning-integrity feature and a marketing differentiator (“we verify you can defend your own work”).</w:t>
      </w:r>
    </w:p>
    <w:p>
      <w:pPr>
        <w:pStyle w:val="ListParagraph"/>
        <w:numPr>
          <w:ilvl w:val="0"/>
          <w:numId w:val="1"/>
        </w:numPr>
        <w:spacing w:after="90" w:line="276"/>
      </w:pPr>
      <w:r>
        <w:rPr>
          <w:b/>
          <w:bCs/>
          <w:i w:val="false"/>
          <w:iCs w:val="false"/>
        </w:rPr>
        <w:t xml:space="preserve">Adaptive practice and quiz generation — </w:t>
      </w:r>
      <w:r>
        <w:rPr>
          <w:b w:val="false"/>
          <w:bCs w:val="false"/>
          <w:i w:val="false"/>
          <w:iCs w:val="false"/>
        </w:rPr>
        <w:t xml:space="preserve">personalized to a learner's demonstrated weak areas rather than a fixed question bank.</w:t>
      </w:r>
    </w:p>
    <w:p>
      <w:pPr>
        <w:pStyle w:val="ListParagraph"/>
        <w:numPr>
          <w:ilvl w:val="0"/>
          <w:numId w:val="1"/>
        </w:numPr>
        <w:spacing w:after="90" w:line="276"/>
      </w:pPr>
      <w:r>
        <w:rPr>
          <w:b/>
          <w:bCs/>
          <w:i w:val="false"/>
          <w:iCs w:val="false"/>
        </w:rPr>
        <w:t xml:space="preserve">AI-assisted mentor rubric drafting — </w:t>
      </w:r>
      <w:r>
        <w:rPr>
          <w:b w:val="false"/>
          <w:bCs w:val="false"/>
          <w:i w:val="false"/>
          <w:iCs w:val="false"/>
        </w:rPr>
        <w:t xml:space="preserve">mentors edit an AI-generated first draft of feedback instead of writing from a blank page — directly increases how many learners a single mentor can serve profitably.</w:t>
      </w:r>
    </w:p>
    <w:p>
      <w:pPr>
        <w:pStyle w:val="Heading3"/>
        <w:spacing w:after="120" w:before="260"/>
      </w:pPr>
      <w:r>
        <w:rPr>
          <w:b/>
          <w:bCs/>
        </w:rPr>
        <w:t xml:space="preserve">B. Career &amp; portfolio layer</w:t>
      </w:r>
    </w:p>
    <w:p>
      <w:pPr>
        <w:pStyle w:val="ListParagraph"/>
        <w:numPr>
          <w:ilvl w:val="0"/>
          <w:numId w:val="1"/>
        </w:numPr>
        <w:spacing w:after="90" w:line="276"/>
      </w:pPr>
      <w:r>
        <w:rPr>
          <w:b/>
          <w:bCs/>
          <w:i w:val="false"/>
          <w:iCs w:val="false"/>
        </w:rPr>
        <w:t xml:space="preserve">Auto-generated “Proof-of-Work” profile — </w:t>
      </w:r>
      <w:r>
        <w:rPr>
          <w:b w:val="false"/>
          <w:bCs w:val="false"/>
          <w:i w:val="false"/>
          <w:iCs w:val="false"/>
        </w:rPr>
        <w:t xml:space="preserve">a public, shareable portfolio page built automatically from completed projects and mentor endorsements — the thing a self-paced Udemy certificate cannot offer, and the natural link to share with recruiters or on LinkedIn.</w:t>
      </w:r>
    </w:p>
    <w:p>
      <w:pPr>
        <w:pStyle w:val="ListParagraph"/>
        <w:numPr>
          <w:ilvl w:val="0"/>
          <w:numId w:val="1"/>
        </w:numPr>
        <w:spacing w:after="90" w:line="276"/>
      </w:pPr>
      <w:r>
        <w:rPr>
          <w:b/>
          <w:bCs/>
          <w:i w:val="false"/>
          <w:iCs w:val="false"/>
        </w:rPr>
        <w:t xml:space="preserve">Verifiable credentials — </w:t>
      </w:r>
      <w:r>
        <w:rPr>
          <w:b w:val="false"/>
          <w:bCs w:val="false"/>
          <w:i w:val="false"/>
          <w:iCs w:val="false"/>
        </w:rPr>
        <w:t xml:space="preserve">certificates with a public verification link and unique ID, co-brandable for enterprise/university partners — protects the value of the certificate itself as the marketplace scales across many creators.</w:t>
      </w:r>
    </w:p>
    <w:p>
      <w:pPr>
        <w:pStyle w:val="ListParagraph"/>
        <w:numPr>
          <w:ilvl w:val="0"/>
          <w:numId w:val="1"/>
        </w:numPr>
        <w:spacing w:after="90" w:line="276"/>
      </w:pPr>
      <w:r>
        <w:rPr>
          <w:b/>
          <w:bCs/>
          <w:i w:val="false"/>
          <w:iCs w:val="false"/>
        </w:rPr>
        <w:t xml:space="preserve">Hiring-partner talent marketplace — </w:t>
      </w:r>
      <w:r>
        <w:rPr>
          <w:b w:val="false"/>
          <w:bCs w:val="false"/>
          <w:i w:val="false"/>
          <w:iCs w:val="false"/>
        </w:rPr>
        <w:t xml:space="preserve">a new B2B revenue line: companies pay for search access to a pool of learners with verified, mentor-reviewed project work — the classic bootcamp “train then place” model, formalized as a standing product rather than a one-off placement team.</w:t>
      </w:r>
    </w:p>
    <w:p>
      <w:pPr>
        <w:pStyle w:val="ListParagraph"/>
        <w:numPr>
          <w:ilvl w:val="0"/>
          <w:numId w:val="1"/>
        </w:numPr>
        <w:spacing w:after="90" w:line="276"/>
      </w:pPr>
      <w:r>
        <w:rPr>
          <w:b/>
          <w:bCs/>
          <w:i w:val="false"/>
          <w:iCs w:val="false"/>
        </w:rPr>
        <w:t xml:space="preserve">Mock-interview marketplace — </w:t>
      </w:r>
      <w:r>
        <w:rPr>
          <w:b w:val="false"/>
          <w:bCs w:val="false"/>
          <w:i w:val="false"/>
          <w:iCs w:val="false"/>
        </w:rPr>
        <w:t xml:space="preserve">bookable 1:1 sessions with senior mentors, modeled on ADPList/Topmate-class platforms but native to the platform — a natural cross-sell beyond project review that also gives mentors a second way to earn.</w:t>
      </w:r>
    </w:p>
    <w:p>
      <w:pPr>
        <w:pStyle w:val="Heading3"/>
        <w:spacing w:after="120" w:before="260"/>
      </w:pPr>
      <w:r>
        <w:rPr>
          <w:b/>
          <w:bCs/>
        </w:rPr>
        <w:t xml:space="preserve">C. Trust, integrity &amp; content protection</w:t>
      </w:r>
    </w:p>
    <w:p>
      <w:pPr>
        <w:pStyle w:val="ListParagraph"/>
        <w:numPr>
          <w:ilvl w:val="0"/>
          <w:numId w:val="1"/>
        </w:numPr>
        <w:spacing w:after="90" w:line="276"/>
      </w:pPr>
      <w:r>
        <w:rPr>
          <w:b/>
          <w:bCs/>
          <w:i w:val="false"/>
          <w:iCs w:val="false"/>
        </w:rPr>
        <w:t xml:space="preserve">Video DRM and dynamic watermarking — </w:t>
      </w:r>
      <w:r>
        <w:rPr>
          <w:b w:val="false"/>
          <w:bCs w:val="false"/>
          <w:i w:val="false"/>
          <w:iCs w:val="false"/>
        </w:rPr>
        <w:t xml:space="preserve">addressing the piracy problem that specifically drives Indian ed-tech platforms to specialist vendors like VdoCipher today — must be native, not an afterthought, given how much of the target market is India-based.</w:t>
      </w:r>
    </w:p>
    <w:p>
      <w:pPr>
        <w:pStyle w:val="ListParagraph"/>
        <w:numPr>
          <w:ilvl w:val="0"/>
          <w:numId w:val="1"/>
        </w:numPr>
        <w:spacing w:after="90" w:line="276"/>
      </w:pPr>
      <w:r>
        <w:rPr>
          <w:b/>
          <w:bCs/>
          <w:i w:val="false"/>
          <w:iCs w:val="false"/>
        </w:rPr>
        <w:t xml:space="preserve">Code plagiarism / AI-generation detection — </w:t>
      </w:r>
      <w:r>
        <w:rPr>
          <w:b w:val="false"/>
          <w:bCs w:val="false"/>
          <w:i w:val="false"/>
          <w:iCs w:val="false"/>
        </w:rPr>
        <w:t xml:space="preserve">across the submission corpus, protecting the credibility of certificates and mentor time alike.</w:t>
      </w:r>
    </w:p>
    <w:p>
      <w:pPr>
        <w:pStyle w:val="ListParagraph"/>
        <w:numPr>
          <w:ilvl w:val="0"/>
          <w:numId w:val="1"/>
        </w:numPr>
        <w:spacing w:after="90" w:line="276"/>
      </w:pPr>
      <w:r>
        <w:rPr>
          <w:b/>
          <w:bCs/>
          <w:i w:val="false"/>
          <w:iCs w:val="false"/>
        </w:rPr>
        <w:t xml:space="preserve">Timed, browser-locked assessments — </w:t>
      </w:r>
      <w:r>
        <w:rPr>
          <w:b w:val="false"/>
          <w:bCs w:val="false"/>
          <w:i w:val="false"/>
          <w:iCs w:val="false"/>
        </w:rPr>
        <w:t xml:space="preserve">for any certification-bearing exam, especially needed to win enterprise/university trust.</w:t>
      </w:r>
    </w:p>
    <w:p>
      <w:pPr>
        <w:pStyle w:val="Heading3"/>
        <w:spacing w:after="120" w:before="260"/>
      </w:pPr>
      <w:r>
        <w:rPr>
          <w:b/>
          <w:bCs/>
        </w:rPr>
        <w:t xml:space="preserve">D. Community &amp; motivation</w:t>
      </w:r>
    </w:p>
    <w:p>
      <w:pPr>
        <w:pStyle w:val="ListParagraph"/>
        <w:numPr>
          <w:ilvl w:val="0"/>
          <w:numId w:val="1"/>
        </w:numPr>
        <w:spacing w:after="90" w:line="276"/>
      </w:pPr>
      <w:r>
        <w:rPr>
          <w:b/>
          <w:bCs/>
          <w:i w:val="false"/>
          <w:iCs w:val="false"/>
        </w:rPr>
        <w:t xml:space="preserve">Small cohort “pods” — </w:t>
      </w:r>
      <w:r>
        <w:rPr>
          <w:b w:val="false"/>
          <w:bCs w:val="false"/>
          <w:i w:val="false"/>
          <w:iCs w:val="false"/>
        </w:rPr>
        <w:t xml:space="preserve">4–6 learner peer-accountability groups, available on both live and self-paced tracks — self-paced completion rate is the industry's oldest unsolved problem, and structured peer groups are one of the few interventions with real evidence behind them.</w:t>
      </w:r>
    </w:p>
    <w:p>
      <w:pPr>
        <w:pStyle w:val="ListParagraph"/>
        <w:numPr>
          <w:ilvl w:val="0"/>
          <w:numId w:val="1"/>
        </w:numPr>
        <w:spacing w:after="90" w:line="276"/>
      </w:pPr>
      <w:r>
        <w:rPr>
          <w:b/>
          <w:bCs/>
          <w:i w:val="false"/>
          <w:iCs w:val="false"/>
        </w:rPr>
        <w:t xml:space="preserve">Streaks, XP and leaderboards — </w:t>
      </w:r>
      <w:r>
        <w:rPr>
          <w:b w:val="false"/>
          <w:bCs w:val="false"/>
          <w:i w:val="false"/>
          <w:iCs w:val="false"/>
        </w:rPr>
        <w:t xml:space="preserve">including cohort-level leaderboards for enterprise/university programs, doubling as a gamified compliance-tracking view for institutional admins.</w:t>
      </w:r>
    </w:p>
    <w:p>
      <w:pPr>
        <w:pStyle w:val="ListParagraph"/>
        <w:numPr>
          <w:ilvl w:val="0"/>
          <w:numId w:val="1"/>
        </w:numPr>
        <w:spacing w:after="90" w:line="276"/>
      </w:pPr>
      <w:r>
        <w:rPr>
          <w:b/>
          <w:bCs/>
          <w:i w:val="false"/>
          <w:iCs w:val="false"/>
        </w:rPr>
        <w:t xml:space="preserve">Creator AMAs and alumni network — </w:t>
      </w:r>
      <w:r>
        <w:rPr>
          <w:b w:val="false"/>
          <w:bCs w:val="false"/>
          <w:i w:val="false"/>
          <w:iCs w:val="false"/>
        </w:rPr>
        <w:t xml:space="preserve">office-hours-style live sessions and a persistent alumni community per creator, increasing retention and repeat purchase.</w:t>
      </w:r>
    </w:p>
    <w:p>
      <w:pPr>
        <w:pStyle w:val="Heading3"/>
        <w:spacing w:after="120" w:before="260"/>
      </w:pPr>
      <w:r>
        <w:rPr>
          <w:b/>
          <w:bCs/>
        </w:rPr>
        <w:t xml:space="preserve">E. Monetization &amp; growth levers</w:t>
      </w:r>
    </w:p>
    <w:p>
      <w:pPr>
        <w:pStyle w:val="ListParagraph"/>
        <w:numPr>
          <w:ilvl w:val="0"/>
          <w:numId w:val="1"/>
        </w:numPr>
        <w:spacing w:after="90" w:line="276"/>
      </w:pPr>
      <w:r>
        <w:rPr>
          <w:b/>
          <w:bCs/>
          <w:i w:val="false"/>
          <w:iCs w:val="false"/>
        </w:rPr>
        <w:t xml:space="preserve">EMI / installment financing at checkout — </w:t>
      </w:r>
      <w:r>
        <w:rPr>
          <w:b w:val="false"/>
          <w:bCs w:val="false"/>
          <w:i w:val="false"/>
          <w:iCs w:val="false"/>
        </w:rPr>
        <w:t xml:space="preserve">integration with an Indian education-financing partner (Propelld- or Financepeer-class) — near-mandatory at the price points UpGrad, Edureka, and Crio.do all operate at, and currently absent from your plan.</w:t>
      </w:r>
    </w:p>
    <w:p>
      <w:pPr>
        <w:pStyle w:val="ListParagraph"/>
        <w:numPr>
          <w:ilvl w:val="0"/>
          <w:numId w:val="1"/>
        </w:numPr>
        <w:spacing w:after="90" w:line="276"/>
      </w:pPr>
      <w:r>
        <w:rPr>
          <w:b/>
          <w:bCs/>
          <w:i w:val="false"/>
          <w:iCs w:val="false"/>
        </w:rPr>
        <w:t xml:space="preserve">Regional / PPP-adjusted pricing — </w:t>
      </w:r>
      <w:r>
        <w:rPr>
          <w:b w:val="false"/>
          <w:bCs w:val="false"/>
          <w:i w:val="false"/>
          <w:iCs w:val="false"/>
        </w:rPr>
        <w:t xml:space="preserve">for expansion beyond India, the same mechanism Udemy already uses for dynamic regional pricing.</w:t>
      </w:r>
    </w:p>
    <w:p>
      <w:pPr>
        <w:pStyle w:val="ListParagraph"/>
        <w:numPr>
          <w:ilvl w:val="0"/>
          <w:numId w:val="1"/>
        </w:numPr>
        <w:spacing w:after="90" w:line="276"/>
      </w:pPr>
      <w:r>
        <w:rPr>
          <w:b/>
          <w:bCs/>
          <w:i w:val="false"/>
          <w:iCs w:val="false"/>
        </w:rPr>
        <w:t xml:space="preserve">Referral and affiliate programs — </w:t>
      </w:r>
      <w:r>
        <w:rPr>
          <w:b w:val="false"/>
          <w:bCs w:val="false"/>
          <w:i w:val="false"/>
          <w:iCs w:val="false"/>
        </w:rPr>
        <w:t xml:space="preserve">for learners referring learners and, separately, creators referring creators.</w:t>
      </w:r>
    </w:p>
    <w:p>
      <w:pPr>
        <w:pStyle w:val="ListParagraph"/>
        <w:numPr>
          <w:ilvl w:val="0"/>
          <w:numId w:val="1"/>
        </w:numPr>
        <w:spacing w:after="90" w:line="276"/>
      </w:pPr>
      <w:r>
        <w:rPr>
          <w:b/>
          <w:bCs/>
          <w:i w:val="false"/>
          <w:iCs w:val="false"/>
        </w:rPr>
        <w:t xml:space="preserve">Corporate gifting / team seats — </w:t>
      </w:r>
      <w:r>
        <w:rPr>
          <w:b w:val="false"/>
          <w:bCs w:val="false"/>
          <w:i w:val="false"/>
          <w:iCs w:val="false"/>
        </w:rPr>
        <w:t xml:space="preserve">a lightweight team-purchase flow for a manager buying bundles for a small team, distinct from the full enterprise contract motion.</w:t>
      </w:r>
    </w:p>
    <w:p>
      <w:pPr>
        <w:pStyle w:val="ListParagraph"/>
        <w:numPr>
          <w:ilvl w:val="0"/>
          <w:numId w:val="1"/>
        </w:numPr>
        <w:spacing w:after="90" w:line="276"/>
      </w:pPr>
      <w:r>
        <w:rPr>
          <w:b/>
          <w:bCs/>
          <w:i w:val="false"/>
          <w:iCs w:val="false"/>
        </w:rPr>
        <w:t xml:space="preserve">Optional income-share pricing on the Career tier — </w:t>
      </w:r>
      <w:r>
        <w:rPr>
          <w:b w:val="false"/>
          <w:bCs w:val="false"/>
          <w:i w:val="false"/>
          <w:iCs w:val="false"/>
        </w:rPr>
        <w:t xml:space="preserve">a deferred, pay-after-placement option for the highest-commitment bundle, validated by Crio.do's success-fee model and the broader Masai/ISA pattern — lowers the barrier to your most expensive offering without discounting it.</w:t>
      </w:r>
    </w:p>
    <w:p>
      <w:pPr>
        <w:pStyle w:val="Heading3"/>
        <w:spacing w:after="120" w:before="260"/>
      </w:pPr>
      <w:r>
        <w:rPr>
          <w:b/>
          <w:bCs/>
        </w:rPr>
        <w:t xml:space="preserve">F. Enterprise-grade trust</w:t>
      </w:r>
    </w:p>
    <w:p>
      <w:pPr>
        <w:pStyle w:val="ListParagraph"/>
        <w:numPr>
          <w:ilvl w:val="0"/>
          <w:numId w:val="1"/>
        </w:numPr>
        <w:spacing w:after="90" w:line="276"/>
      </w:pPr>
      <w:r>
        <w:rPr>
          <w:b/>
          <w:bCs/>
          <w:i w:val="false"/>
          <w:iCs w:val="false"/>
        </w:rPr>
        <w:t xml:space="preserve">SSO and bulk roster management — </w:t>
      </w:r>
      <w:r>
        <w:rPr>
          <w:b w:val="false"/>
          <w:bCs w:val="false"/>
          <w:i w:val="false"/>
          <w:iCs w:val="false"/>
        </w:rPr>
        <w:t xml:space="preserve">for university and corporate admins, matching what Udemy Business and Coursera for Business already offer at the Enterprise tier.</w:t>
      </w:r>
    </w:p>
    <w:p>
      <w:pPr>
        <w:pStyle w:val="ListParagraph"/>
        <w:numPr>
          <w:ilvl w:val="0"/>
          <w:numId w:val="1"/>
        </w:numPr>
        <w:spacing w:after="90" w:line="276"/>
      </w:pPr>
      <w:r>
        <w:rPr>
          <w:b/>
          <w:bCs/>
          <w:i w:val="false"/>
          <w:iCs w:val="false"/>
        </w:rPr>
        <w:t xml:space="preserve">Compliance and completion reporting dashboards — </w:t>
      </w:r>
      <w:r>
        <w:rPr>
          <w:b w:val="false"/>
          <w:bCs w:val="false"/>
          <w:i w:val="false"/>
          <w:iCs w:val="false"/>
        </w:rPr>
        <w:t xml:space="preserve">including skill-gap heatmaps for institutional partners — the reporting layer that makes the enterprise “Program” SKU credible.</w:t>
      </w:r>
    </w:p>
    <w:p>
      <w:pPr>
        <w:pStyle w:val="ListParagraph"/>
        <w:numPr>
          <w:ilvl w:val="0"/>
          <w:numId w:val="1"/>
        </w:numPr>
        <w:spacing w:after="90" w:line="276"/>
      </w:pPr>
      <w:r>
        <w:rPr>
          <w:b/>
          <w:bCs/>
          <w:i w:val="false"/>
          <w:iCs w:val="false"/>
        </w:rPr>
        <w:t xml:space="preserve">Content interoperability (SCORM/xAPI-style export) — </w:t>
      </w:r>
      <w:r>
        <w:rPr>
          <w:b w:val="false"/>
          <w:bCs w:val="false"/>
          <w:i w:val="false"/>
          <w:iCs w:val="false"/>
        </w:rPr>
        <w:t xml:space="preserve">for enterprise clients who need to pull content or completion data into their own internal LMS.</w:t>
      </w:r>
    </w:p>
    <w:p>
      <w:pPr>
        <w:pStyle w:val="ListParagraph"/>
        <w:numPr>
          <w:ilvl w:val="0"/>
          <w:numId w:val="1"/>
        </w:numPr>
        <w:spacing w:after="90" w:line="276"/>
      </w:pPr>
      <w:r>
        <w:rPr>
          <w:b/>
          <w:bCs/>
          <w:i w:val="false"/>
          <w:iCs w:val="false"/>
        </w:rPr>
        <w:t xml:space="preserve">Dedicated customer success workflow tooling — </w:t>
      </w:r>
      <w:r>
        <w:rPr>
          <w:b w:val="false"/>
          <w:bCs w:val="false"/>
          <w:i w:val="false"/>
          <w:iCs w:val="false"/>
        </w:rPr>
        <w:t xml:space="preserve">for enterprise accounts, mirroring the account-management layer every enterprise-tier competitor above provides.</w:t>
      </w:r>
    </w:p>
    <w:p>
      <w:pPr>
        <w:pStyle w:val="Heading2"/>
        <w:spacing w:after="160" w:before="340"/>
      </w:pPr>
      <w:r>
        <w:rPr>
          <w:b/>
          <w:bCs/>
        </w:rPr>
        <w:t xml:space="preserve">7.3 Prioritization</w:t>
      </w:r>
    </w:p>
    <w:tbl>
      <w:tblPr>
        <w:tblW w:type="dxa" w:w="10206"/>
        <w:tblBorders>
          <w:top w:val="single" w:color="C9D1DE" w:sz="4"/>
          <w:left w:val="single" w:color="C9D1DE" w:sz="4"/>
          <w:bottom w:val="single" w:color="C9D1DE" w:sz="4"/>
          <w:right w:val="single" w:color="C9D1DE" w:sz="4"/>
          <w:insideH w:val="single" w:color="C9D1DE" w:sz="4"/>
          <w:insideV w:val="single" w:color="C9D1DE" w:sz="4"/>
        </w:tblBorders>
      </w:tblPr>
      <w:tblGrid>
        <w:gridCol w:w="7348"/>
        <w:gridCol w:w="2858"/>
      </w:tblGrid>
      <w:tr>
        <w:trPr>
          <w:tblHeader/>
        </w:trPr>
        <w:tc>
          <w:tcPr>
            <w:tcW w:type="dxa" w:w="7348"/>
            <w:shd w:fill="1B2A4A" w:val="clear"/>
            <w:tcMar>
              <w:top w:type="dxa" w:w="100"/>
              <w:left w:type="dxa" w:w="110"/>
              <w:bottom w:type="dxa" w:w="100"/>
              <w:right w:type="dxa" w:w="110"/>
            </w:tcMar>
            <w:vAlign w:val="center"/>
          </w:tcPr>
          <w:p>
            <w:pPr>
              <w:spacing w:after="0"/>
            </w:pPr>
            <w:r>
              <w:rPr>
                <w:b/>
                <w:bCs/>
                <w:color w:val="FFFFFF"/>
                <w:sz w:val="18"/>
                <w:szCs w:val="18"/>
              </w:rPr>
              <w:t xml:space="preserve">Feature</w:t>
            </w:r>
          </w:p>
        </w:tc>
        <w:tc>
          <w:tcPr>
            <w:tcW w:type="dxa" w:w="2858"/>
            <w:shd w:fill="1B2A4A" w:val="clear"/>
            <w:tcMar>
              <w:top w:type="dxa" w:w="100"/>
              <w:left w:type="dxa" w:w="110"/>
              <w:bottom w:type="dxa" w:w="100"/>
              <w:right w:type="dxa" w:w="110"/>
            </w:tcMar>
            <w:vAlign w:val="center"/>
          </w:tcPr>
          <w:p>
            <w:pPr>
              <w:spacing w:after="0"/>
            </w:pPr>
            <w:r>
              <w:rPr>
                <w:b/>
                <w:bCs/>
                <w:color w:val="FFFFFF"/>
                <w:sz w:val="18"/>
                <w:szCs w:val="18"/>
              </w:rPr>
              <w:t xml:space="preserve">Phase</w:t>
            </w:r>
          </w:p>
        </w:tc>
      </w:tr>
      <w:tr>
        <w:tc>
          <w:tcPr>
            <w:tcW w:type="dxa" w:w="7348"/>
            <w:tcMar>
              <w:top w:type="dxa" w:w="90"/>
              <w:left w:type="dxa" w:w="110"/>
              <w:bottom w:type="dxa" w:w="90"/>
              <w:right w:type="dxa" w:w="110"/>
            </w:tcMar>
            <w:vAlign w:val="center"/>
          </w:tcPr>
          <w:p>
            <w:pPr>
              <w:spacing w:after="0" w:line="260"/>
            </w:pPr>
            <w:r>
              <w:rPr>
                <w:b w:val="false"/>
                <w:bCs w:val="false"/>
                <w:sz w:val="18"/>
                <w:szCs w:val="18"/>
              </w:rPr>
              <w:t xml:space="preserve">Core LMS (recorded + live courses, assignments, quizzes, sandboxes)</w:t>
            </w:r>
          </w:p>
        </w:tc>
        <w:tc>
          <w:tcPr>
            <w:tcW w:type="dxa" w:w="2858"/>
            <w:tcMar>
              <w:top w:type="dxa" w:w="90"/>
              <w:left w:type="dxa" w:w="110"/>
              <w:bottom w:type="dxa" w:w="90"/>
              <w:right w:type="dxa" w:w="110"/>
            </w:tcMar>
            <w:vAlign w:val="center"/>
          </w:tcPr>
          <w:p>
            <w:pPr>
              <w:spacing w:after="0" w:line="260"/>
            </w:pPr>
            <w:r>
              <w:rPr>
                <w:b w:val="false"/>
                <w:bCs w:val="false"/>
                <w:sz w:val="18"/>
                <w:szCs w:val="18"/>
              </w:rPr>
              <w:t xml:space="preserve">Now — MVP</w:t>
            </w:r>
          </w:p>
        </w:tc>
      </w:tr>
      <w:tr>
        <w:tc>
          <w:tcPr>
            <w:tcW w:type="dxa" w:w="7348"/>
            <w:shd w:fill="EEF2F7" w:val="clear"/>
            <w:tcMar>
              <w:top w:type="dxa" w:w="90"/>
              <w:left w:type="dxa" w:w="110"/>
              <w:bottom w:type="dxa" w:w="90"/>
              <w:right w:type="dxa" w:w="110"/>
            </w:tcMar>
            <w:vAlign w:val="center"/>
          </w:tcPr>
          <w:p>
            <w:pPr>
              <w:spacing w:after="0" w:line="260"/>
            </w:pPr>
            <w:r>
              <w:rPr>
                <w:b w:val="false"/>
                <w:bCs w:val="false"/>
                <w:sz w:val="18"/>
                <w:szCs w:val="18"/>
              </w:rPr>
              <w:t xml:space="preserve">Capstone-tier mentor-guided projects (single vertical)</w:t>
            </w:r>
          </w:p>
        </w:tc>
        <w:tc>
          <w:tcPr>
            <w:tcW w:type="dxa" w:w="2858"/>
            <w:shd w:fill="EEF2F7" w:val="clear"/>
            <w:tcMar>
              <w:top w:type="dxa" w:w="90"/>
              <w:left w:type="dxa" w:w="110"/>
              <w:bottom w:type="dxa" w:w="90"/>
              <w:right w:type="dxa" w:w="110"/>
            </w:tcMar>
            <w:vAlign w:val="center"/>
          </w:tcPr>
          <w:p>
            <w:pPr>
              <w:spacing w:after="0" w:line="260"/>
            </w:pPr>
            <w:r>
              <w:rPr>
                <w:b w:val="false"/>
                <w:bCs w:val="false"/>
                <w:sz w:val="18"/>
                <w:szCs w:val="18"/>
              </w:rPr>
              <w:t xml:space="preserve">Now — MVP</w:t>
            </w:r>
          </w:p>
        </w:tc>
      </w:tr>
      <w:tr>
        <w:tc>
          <w:tcPr>
            <w:tcW w:type="dxa" w:w="7348"/>
            <w:tcMar>
              <w:top w:type="dxa" w:w="90"/>
              <w:left w:type="dxa" w:w="110"/>
              <w:bottom w:type="dxa" w:w="90"/>
              <w:right w:type="dxa" w:w="110"/>
            </w:tcMar>
            <w:vAlign w:val="center"/>
          </w:tcPr>
          <w:p>
            <w:pPr>
              <w:spacing w:after="0" w:line="260"/>
            </w:pPr>
            <w:r>
              <w:rPr>
                <w:b w:val="false"/>
                <w:bCs w:val="false"/>
                <w:sz w:val="18"/>
                <w:szCs w:val="18"/>
              </w:rPr>
              <w:t xml:space="preserve">Universal cart, à la carte checkout, coupons</w:t>
            </w:r>
          </w:p>
        </w:tc>
        <w:tc>
          <w:tcPr>
            <w:tcW w:type="dxa" w:w="2858"/>
            <w:tcMar>
              <w:top w:type="dxa" w:w="90"/>
              <w:left w:type="dxa" w:w="110"/>
              <w:bottom w:type="dxa" w:w="90"/>
              <w:right w:type="dxa" w:w="110"/>
            </w:tcMar>
            <w:vAlign w:val="center"/>
          </w:tcPr>
          <w:p>
            <w:pPr>
              <w:spacing w:after="0" w:line="260"/>
            </w:pPr>
            <w:r>
              <w:rPr>
                <w:b w:val="false"/>
                <w:bCs w:val="false"/>
                <w:sz w:val="18"/>
                <w:szCs w:val="18"/>
              </w:rPr>
              <w:t xml:space="preserve">Now — MVP</w:t>
            </w:r>
          </w:p>
        </w:tc>
      </w:tr>
      <w:tr>
        <w:tc>
          <w:tcPr>
            <w:tcW w:type="dxa" w:w="7348"/>
            <w:shd w:fill="EEF2F7" w:val="clear"/>
            <w:tcMar>
              <w:top w:type="dxa" w:w="90"/>
              <w:left w:type="dxa" w:w="110"/>
              <w:bottom w:type="dxa" w:w="90"/>
              <w:right w:type="dxa" w:w="110"/>
            </w:tcMar>
            <w:vAlign w:val="center"/>
          </w:tcPr>
          <w:p>
            <w:pPr>
              <w:spacing w:after="0" w:line="260"/>
            </w:pPr>
            <w:r>
              <w:rPr>
                <w:b w:val="false"/>
                <w:bCs w:val="false"/>
                <w:sz w:val="18"/>
                <w:szCs w:val="18"/>
              </w:rPr>
              <w:t xml:space="preserve">Creator storefront (basic branding, authoring, payouts)</w:t>
            </w:r>
          </w:p>
        </w:tc>
        <w:tc>
          <w:tcPr>
            <w:tcW w:type="dxa" w:w="2858"/>
            <w:shd w:fill="EEF2F7" w:val="clear"/>
            <w:tcMar>
              <w:top w:type="dxa" w:w="90"/>
              <w:left w:type="dxa" w:w="110"/>
              <w:bottom w:type="dxa" w:w="90"/>
              <w:right w:type="dxa" w:w="110"/>
            </w:tcMar>
            <w:vAlign w:val="center"/>
          </w:tcPr>
          <w:p>
            <w:pPr>
              <w:spacing w:after="0" w:line="260"/>
            </w:pPr>
            <w:r>
              <w:rPr>
                <w:b w:val="false"/>
                <w:bCs w:val="false"/>
                <w:sz w:val="18"/>
                <w:szCs w:val="18"/>
              </w:rPr>
              <w:t xml:space="preserve">Now — MVP</w:t>
            </w:r>
          </w:p>
        </w:tc>
      </w:tr>
      <w:tr>
        <w:tc>
          <w:tcPr>
            <w:tcW w:type="dxa" w:w="7348"/>
            <w:tcMar>
              <w:top w:type="dxa" w:w="90"/>
              <w:left w:type="dxa" w:w="110"/>
              <w:bottom w:type="dxa" w:w="90"/>
              <w:right w:type="dxa" w:w="110"/>
            </w:tcMar>
            <w:vAlign w:val="center"/>
          </w:tcPr>
          <w:p>
            <w:pPr>
              <w:spacing w:after="0" w:line="260"/>
            </w:pPr>
            <w:r>
              <w:rPr>
                <w:b w:val="false"/>
                <w:bCs w:val="false"/>
                <w:sz w:val="18"/>
                <w:szCs w:val="18"/>
              </w:rPr>
              <w:t xml:space="preserve">Sprint and Flagship project tiers; live defense checkpoint</w:t>
            </w:r>
          </w:p>
        </w:tc>
        <w:tc>
          <w:tcPr>
            <w:tcW w:type="dxa" w:w="2858"/>
            <w:tcMar>
              <w:top w:type="dxa" w:w="90"/>
              <w:left w:type="dxa" w:w="110"/>
              <w:bottom w:type="dxa" w:w="90"/>
              <w:right w:type="dxa" w:w="110"/>
            </w:tcMar>
            <w:vAlign w:val="center"/>
          </w:tcPr>
          <w:p>
            <w:pPr>
              <w:spacing w:after="0" w:line="260"/>
            </w:pPr>
            <w:r>
              <w:rPr>
                <w:b w:val="false"/>
                <w:bCs w:val="false"/>
                <w:sz w:val="18"/>
                <w:szCs w:val="18"/>
              </w:rPr>
              <w:t xml:space="preserve">Next</w:t>
            </w:r>
          </w:p>
        </w:tc>
      </w:tr>
      <w:tr>
        <w:tc>
          <w:tcPr>
            <w:tcW w:type="dxa" w:w="7348"/>
            <w:shd w:fill="EEF2F7" w:val="clear"/>
            <w:tcMar>
              <w:top w:type="dxa" w:w="90"/>
              <w:left w:type="dxa" w:w="110"/>
              <w:bottom w:type="dxa" w:w="90"/>
              <w:right w:type="dxa" w:w="110"/>
            </w:tcMar>
            <w:vAlign w:val="center"/>
          </w:tcPr>
          <w:p>
            <w:pPr>
              <w:spacing w:after="0" w:line="260"/>
            </w:pPr>
            <w:r>
              <w:rPr>
                <w:b w:val="false"/>
                <w:bCs w:val="false"/>
                <w:sz w:val="18"/>
                <w:szCs w:val="18"/>
              </w:rPr>
              <w:t xml:space="preserve">Proof-of-Work portfolio pages; verifiable credentials</w:t>
            </w:r>
          </w:p>
        </w:tc>
        <w:tc>
          <w:tcPr>
            <w:tcW w:type="dxa" w:w="2858"/>
            <w:shd w:fill="EEF2F7" w:val="clear"/>
            <w:tcMar>
              <w:top w:type="dxa" w:w="90"/>
              <w:left w:type="dxa" w:w="110"/>
              <w:bottom w:type="dxa" w:w="90"/>
              <w:right w:type="dxa" w:w="110"/>
            </w:tcMar>
            <w:vAlign w:val="center"/>
          </w:tcPr>
          <w:p>
            <w:pPr>
              <w:spacing w:after="0" w:line="260"/>
            </w:pPr>
            <w:r>
              <w:rPr>
                <w:b w:val="false"/>
                <w:bCs w:val="false"/>
                <w:sz w:val="18"/>
                <w:szCs w:val="18"/>
              </w:rPr>
              <w:t xml:space="preserve">Next</w:t>
            </w:r>
          </w:p>
        </w:tc>
      </w:tr>
      <w:tr>
        <w:tc>
          <w:tcPr>
            <w:tcW w:type="dxa" w:w="7348"/>
            <w:tcMar>
              <w:top w:type="dxa" w:w="90"/>
              <w:left w:type="dxa" w:w="110"/>
              <w:bottom w:type="dxa" w:w="90"/>
              <w:right w:type="dxa" w:w="110"/>
            </w:tcMar>
            <w:vAlign w:val="center"/>
          </w:tcPr>
          <w:p>
            <w:pPr>
              <w:spacing w:after="0" w:line="260"/>
            </w:pPr>
            <w:r>
              <w:rPr>
                <w:b w:val="false"/>
                <w:bCs w:val="false"/>
                <w:sz w:val="18"/>
                <w:szCs w:val="18"/>
              </w:rPr>
              <w:t xml:space="preserve">EMI checkout; referral/affiliate programs</w:t>
            </w:r>
          </w:p>
        </w:tc>
        <w:tc>
          <w:tcPr>
            <w:tcW w:type="dxa" w:w="2858"/>
            <w:tcMar>
              <w:top w:type="dxa" w:w="90"/>
              <w:left w:type="dxa" w:w="110"/>
              <w:bottom w:type="dxa" w:w="90"/>
              <w:right w:type="dxa" w:w="110"/>
            </w:tcMar>
            <w:vAlign w:val="center"/>
          </w:tcPr>
          <w:p>
            <w:pPr>
              <w:spacing w:after="0" w:line="260"/>
            </w:pPr>
            <w:r>
              <w:rPr>
                <w:b w:val="false"/>
                <w:bCs w:val="false"/>
                <w:sz w:val="18"/>
                <w:szCs w:val="18"/>
              </w:rPr>
              <w:t xml:space="preserve">Next</w:t>
            </w:r>
          </w:p>
        </w:tc>
      </w:tr>
      <w:tr>
        <w:tc>
          <w:tcPr>
            <w:tcW w:type="dxa" w:w="7348"/>
            <w:shd w:fill="EEF2F7" w:val="clear"/>
            <w:tcMar>
              <w:top w:type="dxa" w:w="90"/>
              <w:left w:type="dxa" w:w="110"/>
              <w:bottom w:type="dxa" w:w="90"/>
              <w:right w:type="dxa" w:w="110"/>
            </w:tcMar>
            <w:vAlign w:val="center"/>
          </w:tcPr>
          <w:p>
            <w:pPr>
              <w:spacing w:after="0" w:line="260"/>
            </w:pPr>
            <w:r>
              <w:rPr>
                <w:b w:val="false"/>
                <w:bCs w:val="false"/>
                <w:sz w:val="18"/>
                <w:szCs w:val="18"/>
              </w:rPr>
              <w:t xml:space="preserve">AI teaching assistant; AI first-pass project review</w:t>
            </w:r>
          </w:p>
        </w:tc>
        <w:tc>
          <w:tcPr>
            <w:tcW w:type="dxa" w:w="2858"/>
            <w:shd w:fill="EEF2F7" w:val="clear"/>
            <w:tcMar>
              <w:top w:type="dxa" w:w="90"/>
              <w:left w:type="dxa" w:w="110"/>
              <w:bottom w:type="dxa" w:w="90"/>
              <w:right w:type="dxa" w:w="110"/>
            </w:tcMar>
            <w:vAlign w:val="center"/>
          </w:tcPr>
          <w:p>
            <w:pPr>
              <w:spacing w:after="0" w:line="260"/>
            </w:pPr>
            <w:r>
              <w:rPr>
                <w:b w:val="false"/>
                <w:bCs w:val="false"/>
                <w:sz w:val="18"/>
                <w:szCs w:val="18"/>
              </w:rPr>
              <w:t xml:space="preserve">Next</w:t>
            </w:r>
          </w:p>
        </w:tc>
      </w:tr>
      <w:tr>
        <w:tc>
          <w:tcPr>
            <w:tcW w:type="dxa" w:w="7348"/>
            <w:tcMar>
              <w:top w:type="dxa" w:w="90"/>
              <w:left w:type="dxa" w:w="110"/>
              <w:bottom w:type="dxa" w:w="90"/>
              <w:right w:type="dxa" w:w="110"/>
            </w:tcMar>
            <w:vAlign w:val="center"/>
          </w:tcPr>
          <w:p>
            <w:pPr>
              <w:spacing w:after="0" w:line="260"/>
            </w:pPr>
            <w:r>
              <w:rPr>
                <w:b w:val="false"/>
                <w:bCs w:val="false"/>
                <w:sz w:val="18"/>
                <w:szCs w:val="18"/>
              </w:rPr>
              <w:t xml:space="preserve">Enterprise Program packaging; SSO; compliance reporting</w:t>
            </w:r>
          </w:p>
        </w:tc>
        <w:tc>
          <w:tcPr>
            <w:tcW w:type="dxa" w:w="2858"/>
            <w:tcMar>
              <w:top w:type="dxa" w:w="90"/>
              <w:left w:type="dxa" w:w="110"/>
              <w:bottom w:type="dxa" w:w="90"/>
              <w:right w:type="dxa" w:w="110"/>
            </w:tcMar>
            <w:vAlign w:val="center"/>
          </w:tcPr>
          <w:p>
            <w:pPr>
              <w:spacing w:after="0" w:line="260"/>
            </w:pPr>
            <w:r>
              <w:rPr>
                <w:b w:val="false"/>
                <w:bCs w:val="false"/>
                <w:sz w:val="18"/>
                <w:szCs w:val="18"/>
              </w:rPr>
              <w:t xml:space="preserve">Later</w:t>
            </w:r>
          </w:p>
        </w:tc>
      </w:tr>
      <w:tr>
        <w:tc>
          <w:tcPr>
            <w:tcW w:type="dxa" w:w="7348"/>
            <w:shd w:fill="EEF2F7" w:val="clear"/>
            <w:tcMar>
              <w:top w:type="dxa" w:w="90"/>
              <w:left w:type="dxa" w:w="110"/>
              <w:bottom w:type="dxa" w:w="90"/>
              <w:right w:type="dxa" w:w="110"/>
            </w:tcMar>
            <w:vAlign w:val="center"/>
          </w:tcPr>
          <w:p>
            <w:pPr>
              <w:spacing w:after="0" w:line="260"/>
            </w:pPr>
            <w:r>
              <w:rPr>
                <w:b w:val="false"/>
                <w:bCs w:val="false"/>
                <w:sz w:val="18"/>
                <w:szCs w:val="18"/>
              </w:rPr>
              <w:t xml:space="preserve">Hiring-partner talent marketplace; mock-interview marketplace</w:t>
            </w:r>
          </w:p>
        </w:tc>
        <w:tc>
          <w:tcPr>
            <w:tcW w:type="dxa" w:w="2858"/>
            <w:shd w:fill="EEF2F7" w:val="clear"/>
            <w:tcMar>
              <w:top w:type="dxa" w:w="90"/>
              <w:left w:type="dxa" w:w="110"/>
              <w:bottom w:type="dxa" w:w="90"/>
              <w:right w:type="dxa" w:w="110"/>
            </w:tcMar>
            <w:vAlign w:val="center"/>
          </w:tcPr>
          <w:p>
            <w:pPr>
              <w:spacing w:after="0" w:line="260"/>
            </w:pPr>
            <w:r>
              <w:rPr>
                <w:b w:val="false"/>
                <w:bCs w:val="false"/>
                <w:sz w:val="18"/>
                <w:szCs w:val="18"/>
              </w:rPr>
              <w:t xml:space="preserve">Later</w:t>
            </w:r>
          </w:p>
        </w:tc>
      </w:tr>
      <w:tr>
        <w:tc>
          <w:tcPr>
            <w:tcW w:type="dxa" w:w="7348"/>
            <w:tcMar>
              <w:top w:type="dxa" w:w="90"/>
              <w:left w:type="dxa" w:w="110"/>
              <w:bottom w:type="dxa" w:w="90"/>
              <w:right w:type="dxa" w:w="110"/>
            </w:tcMar>
            <w:vAlign w:val="center"/>
          </w:tcPr>
          <w:p>
            <w:pPr>
              <w:spacing w:after="0" w:line="260"/>
            </w:pPr>
            <w:r>
              <w:rPr>
                <w:b w:val="false"/>
                <w:bCs w:val="false"/>
                <w:sz w:val="18"/>
                <w:szCs w:val="18"/>
              </w:rPr>
              <w:t xml:space="preserve">Regional/PPP pricing; income-share pricing option</w:t>
            </w:r>
          </w:p>
        </w:tc>
        <w:tc>
          <w:tcPr>
            <w:tcW w:type="dxa" w:w="2858"/>
            <w:tcMar>
              <w:top w:type="dxa" w:w="90"/>
              <w:left w:type="dxa" w:w="110"/>
              <w:bottom w:type="dxa" w:w="90"/>
              <w:right w:type="dxa" w:w="110"/>
            </w:tcMar>
            <w:vAlign w:val="center"/>
          </w:tcPr>
          <w:p>
            <w:pPr>
              <w:spacing w:after="0" w:line="260"/>
            </w:pPr>
            <w:r>
              <w:rPr>
                <w:b w:val="false"/>
                <w:bCs w:val="false"/>
                <w:sz w:val="18"/>
                <w:szCs w:val="18"/>
              </w:rPr>
              <w:t xml:space="preserve">Later</w:t>
            </w:r>
          </w:p>
        </w:tc>
      </w:tr>
    </w:tbl>
    <w:p>
      <w:pPr>
        <w:pStyle w:val="Heading1"/>
        <w:pageBreakBefore/>
        <w:spacing w:after="220" w:before="200"/>
      </w:pPr>
      <w:r>
        <w:rPr>
          <w:b/>
          <w:bCs/>
        </w:rPr>
        <w:t xml:space="preserve">8. Pricing &amp; Monetization Strategy</w:t>
      </w:r>
    </w:p>
    <w:p>
      <w:pPr>
        <w:pStyle w:val="Heading2"/>
        <w:spacing w:after="160" w:before="340"/>
      </w:pPr>
      <w:r>
        <w:rPr>
          <w:b/>
          <w:bCs/>
        </w:rPr>
        <w:t xml:space="preserve">8.1 Principles</w:t>
      </w:r>
    </w:p>
    <w:p>
      <w:pPr>
        <w:spacing w:after="200" w:line="288"/>
        <w:jc w:val="left"/>
      </w:pPr>
      <w:r>
        <w:t xml:space="preserve">Maven's own pricing guidance to its instructors is worth building around directly: it tells creators to anchor course price on two dimensions — live interaction and projects — because access to a real expert and hands-on outcomes are what learners actually pay a premium for, not content volume. That maps almost exactly onto this platform's two supply-constrained assets: live class time and mentor review time. Two further principles follow from the competitive research:</w:t>
      </w:r>
    </w:p>
    <w:p>
      <w:pPr>
        <w:pStyle w:val="ListParagraph"/>
        <w:numPr>
          <w:ilvl w:val="0"/>
          <w:numId w:val="1"/>
        </w:numPr>
        <w:spacing w:after="90" w:line="276"/>
      </w:pPr>
      <w:r>
        <w:rPr>
          <w:b/>
          <w:bCs/>
          <w:i w:val="false"/>
          <w:iCs w:val="false"/>
        </w:rPr>
        <w:t xml:space="preserve">Don't rely on a single flat subscription. </w:t>
      </w:r>
      <w:r>
        <w:rPr>
          <w:b w:val="false"/>
          <w:bCs w:val="false"/>
          <w:i w:val="false"/>
          <w:iCs w:val="false"/>
        </w:rPr>
        <w:t xml:space="preserve">A Coursera-Plus-style all-you-can-eat plan under-monetizes the mentor-project side, which carries real marginal cost (mentor hours) that pure content does not.</w:t>
      </w:r>
    </w:p>
    <w:p>
      <w:pPr>
        <w:pStyle w:val="ListParagraph"/>
        <w:numPr>
          <w:ilvl w:val="0"/>
          <w:numId w:val="1"/>
        </w:numPr>
        <w:spacing w:after="90" w:line="276"/>
      </w:pPr>
      <w:r>
        <w:rPr>
          <w:b/>
          <w:bCs/>
          <w:i w:val="false"/>
          <w:iCs w:val="false"/>
        </w:rPr>
        <w:t xml:space="preserve">Don't rely on pure à la carte either. </w:t>
      </w:r>
      <w:r>
        <w:rPr>
          <w:b w:val="false"/>
          <w:bCs w:val="false"/>
          <w:i w:val="false"/>
          <w:iCs w:val="false"/>
        </w:rPr>
        <w:t xml:space="preserve">Edureka's course-by-course-only model (no subscription at all) leaves money on the table from engaged, high-frequency learners — exactly the gap Coursera Plus was built to capture.</w:t>
      </w:r>
    </w:p>
    <w:p>
      <w:pPr>
        <w:spacing w:after="200" w:line="288"/>
        <w:jc w:val="left"/>
      </w:pPr>
      <w:r>
        <w:t xml:space="preserve">The architecture below blends a subscription (for content breadth and modest discounts) with à la carte pricing anchored to actual mentor cost (for project depth) and a separate enterprise motion — while keeping every SKU independently purchasable, per your explicit requirement.</w:t>
      </w:r>
    </w:p>
    <w:p>
      <w:pPr>
        <w:pStyle w:val="Heading2"/>
        <w:spacing w:after="160" w:before="340"/>
      </w:pPr>
      <w:r>
        <w:rPr>
          <w:b/>
          <w:bCs/>
        </w:rPr>
        <w:t xml:space="preserve">8.2 Learner-facing tiers — and the naming question</w:t>
      </w:r>
    </w:p>
    <w:p>
      <w:pPr>
        <w:spacing w:after="200" w:line="288"/>
        <w:jc w:val="left"/>
      </w:pPr>
      <w:r>
        <w:t xml:space="preserve">On Basic / Pro / Premium / Premium Plus specifically: it's a reasonable, safe default — it's literally the pattern Fermion itself uses for its own B2B pricing — but it's weak for a consumer learning brand for two concrete reasons. First, “Premium” vs. “Premium Plus” asks a buyer scanning quickly to infer a value difference from adjectives alone, which is exactly the kind of ambiguity that suppresses upgrade conversion. Second, generic tier names waste the one piece of free marketing a pricing page gets: on this product, the real axis of value isn't “more features,” it's “how much human-guided support and career proof you get,” which is a more premium-justifying story than Basic→Pro→Premium implies.</w:t>
      </w:r>
    </w:p>
    <w:p>
      <w:pPr>
        <w:pStyle w:val="Heading3"/>
        <w:spacing w:after="120" w:before="260"/>
      </w:pPr>
      <w:r>
        <w:rPr>
          <w:b/>
          <w:bCs/>
        </w:rPr>
        <w:t xml:space="preserve">Two naming options</w:t>
      </w:r>
    </w:p>
    <w:p>
      <w:pPr>
        <w:pStyle w:val="ListParagraph"/>
        <w:numPr>
          <w:ilvl w:val="0"/>
          <w:numId w:val="1"/>
        </w:numPr>
        <w:spacing w:after="90" w:line="276"/>
      </w:pPr>
      <w:r>
        <w:rPr>
          <w:b/>
          <w:bCs/>
          <w:i w:val="false"/>
          <w:iCs w:val="false"/>
        </w:rPr>
        <w:t xml:space="preserve">Option A — clean SaaS convention: </w:t>
      </w:r>
      <w:r>
        <w:rPr>
          <w:b w:val="false"/>
          <w:bCs w:val="false"/>
          <w:i w:val="false"/>
          <w:iCs w:val="false"/>
        </w:rPr>
        <w:t xml:space="preserve">Free / Plus / Pro / Enterprise. Low-risk, instantly familiar (Slack, Notion, and most B2B SaaS use this exact pattern), but doesn't communicate this product's specific value journey.</w:t>
      </w:r>
    </w:p>
    <w:p>
      <w:pPr>
        <w:pStyle w:val="ListParagraph"/>
        <w:numPr>
          <w:ilvl w:val="0"/>
          <w:numId w:val="1"/>
        </w:numPr>
        <w:spacing w:after="90" w:line="276"/>
      </w:pPr>
      <w:r>
        <w:rPr>
          <w:b/>
          <w:bCs/>
          <w:i w:val="false"/>
          <w:iCs w:val="false"/>
        </w:rPr>
        <w:t xml:space="preserve">Option B — value-descriptive (recommended): </w:t>
      </w:r>
      <w:r>
        <w:rPr>
          <w:b w:val="false"/>
          <w:bCs w:val="false"/>
          <w:i w:val="false"/>
          <w:iCs w:val="false"/>
        </w:rPr>
        <w:t xml:space="preserve">Free → Learn → Mentor → Career → Enterprise. Each name literally describes what the learner is buying — content access, then guided practice, then a fully mentor-backed career outcome — which mirrors how Coursera Plus, Udemy's Personal Plan, and Xbox Game Pass Ultimate all use naming to sell an identity or outcome, not just a feature list.</w:t>
      </w:r>
    </w:p>
    <w:p>
      <w:pPr>
        <w:pStyle w:val="Heading3"/>
        <w:spacing w:after="120" w:before="260"/>
      </w:pPr>
      <w:r>
        <w:rPr>
          <w:b/>
          <w:bCs/>
        </w:rPr>
        <w:t xml:space="preserve">Recommended tier definitions (Option B)</w:t>
      </w:r>
    </w:p>
    <w:tbl>
      <w:tblPr>
        <w:tblW w:type="dxa" w:w="10206"/>
        <w:tblBorders>
          <w:top w:val="single" w:color="C9D1DE" w:sz="4"/>
          <w:left w:val="single" w:color="C9D1DE" w:sz="4"/>
          <w:bottom w:val="single" w:color="C9D1DE" w:sz="4"/>
          <w:right w:val="single" w:color="C9D1DE" w:sz="4"/>
          <w:insideH w:val="single" w:color="C9D1DE" w:sz="4"/>
          <w:insideV w:val="single" w:color="C9D1DE" w:sz="4"/>
        </w:tblBorders>
      </w:tblPr>
      <w:tblGrid>
        <w:gridCol w:w="1531"/>
        <w:gridCol w:w="1633"/>
        <w:gridCol w:w="1633"/>
        <w:gridCol w:w="1429"/>
        <w:gridCol w:w="2245"/>
        <w:gridCol w:w="1735"/>
      </w:tblGrid>
      <w:tr>
        <w:trPr>
          <w:tblHeader/>
        </w:trPr>
        <w:tc>
          <w:tcPr>
            <w:tcW w:type="dxa" w:w="1531"/>
            <w:shd w:fill="1B2A4A" w:val="clear"/>
            <w:tcMar>
              <w:top w:type="dxa" w:w="100"/>
              <w:left w:type="dxa" w:w="110"/>
              <w:bottom w:type="dxa" w:w="100"/>
              <w:right w:type="dxa" w:w="110"/>
            </w:tcMar>
            <w:vAlign w:val="center"/>
          </w:tcPr>
          <w:p>
            <w:pPr>
              <w:spacing w:after="0"/>
            </w:pPr>
            <w:r>
              <w:rPr>
                <w:b/>
                <w:bCs/>
                <w:color w:val="FFFFFF"/>
                <w:sz w:val="18"/>
                <w:szCs w:val="18"/>
              </w:rPr>
              <w:t xml:space="preserve">Tier</w:t>
            </w:r>
          </w:p>
        </w:tc>
        <w:tc>
          <w:tcPr>
            <w:tcW w:type="dxa" w:w="1633"/>
            <w:shd w:fill="1B2A4A" w:val="clear"/>
            <w:tcMar>
              <w:top w:type="dxa" w:w="100"/>
              <w:left w:type="dxa" w:w="110"/>
              <w:bottom w:type="dxa" w:w="100"/>
              <w:right w:type="dxa" w:w="110"/>
            </w:tcMar>
            <w:vAlign w:val="center"/>
          </w:tcPr>
          <w:p>
            <w:pPr>
              <w:spacing w:after="0"/>
            </w:pPr>
            <w:r>
              <w:rPr>
                <w:b/>
                <w:bCs/>
                <w:color w:val="FFFFFF"/>
                <w:sz w:val="18"/>
                <w:szCs w:val="18"/>
              </w:rPr>
              <w:t xml:space="preserve">Price anchor</w:t>
            </w:r>
          </w:p>
        </w:tc>
        <w:tc>
          <w:tcPr>
            <w:tcW w:type="dxa" w:w="1633"/>
            <w:shd w:fill="1B2A4A" w:val="clear"/>
            <w:tcMar>
              <w:top w:type="dxa" w:w="100"/>
              <w:left w:type="dxa" w:w="110"/>
              <w:bottom w:type="dxa" w:w="100"/>
              <w:right w:type="dxa" w:w="110"/>
            </w:tcMar>
            <w:vAlign w:val="center"/>
          </w:tcPr>
          <w:p>
            <w:pPr>
              <w:spacing w:after="0"/>
            </w:pPr>
            <w:r>
              <w:rPr>
                <w:b/>
                <w:bCs/>
                <w:color w:val="FFFFFF"/>
                <w:sz w:val="18"/>
                <w:szCs w:val="18"/>
              </w:rPr>
              <w:t xml:space="preserve">Content library</w:t>
            </w:r>
          </w:p>
        </w:tc>
        <w:tc>
          <w:tcPr>
            <w:tcW w:type="dxa" w:w="1429"/>
            <w:shd w:fill="1B2A4A" w:val="clear"/>
            <w:tcMar>
              <w:top w:type="dxa" w:w="100"/>
              <w:left w:type="dxa" w:w="110"/>
              <w:bottom w:type="dxa" w:w="100"/>
              <w:right w:type="dxa" w:w="110"/>
            </w:tcMar>
            <w:vAlign w:val="center"/>
          </w:tcPr>
          <w:p>
            <w:pPr>
              <w:spacing w:after="0"/>
            </w:pPr>
            <w:r>
              <w:rPr>
                <w:b/>
                <w:bCs/>
                <w:color w:val="FFFFFF"/>
                <w:sz w:val="18"/>
                <w:szCs w:val="18"/>
              </w:rPr>
              <w:t xml:space="preserve">Live cohorts</w:t>
            </w:r>
          </w:p>
        </w:tc>
        <w:tc>
          <w:tcPr>
            <w:tcW w:type="dxa" w:w="2245"/>
            <w:shd w:fill="1B2A4A" w:val="clear"/>
            <w:tcMar>
              <w:top w:type="dxa" w:w="100"/>
              <w:left w:type="dxa" w:w="110"/>
              <w:bottom w:type="dxa" w:w="100"/>
              <w:right w:type="dxa" w:w="110"/>
            </w:tcMar>
            <w:vAlign w:val="center"/>
          </w:tcPr>
          <w:p>
            <w:pPr>
              <w:spacing w:after="0"/>
            </w:pPr>
            <w:r>
              <w:rPr>
                <w:b/>
                <w:bCs/>
                <w:color w:val="FFFFFF"/>
                <w:sz w:val="18"/>
                <w:szCs w:val="18"/>
              </w:rPr>
              <w:t xml:space="preserve">Mentor-guided projects</w:t>
            </w:r>
          </w:p>
        </w:tc>
        <w:tc>
          <w:tcPr>
            <w:tcW w:type="dxa" w:w="1735"/>
            <w:shd w:fill="1B2A4A" w:val="clear"/>
            <w:tcMar>
              <w:top w:type="dxa" w:w="100"/>
              <w:left w:type="dxa" w:w="110"/>
              <w:bottom w:type="dxa" w:w="100"/>
              <w:right w:type="dxa" w:w="110"/>
            </w:tcMar>
            <w:vAlign w:val="center"/>
          </w:tcPr>
          <w:p>
            <w:pPr>
              <w:spacing w:after="0"/>
            </w:pPr>
            <w:r>
              <w:rPr>
                <w:b/>
                <w:bCs/>
                <w:color w:val="FFFFFF"/>
                <w:sz w:val="18"/>
                <w:szCs w:val="18"/>
              </w:rPr>
              <w:t xml:space="preserve">Career layer</w:t>
            </w:r>
          </w:p>
        </w:tc>
      </w:tr>
      <w:tr>
        <w:tc>
          <w:tcPr>
            <w:tcW w:type="dxa" w:w="1531"/>
            <w:tcMar>
              <w:top w:type="dxa" w:w="90"/>
              <w:left w:type="dxa" w:w="110"/>
              <w:bottom w:type="dxa" w:w="90"/>
              <w:right w:type="dxa" w:w="110"/>
            </w:tcMar>
            <w:vAlign w:val="center"/>
          </w:tcPr>
          <w:p>
            <w:pPr>
              <w:spacing w:after="0" w:line="260"/>
            </w:pPr>
            <w:r>
              <w:rPr>
                <w:b w:val="false"/>
                <w:bCs w:val="false"/>
                <w:sz w:val="18"/>
                <w:szCs w:val="18"/>
              </w:rPr>
              <w:t xml:space="preserve">Free (Explorer)</w:t>
            </w:r>
          </w:p>
        </w:tc>
        <w:tc>
          <w:tcPr>
            <w:tcW w:type="dxa" w:w="1633"/>
            <w:tcMar>
              <w:top w:type="dxa" w:w="90"/>
              <w:left w:type="dxa" w:w="110"/>
              <w:bottom w:type="dxa" w:w="90"/>
              <w:right w:type="dxa" w:w="110"/>
            </w:tcMar>
            <w:vAlign w:val="center"/>
          </w:tcPr>
          <w:p>
            <w:pPr>
              <w:spacing w:after="0" w:line="260"/>
            </w:pPr>
            <w:r>
              <w:rPr>
                <w:b w:val="false"/>
                <w:bCs w:val="false"/>
                <w:sz w:val="18"/>
                <w:szCs w:val="18"/>
              </w:rPr>
              <w:t xml:space="preserve">$0</w:t>
            </w:r>
          </w:p>
        </w:tc>
        <w:tc>
          <w:tcPr>
            <w:tcW w:type="dxa" w:w="1633"/>
            <w:tcMar>
              <w:top w:type="dxa" w:w="90"/>
              <w:left w:type="dxa" w:w="110"/>
              <w:bottom w:type="dxa" w:w="90"/>
              <w:right w:type="dxa" w:w="110"/>
            </w:tcMar>
            <w:vAlign w:val="center"/>
          </w:tcPr>
          <w:p>
            <w:pPr>
              <w:spacing w:after="0" w:line="260"/>
            </w:pPr>
            <w:r>
              <w:rPr>
                <w:b w:val="false"/>
                <w:bCs w:val="false"/>
                <w:sz w:val="18"/>
                <w:szCs w:val="18"/>
              </w:rPr>
              <w:t xml:space="preserve">Limited preview content</w:t>
            </w:r>
          </w:p>
        </w:tc>
        <w:tc>
          <w:tcPr>
            <w:tcW w:type="dxa" w:w="1429"/>
            <w:tcMar>
              <w:top w:type="dxa" w:w="90"/>
              <w:left w:type="dxa" w:w="110"/>
              <w:bottom w:type="dxa" w:w="90"/>
              <w:right w:type="dxa" w:w="110"/>
            </w:tcMar>
            <w:vAlign w:val="center"/>
          </w:tcPr>
          <w:p>
            <w:pPr>
              <w:spacing w:after="0" w:line="260"/>
            </w:pPr>
            <w:r>
              <w:rPr>
                <w:b w:val="false"/>
                <w:bCs w:val="false"/>
                <w:sz w:val="18"/>
                <w:szCs w:val="18"/>
              </w:rPr>
              <w:t xml:space="preserve">—</w:t>
            </w:r>
          </w:p>
        </w:tc>
        <w:tc>
          <w:tcPr>
            <w:tcW w:type="dxa" w:w="2245"/>
            <w:tcMar>
              <w:top w:type="dxa" w:w="90"/>
              <w:left w:type="dxa" w:w="110"/>
              <w:bottom w:type="dxa" w:w="90"/>
              <w:right w:type="dxa" w:w="110"/>
            </w:tcMar>
            <w:vAlign w:val="center"/>
          </w:tcPr>
          <w:p>
            <w:pPr>
              <w:spacing w:after="0" w:line="260"/>
            </w:pPr>
            <w:r>
              <w:rPr>
                <w:b w:val="false"/>
                <w:bCs w:val="false"/>
                <w:sz w:val="18"/>
                <w:szCs w:val="18"/>
              </w:rPr>
              <w:t xml:space="preserve">À la carte purchase only</w:t>
            </w:r>
          </w:p>
        </w:tc>
        <w:tc>
          <w:tcPr>
            <w:tcW w:type="dxa" w:w="1735"/>
            <w:tcMar>
              <w:top w:type="dxa" w:w="90"/>
              <w:left w:type="dxa" w:w="110"/>
              <w:bottom w:type="dxa" w:w="90"/>
              <w:right w:type="dxa" w:w="110"/>
            </w:tcMar>
            <w:vAlign w:val="center"/>
          </w:tcPr>
          <w:p>
            <w:pPr>
              <w:spacing w:after="0" w:line="260"/>
            </w:pPr>
            <w:r>
              <w:rPr>
                <w:b w:val="false"/>
                <w:bCs w:val="false"/>
                <w:sz w:val="18"/>
                <w:szCs w:val="18"/>
              </w:rPr>
              <w:t xml:space="preserve">—</w:t>
            </w:r>
          </w:p>
        </w:tc>
      </w:tr>
      <w:tr>
        <w:tc>
          <w:tcPr>
            <w:tcW w:type="dxa" w:w="1531"/>
            <w:shd w:fill="EEF2F7" w:val="clear"/>
            <w:tcMar>
              <w:top w:type="dxa" w:w="90"/>
              <w:left w:type="dxa" w:w="110"/>
              <w:bottom w:type="dxa" w:w="90"/>
              <w:right w:type="dxa" w:w="110"/>
            </w:tcMar>
            <w:vAlign w:val="center"/>
          </w:tcPr>
          <w:p>
            <w:pPr>
              <w:spacing w:after="0" w:line="260"/>
            </w:pPr>
            <w:r>
              <w:rPr>
                <w:b w:val="false"/>
                <w:bCs w:val="false"/>
                <w:sz w:val="18"/>
                <w:szCs w:val="18"/>
              </w:rPr>
              <w:t xml:space="preserve">Learn</w:t>
            </w:r>
          </w:p>
        </w:tc>
        <w:tc>
          <w:tcPr>
            <w:tcW w:type="dxa" w:w="1633"/>
            <w:shd w:fill="EEF2F7" w:val="clear"/>
            <w:tcMar>
              <w:top w:type="dxa" w:w="90"/>
              <w:left w:type="dxa" w:w="110"/>
              <w:bottom w:type="dxa" w:w="90"/>
              <w:right w:type="dxa" w:w="110"/>
            </w:tcMar>
            <w:vAlign w:val="center"/>
          </w:tcPr>
          <w:p>
            <w:pPr>
              <w:spacing w:after="0" w:line="260"/>
            </w:pPr>
            <w:r>
              <w:rPr>
                <w:b w:val="false"/>
                <w:bCs w:val="false"/>
                <w:sz w:val="18"/>
                <w:szCs w:val="18"/>
              </w:rPr>
              <w:t xml:space="preserve">Monthly/annual subscription</w:t>
            </w:r>
          </w:p>
        </w:tc>
        <w:tc>
          <w:tcPr>
            <w:tcW w:type="dxa" w:w="1633"/>
            <w:shd w:fill="EEF2F7" w:val="clear"/>
            <w:tcMar>
              <w:top w:type="dxa" w:w="90"/>
              <w:left w:type="dxa" w:w="110"/>
              <w:bottom w:type="dxa" w:w="90"/>
              <w:right w:type="dxa" w:w="110"/>
            </w:tcMar>
            <w:vAlign w:val="center"/>
          </w:tcPr>
          <w:p>
            <w:pPr>
              <w:spacing w:after="0" w:line="260"/>
            </w:pPr>
            <w:r>
              <w:rPr>
                <w:b w:val="false"/>
                <w:bCs w:val="false"/>
                <w:sz w:val="18"/>
                <w:szCs w:val="18"/>
              </w:rPr>
              <w:t xml:space="preserve">Full self-paced library</w:t>
            </w:r>
          </w:p>
        </w:tc>
        <w:tc>
          <w:tcPr>
            <w:tcW w:type="dxa" w:w="1429"/>
            <w:shd w:fill="EEF2F7" w:val="clear"/>
            <w:tcMar>
              <w:top w:type="dxa" w:w="90"/>
              <w:left w:type="dxa" w:w="110"/>
              <w:bottom w:type="dxa" w:w="90"/>
              <w:right w:type="dxa" w:w="110"/>
            </w:tcMar>
            <w:vAlign w:val="center"/>
          </w:tcPr>
          <w:p>
            <w:pPr>
              <w:spacing w:after="0" w:line="260"/>
            </w:pPr>
            <w:r>
              <w:rPr>
                <w:b w:val="false"/>
                <w:bCs w:val="false"/>
                <w:sz w:val="18"/>
                <w:szCs w:val="18"/>
              </w:rPr>
              <w:t xml:space="preserve">Recorded replay access</w:t>
            </w:r>
          </w:p>
        </w:tc>
        <w:tc>
          <w:tcPr>
            <w:tcW w:type="dxa" w:w="2245"/>
            <w:shd w:fill="EEF2F7" w:val="clear"/>
            <w:tcMar>
              <w:top w:type="dxa" w:w="90"/>
              <w:left w:type="dxa" w:w="110"/>
              <w:bottom w:type="dxa" w:w="90"/>
              <w:right w:type="dxa" w:w="110"/>
            </w:tcMar>
            <w:vAlign w:val="center"/>
          </w:tcPr>
          <w:p>
            <w:pPr>
              <w:spacing w:after="0" w:line="260"/>
            </w:pPr>
            <w:r>
              <w:rPr>
                <w:b w:val="false"/>
                <w:bCs w:val="false"/>
                <w:sz w:val="18"/>
                <w:szCs w:val="18"/>
              </w:rPr>
              <w:t xml:space="preserve">À la carte, small discount</w:t>
            </w:r>
          </w:p>
        </w:tc>
        <w:tc>
          <w:tcPr>
            <w:tcW w:type="dxa" w:w="1735"/>
            <w:shd w:fill="EEF2F7" w:val="clear"/>
            <w:tcMar>
              <w:top w:type="dxa" w:w="90"/>
              <w:left w:type="dxa" w:w="110"/>
              <w:bottom w:type="dxa" w:w="90"/>
              <w:right w:type="dxa" w:w="110"/>
            </w:tcMar>
            <w:vAlign w:val="center"/>
          </w:tcPr>
          <w:p>
            <w:pPr>
              <w:spacing w:after="0" w:line="260"/>
            </w:pPr>
            <w:r>
              <w:rPr>
                <w:b w:val="false"/>
                <w:bCs w:val="false"/>
                <w:sz w:val="18"/>
                <w:szCs w:val="18"/>
              </w:rPr>
              <w:t xml:space="preserve">Portfolio page (basic)</w:t>
            </w:r>
          </w:p>
        </w:tc>
      </w:tr>
      <w:tr>
        <w:tc>
          <w:tcPr>
            <w:tcW w:type="dxa" w:w="1531"/>
            <w:tcMar>
              <w:top w:type="dxa" w:w="90"/>
              <w:left w:type="dxa" w:w="110"/>
              <w:bottom w:type="dxa" w:w="90"/>
              <w:right w:type="dxa" w:w="110"/>
            </w:tcMar>
            <w:vAlign w:val="center"/>
          </w:tcPr>
          <w:p>
            <w:pPr>
              <w:spacing w:after="0" w:line="260"/>
            </w:pPr>
            <w:r>
              <w:rPr>
                <w:b w:val="false"/>
                <w:bCs w:val="false"/>
                <w:sz w:val="18"/>
                <w:szCs w:val="18"/>
              </w:rPr>
              <w:t xml:space="preserve">Mentor</w:t>
            </w:r>
          </w:p>
        </w:tc>
        <w:tc>
          <w:tcPr>
            <w:tcW w:type="dxa" w:w="1633"/>
            <w:tcMar>
              <w:top w:type="dxa" w:w="90"/>
              <w:left w:type="dxa" w:w="110"/>
              <w:bottom w:type="dxa" w:w="90"/>
              <w:right w:type="dxa" w:w="110"/>
            </w:tcMar>
            <w:vAlign w:val="center"/>
          </w:tcPr>
          <w:p>
            <w:pPr>
              <w:spacing w:after="0" w:line="260"/>
            </w:pPr>
            <w:r>
              <w:rPr>
                <w:b w:val="false"/>
                <w:bCs w:val="false"/>
                <w:sz w:val="18"/>
                <w:szCs w:val="18"/>
              </w:rPr>
              <w:t xml:space="preserve">Higher subscription tier</w:t>
            </w:r>
          </w:p>
        </w:tc>
        <w:tc>
          <w:tcPr>
            <w:tcW w:type="dxa" w:w="1633"/>
            <w:tcMar>
              <w:top w:type="dxa" w:w="90"/>
              <w:left w:type="dxa" w:w="110"/>
              <w:bottom w:type="dxa" w:w="90"/>
              <w:right w:type="dxa" w:w="110"/>
            </w:tcMar>
            <w:vAlign w:val="center"/>
          </w:tcPr>
          <w:p>
            <w:pPr>
              <w:spacing w:after="0" w:line="260"/>
            </w:pPr>
            <w:r>
              <w:rPr>
                <w:b w:val="false"/>
                <w:bCs w:val="false"/>
                <w:sz w:val="18"/>
                <w:szCs w:val="18"/>
              </w:rPr>
              <w:t xml:space="preserve">Full library</w:t>
            </w:r>
          </w:p>
        </w:tc>
        <w:tc>
          <w:tcPr>
            <w:tcW w:type="dxa" w:w="1429"/>
            <w:tcMar>
              <w:top w:type="dxa" w:w="90"/>
              <w:left w:type="dxa" w:w="110"/>
              <w:bottom w:type="dxa" w:w="90"/>
              <w:right w:type="dxa" w:w="110"/>
            </w:tcMar>
            <w:vAlign w:val="center"/>
          </w:tcPr>
          <w:p>
            <w:pPr>
              <w:spacing w:after="0" w:line="260"/>
            </w:pPr>
            <w:r>
              <w:rPr>
                <w:b w:val="false"/>
                <w:bCs w:val="false"/>
                <w:sz w:val="18"/>
                <w:szCs w:val="18"/>
              </w:rPr>
              <w:t xml:space="preserve">Included</w:t>
            </w:r>
          </w:p>
        </w:tc>
        <w:tc>
          <w:tcPr>
            <w:tcW w:type="dxa" w:w="2245"/>
            <w:tcMar>
              <w:top w:type="dxa" w:w="90"/>
              <w:left w:type="dxa" w:w="110"/>
              <w:bottom w:type="dxa" w:w="90"/>
              <w:right w:type="dxa" w:w="110"/>
            </w:tcMar>
            <w:vAlign w:val="center"/>
          </w:tcPr>
          <w:p>
            <w:pPr>
              <w:spacing w:after="0" w:line="260"/>
            </w:pPr>
            <w:r>
              <w:rPr>
                <w:b w:val="false"/>
                <w:bCs w:val="false"/>
                <w:sz w:val="18"/>
                <w:szCs w:val="18"/>
              </w:rPr>
              <w:t xml:space="preserve">Sprint tier included monthly; Capstone at discount</w:t>
            </w:r>
          </w:p>
        </w:tc>
        <w:tc>
          <w:tcPr>
            <w:tcW w:type="dxa" w:w="1735"/>
            <w:tcMar>
              <w:top w:type="dxa" w:w="90"/>
              <w:left w:type="dxa" w:w="110"/>
              <w:bottom w:type="dxa" w:w="90"/>
              <w:right w:type="dxa" w:w="110"/>
            </w:tcMar>
            <w:vAlign w:val="center"/>
          </w:tcPr>
          <w:p>
            <w:pPr>
              <w:spacing w:after="0" w:line="260"/>
            </w:pPr>
            <w:r>
              <w:rPr>
                <w:b w:val="false"/>
                <w:bCs w:val="false"/>
                <w:sz w:val="18"/>
                <w:szCs w:val="18"/>
              </w:rPr>
              <w:t xml:space="preserve">Portfolio page + verified credentials</w:t>
            </w:r>
          </w:p>
        </w:tc>
      </w:tr>
      <w:tr>
        <w:tc>
          <w:tcPr>
            <w:tcW w:type="dxa" w:w="1531"/>
            <w:shd w:fill="EEF2F7" w:val="clear"/>
            <w:tcMar>
              <w:top w:type="dxa" w:w="90"/>
              <w:left w:type="dxa" w:w="110"/>
              <w:bottom w:type="dxa" w:w="90"/>
              <w:right w:type="dxa" w:w="110"/>
            </w:tcMar>
            <w:vAlign w:val="center"/>
          </w:tcPr>
          <w:p>
            <w:pPr>
              <w:spacing w:after="0" w:line="260"/>
            </w:pPr>
            <w:r>
              <w:rPr>
                <w:b w:val="false"/>
                <w:bCs w:val="false"/>
                <w:sz w:val="18"/>
                <w:szCs w:val="18"/>
              </w:rPr>
              <w:t xml:space="preserve">Career</w:t>
            </w:r>
          </w:p>
        </w:tc>
        <w:tc>
          <w:tcPr>
            <w:tcW w:type="dxa" w:w="1633"/>
            <w:shd w:fill="EEF2F7" w:val="clear"/>
            <w:tcMar>
              <w:top w:type="dxa" w:w="90"/>
              <w:left w:type="dxa" w:w="110"/>
              <w:bottom w:type="dxa" w:w="90"/>
              <w:right w:type="dxa" w:w="110"/>
            </w:tcMar>
            <w:vAlign w:val="center"/>
          </w:tcPr>
          <w:p>
            <w:pPr>
              <w:spacing w:after="0" w:line="260"/>
            </w:pPr>
            <w:r>
              <w:rPr>
                <w:b w:val="false"/>
                <w:bCs w:val="false"/>
                <w:sz w:val="18"/>
                <w:szCs w:val="18"/>
              </w:rPr>
              <w:t xml:space="preserve">Highest subscription, or ISA option</w:t>
            </w:r>
          </w:p>
        </w:tc>
        <w:tc>
          <w:tcPr>
            <w:tcW w:type="dxa" w:w="1633"/>
            <w:shd w:fill="EEF2F7" w:val="clear"/>
            <w:tcMar>
              <w:top w:type="dxa" w:w="90"/>
              <w:left w:type="dxa" w:w="110"/>
              <w:bottom w:type="dxa" w:w="90"/>
              <w:right w:type="dxa" w:w="110"/>
            </w:tcMar>
            <w:vAlign w:val="center"/>
          </w:tcPr>
          <w:p>
            <w:pPr>
              <w:spacing w:after="0" w:line="260"/>
            </w:pPr>
            <w:r>
              <w:rPr>
                <w:b w:val="false"/>
                <w:bCs w:val="false"/>
                <w:sz w:val="18"/>
                <w:szCs w:val="18"/>
              </w:rPr>
              <w:t xml:space="preserve">Full library</w:t>
            </w:r>
          </w:p>
        </w:tc>
        <w:tc>
          <w:tcPr>
            <w:tcW w:type="dxa" w:w="1429"/>
            <w:shd w:fill="EEF2F7" w:val="clear"/>
            <w:tcMar>
              <w:top w:type="dxa" w:w="90"/>
              <w:left w:type="dxa" w:w="110"/>
              <w:bottom w:type="dxa" w:w="90"/>
              <w:right w:type="dxa" w:w="110"/>
            </w:tcMar>
            <w:vAlign w:val="center"/>
          </w:tcPr>
          <w:p>
            <w:pPr>
              <w:spacing w:after="0" w:line="260"/>
            </w:pPr>
            <w:r>
              <w:rPr>
                <w:b w:val="false"/>
                <w:bCs w:val="false"/>
                <w:sz w:val="18"/>
                <w:szCs w:val="18"/>
              </w:rPr>
              <w:t xml:space="preserve">Included, priority seats</w:t>
            </w:r>
          </w:p>
        </w:tc>
        <w:tc>
          <w:tcPr>
            <w:tcW w:type="dxa" w:w="2245"/>
            <w:shd w:fill="EEF2F7" w:val="clear"/>
            <w:tcMar>
              <w:top w:type="dxa" w:w="90"/>
              <w:left w:type="dxa" w:w="110"/>
              <w:bottom w:type="dxa" w:w="90"/>
              <w:right w:type="dxa" w:w="110"/>
            </w:tcMar>
            <w:vAlign w:val="center"/>
          </w:tcPr>
          <w:p>
            <w:pPr>
              <w:spacing w:after="0" w:line="260"/>
            </w:pPr>
            <w:r>
              <w:rPr>
                <w:b w:val="false"/>
                <w:bCs w:val="false"/>
                <w:sz w:val="18"/>
                <w:szCs w:val="18"/>
              </w:rPr>
              <w:t xml:space="preserve">One Flagship project/year included; unlimited Capstone at discount</w:t>
            </w:r>
          </w:p>
        </w:tc>
        <w:tc>
          <w:tcPr>
            <w:tcW w:type="dxa" w:w="1735"/>
            <w:shd w:fill="EEF2F7" w:val="clear"/>
            <w:tcMar>
              <w:top w:type="dxa" w:w="90"/>
              <w:left w:type="dxa" w:w="110"/>
              <w:bottom w:type="dxa" w:w="90"/>
              <w:right w:type="dxa" w:w="110"/>
            </w:tcMar>
            <w:vAlign w:val="center"/>
          </w:tcPr>
          <w:p>
            <w:pPr>
              <w:spacing w:after="0" w:line="260"/>
            </w:pPr>
            <w:r>
              <w:rPr>
                <w:b w:val="false"/>
                <w:bCs w:val="false"/>
                <w:sz w:val="18"/>
                <w:szCs w:val="18"/>
              </w:rPr>
              <w:t xml:space="preserve">Hiring-partner visibility, mock interviews, placement support</w:t>
            </w:r>
          </w:p>
        </w:tc>
      </w:tr>
      <w:tr>
        <w:tc>
          <w:tcPr>
            <w:tcW w:type="dxa" w:w="1531"/>
            <w:tcMar>
              <w:top w:type="dxa" w:w="90"/>
              <w:left w:type="dxa" w:w="110"/>
              <w:bottom w:type="dxa" w:w="90"/>
              <w:right w:type="dxa" w:w="110"/>
            </w:tcMar>
            <w:vAlign w:val="center"/>
          </w:tcPr>
          <w:p>
            <w:pPr>
              <w:spacing w:after="0" w:line="260"/>
            </w:pPr>
            <w:r>
              <w:rPr>
                <w:b w:val="false"/>
                <w:bCs w:val="false"/>
                <w:sz w:val="18"/>
                <w:szCs w:val="18"/>
              </w:rPr>
              <w:t xml:space="preserve">Enterprise / Institutions</w:t>
            </w:r>
          </w:p>
        </w:tc>
        <w:tc>
          <w:tcPr>
            <w:tcW w:type="dxa" w:w="1633"/>
            <w:tcMar>
              <w:top w:type="dxa" w:w="90"/>
              <w:left w:type="dxa" w:w="110"/>
              <w:bottom w:type="dxa" w:w="90"/>
              <w:right w:type="dxa" w:w="110"/>
            </w:tcMar>
            <w:vAlign w:val="center"/>
          </w:tcPr>
          <w:p>
            <w:pPr>
              <w:spacing w:after="0" w:line="260"/>
            </w:pPr>
            <w:r>
              <w:rPr>
                <w:b w:val="false"/>
                <w:bCs w:val="false"/>
                <w:sz w:val="18"/>
                <w:szCs w:val="18"/>
              </w:rPr>
              <w:t xml:space="preserve">Contact sales</w:t>
            </w:r>
          </w:p>
        </w:tc>
        <w:tc>
          <w:tcPr>
            <w:tcW w:type="dxa" w:w="1633"/>
            <w:tcMar>
              <w:top w:type="dxa" w:w="90"/>
              <w:left w:type="dxa" w:w="110"/>
              <w:bottom w:type="dxa" w:w="90"/>
              <w:right w:type="dxa" w:w="110"/>
            </w:tcMar>
            <w:vAlign w:val="center"/>
          </w:tcPr>
          <w:p>
            <w:pPr>
              <w:spacing w:after="0" w:line="260"/>
            </w:pPr>
            <w:r>
              <w:rPr>
                <w:b w:val="false"/>
                <w:bCs w:val="false"/>
                <w:sz w:val="18"/>
                <w:szCs w:val="18"/>
              </w:rPr>
              <w:t xml:space="preserve">Custom catalog</w:t>
            </w:r>
          </w:p>
        </w:tc>
        <w:tc>
          <w:tcPr>
            <w:tcW w:type="dxa" w:w="1429"/>
            <w:tcMar>
              <w:top w:type="dxa" w:w="90"/>
              <w:left w:type="dxa" w:w="110"/>
              <w:bottom w:type="dxa" w:w="90"/>
              <w:right w:type="dxa" w:w="110"/>
            </w:tcMar>
            <w:vAlign w:val="center"/>
          </w:tcPr>
          <w:p>
            <w:pPr>
              <w:spacing w:after="0" w:line="260"/>
            </w:pPr>
            <w:r>
              <w:rPr>
                <w:b w:val="false"/>
                <w:bCs w:val="false"/>
                <w:sz w:val="18"/>
                <w:szCs w:val="18"/>
              </w:rPr>
              <w:t xml:space="preserve">Custom cohorts</w:t>
            </w:r>
          </w:p>
        </w:tc>
        <w:tc>
          <w:tcPr>
            <w:tcW w:type="dxa" w:w="2245"/>
            <w:tcMar>
              <w:top w:type="dxa" w:w="90"/>
              <w:left w:type="dxa" w:w="110"/>
              <w:bottom w:type="dxa" w:w="90"/>
              <w:right w:type="dxa" w:w="110"/>
            </w:tcMar>
            <w:vAlign w:val="center"/>
          </w:tcPr>
          <w:p>
            <w:pPr>
              <w:spacing w:after="0" w:line="260"/>
            </w:pPr>
            <w:r>
              <w:rPr>
                <w:b w:val="false"/>
                <w:bCs w:val="false"/>
                <w:sz w:val="18"/>
                <w:szCs w:val="18"/>
              </w:rPr>
              <w:t xml:space="preserve">Program-bundled, custom-scoped</w:t>
            </w:r>
          </w:p>
        </w:tc>
        <w:tc>
          <w:tcPr>
            <w:tcW w:type="dxa" w:w="1735"/>
            <w:tcMar>
              <w:top w:type="dxa" w:w="90"/>
              <w:left w:type="dxa" w:w="110"/>
              <w:bottom w:type="dxa" w:w="90"/>
              <w:right w:type="dxa" w:w="110"/>
            </w:tcMar>
            <w:vAlign w:val="center"/>
          </w:tcPr>
          <w:p>
            <w:pPr>
              <w:spacing w:after="0" w:line="260"/>
            </w:pPr>
            <w:r>
              <w:rPr>
                <w:b w:val="false"/>
                <w:bCs w:val="false"/>
                <w:sz w:val="18"/>
                <w:szCs w:val="18"/>
              </w:rPr>
              <w:t xml:space="preserve">Co-branded certification, reporting</w:t>
            </w:r>
          </w:p>
        </w:tc>
      </w:tr>
    </w:tbl>
    <w:p>
      <w:pPr>
        <w:spacing w:after="200" w:line="288"/>
        <w:jc w:val="left"/>
      </w:pPr>
      <w:r>
        <w:t xml:space="preserve">Note this is deliberately a subscription for breadth and support level, layered on top of — never gating — à la carte purchase. A Free-tier learner can still buy any single course or project directly; the paid tiers exist to reward frequent, engaged learners with better economics and more guided support, exactly mirroring why Coursera Plus exists alongside Coursera's individual course purchases.</w:t>
      </w:r>
    </w:p>
    <w:p>
      <w:pPr>
        <w:pStyle w:val="Heading2"/>
        <w:spacing w:after="160" w:before="340"/>
      </w:pPr>
      <w:r>
        <w:rPr>
          <w:b/>
          <w:bCs/>
        </w:rPr>
        <w:t xml:space="preserve">8.3 À la carte pricing logic</w:t>
      </w:r>
    </w:p>
    <w:p>
      <w:pPr>
        <w:spacing w:after="200" w:line="288"/>
        <w:jc w:val="left"/>
      </w:pPr>
      <w:r>
        <w:t xml:space="preserve">Course pricing follows existing market bands (roughly Edureka's $179–$1,500+ per course range, adjusted for delivery mode and creator profile). Project pricing should be costed explicitly against mentor time, since that is the real cost driver — the same logic that makes Maven instructors price cohort courses on live-access value:</w:t>
      </w:r>
    </w:p>
    <w:tbl>
      <w:tblPr>
        <w:tblW w:type="dxa" w:w="10206"/>
        <w:tblBorders>
          <w:top w:val="single" w:color="C9D1DE" w:sz="4"/>
          <w:left w:val="single" w:color="C9D1DE" w:sz="4"/>
          <w:bottom w:val="single" w:color="C9D1DE" w:sz="4"/>
          <w:right w:val="single" w:color="C9D1DE" w:sz="4"/>
          <w:insideH w:val="single" w:color="C9D1DE" w:sz="4"/>
          <w:insideV w:val="single" w:color="C9D1DE" w:sz="4"/>
        </w:tblBorders>
      </w:tblPr>
      <w:tblGrid>
        <w:gridCol w:w="2245"/>
        <w:gridCol w:w="2858"/>
        <w:gridCol w:w="2858"/>
        <w:gridCol w:w="2245"/>
      </w:tblGrid>
      <w:tr>
        <w:trPr>
          <w:tblHeader/>
        </w:trPr>
        <w:tc>
          <w:tcPr>
            <w:tcW w:type="dxa" w:w="2245"/>
            <w:shd w:fill="1B2A4A" w:val="clear"/>
            <w:tcMar>
              <w:top w:type="dxa" w:w="100"/>
              <w:left w:type="dxa" w:w="110"/>
              <w:bottom w:type="dxa" w:w="100"/>
              <w:right w:type="dxa" w:w="110"/>
            </w:tcMar>
            <w:vAlign w:val="center"/>
          </w:tcPr>
          <w:p>
            <w:pPr>
              <w:spacing w:after="0"/>
            </w:pPr>
            <w:r>
              <w:rPr>
                <w:b/>
                <w:bCs/>
                <w:color w:val="FFFFFF"/>
                <w:sz w:val="18"/>
                <w:szCs w:val="18"/>
              </w:rPr>
              <w:t xml:space="preserve">Project track</w:t>
            </w:r>
          </w:p>
        </w:tc>
        <w:tc>
          <w:tcPr>
            <w:tcW w:type="dxa" w:w="2858"/>
            <w:shd w:fill="1B2A4A" w:val="clear"/>
            <w:tcMar>
              <w:top w:type="dxa" w:w="100"/>
              <w:left w:type="dxa" w:w="110"/>
              <w:bottom w:type="dxa" w:w="100"/>
              <w:right w:type="dxa" w:w="110"/>
            </w:tcMar>
            <w:vAlign w:val="center"/>
          </w:tcPr>
          <w:p>
            <w:pPr>
              <w:spacing w:after="0"/>
            </w:pPr>
            <w:r>
              <w:rPr>
                <w:b/>
                <w:bCs/>
                <w:color w:val="FFFFFF"/>
                <w:sz w:val="18"/>
                <w:szCs w:val="18"/>
              </w:rPr>
              <w:t xml:space="preserve">Indicative learner price</w:t>
            </w:r>
          </w:p>
        </w:tc>
        <w:tc>
          <w:tcPr>
            <w:tcW w:type="dxa" w:w="2858"/>
            <w:shd w:fill="1B2A4A" w:val="clear"/>
            <w:tcMar>
              <w:top w:type="dxa" w:w="100"/>
              <w:left w:type="dxa" w:w="110"/>
              <w:bottom w:type="dxa" w:w="100"/>
              <w:right w:type="dxa" w:w="110"/>
            </w:tcMar>
            <w:vAlign w:val="center"/>
          </w:tcPr>
          <w:p>
            <w:pPr>
              <w:spacing w:after="0"/>
            </w:pPr>
            <w:r>
              <w:rPr>
                <w:b/>
                <w:bCs/>
                <w:color w:val="FFFFFF"/>
                <w:sz w:val="18"/>
                <w:szCs w:val="18"/>
              </w:rPr>
              <w:t xml:space="preserve">Approx. mentor time budgeted</w:t>
            </w:r>
          </w:p>
        </w:tc>
        <w:tc>
          <w:tcPr>
            <w:tcW w:type="dxa" w:w="2245"/>
            <w:shd w:fill="1B2A4A" w:val="clear"/>
            <w:tcMar>
              <w:top w:type="dxa" w:w="100"/>
              <w:left w:type="dxa" w:w="110"/>
              <w:bottom w:type="dxa" w:w="100"/>
              <w:right w:type="dxa" w:w="110"/>
            </w:tcMar>
            <w:vAlign w:val="center"/>
          </w:tcPr>
          <w:p>
            <w:pPr>
              <w:spacing w:after="0"/>
            </w:pPr>
            <w:r>
              <w:rPr>
                <w:b/>
                <w:bCs/>
                <w:color w:val="FFFFFF"/>
                <w:sz w:val="18"/>
                <w:szCs w:val="18"/>
              </w:rPr>
              <w:t xml:space="preserve">Mentor payout share</w:t>
            </w:r>
          </w:p>
        </w:tc>
      </w:tr>
      <w:tr>
        <w:tc>
          <w:tcPr>
            <w:tcW w:type="dxa" w:w="2245"/>
            <w:tcMar>
              <w:top w:type="dxa" w:w="90"/>
              <w:left w:type="dxa" w:w="110"/>
              <w:bottom w:type="dxa" w:w="90"/>
              <w:right w:type="dxa" w:w="110"/>
            </w:tcMar>
            <w:vAlign w:val="center"/>
          </w:tcPr>
          <w:p>
            <w:pPr>
              <w:spacing w:after="0" w:line="260"/>
            </w:pPr>
            <w:r>
              <w:rPr>
                <w:b w:val="false"/>
                <w:bCs w:val="false"/>
                <w:sz w:val="18"/>
                <w:szCs w:val="18"/>
              </w:rPr>
              <w:t xml:space="preserve">Sprint (1–2 wks)</w:t>
            </w:r>
          </w:p>
        </w:tc>
        <w:tc>
          <w:tcPr>
            <w:tcW w:type="dxa" w:w="2858"/>
            <w:tcMar>
              <w:top w:type="dxa" w:w="90"/>
              <w:left w:type="dxa" w:w="110"/>
              <w:bottom w:type="dxa" w:w="90"/>
              <w:right w:type="dxa" w:w="110"/>
            </w:tcMar>
            <w:vAlign w:val="center"/>
          </w:tcPr>
          <w:p>
            <w:pPr>
              <w:spacing w:after="0" w:line="260"/>
            </w:pPr>
            <w:r>
              <w:rPr>
                <w:b w:val="false"/>
                <w:bCs w:val="false"/>
                <w:sz w:val="18"/>
                <w:szCs w:val="18"/>
              </w:rPr>
              <w:t xml:space="preserve">$30–$80 / ₹2,500–6,000</w:t>
            </w:r>
          </w:p>
        </w:tc>
        <w:tc>
          <w:tcPr>
            <w:tcW w:type="dxa" w:w="2858"/>
            <w:tcMar>
              <w:top w:type="dxa" w:w="90"/>
              <w:left w:type="dxa" w:w="110"/>
              <w:bottom w:type="dxa" w:w="90"/>
              <w:right w:type="dxa" w:w="110"/>
            </w:tcMar>
            <w:vAlign w:val="center"/>
          </w:tcPr>
          <w:p>
            <w:pPr>
              <w:spacing w:after="0" w:line="260"/>
            </w:pPr>
            <w:r>
              <w:rPr>
                <w:b w:val="false"/>
                <w:bCs w:val="false"/>
                <w:sz w:val="18"/>
                <w:szCs w:val="18"/>
              </w:rPr>
              <w:t xml:space="preserve">0–1 hr (async/AI-assisted only)</w:t>
            </w:r>
          </w:p>
        </w:tc>
        <w:tc>
          <w:tcPr>
            <w:tcW w:type="dxa" w:w="2245"/>
            <w:tcMar>
              <w:top w:type="dxa" w:w="90"/>
              <w:left w:type="dxa" w:w="110"/>
              <w:bottom w:type="dxa" w:w="90"/>
              <w:right w:type="dxa" w:w="110"/>
            </w:tcMar>
            <w:vAlign w:val="center"/>
          </w:tcPr>
          <w:p>
            <w:pPr>
              <w:spacing w:after="0" w:line="260"/>
            </w:pPr>
            <w:r>
              <w:rPr>
                <w:b w:val="false"/>
                <w:bCs w:val="false"/>
                <w:sz w:val="18"/>
                <w:szCs w:val="18"/>
              </w:rPr>
              <w:t xml:space="preserve">N/A or small async fee</w:t>
            </w:r>
          </w:p>
        </w:tc>
      </w:tr>
      <w:tr>
        <w:tc>
          <w:tcPr>
            <w:tcW w:type="dxa" w:w="2245"/>
            <w:shd w:fill="EEF2F7" w:val="clear"/>
            <w:tcMar>
              <w:top w:type="dxa" w:w="90"/>
              <w:left w:type="dxa" w:w="110"/>
              <w:bottom w:type="dxa" w:w="90"/>
              <w:right w:type="dxa" w:w="110"/>
            </w:tcMar>
            <w:vAlign w:val="center"/>
          </w:tcPr>
          <w:p>
            <w:pPr>
              <w:spacing w:after="0" w:line="260"/>
            </w:pPr>
            <w:r>
              <w:rPr>
                <w:b w:val="false"/>
                <w:bCs w:val="false"/>
                <w:sz w:val="18"/>
                <w:szCs w:val="18"/>
              </w:rPr>
              <w:t xml:space="preserve">Capstone (4–8 wks)</w:t>
            </w:r>
          </w:p>
        </w:tc>
        <w:tc>
          <w:tcPr>
            <w:tcW w:type="dxa" w:w="2858"/>
            <w:shd w:fill="EEF2F7" w:val="clear"/>
            <w:tcMar>
              <w:top w:type="dxa" w:w="90"/>
              <w:left w:type="dxa" w:w="110"/>
              <w:bottom w:type="dxa" w:w="90"/>
              <w:right w:type="dxa" w:w="110"/>
            </w:tcMar>
            <w:vAlign w:val="center"/>
          </w:tcPr>
          <w:p>
            <w:pPr>
              <w:spacing w:after="0" w:line="260"/>
            </w:pPr>
            <w:r>
              <w:rPr>
                <w:b w:val="false"/>
                <w:bCs w:val="false"/>
                <w:sz w:val="18"/>
                <w:szCs w:val="18"/>
              </w:rPr>
              <w:t xml:space="preserve">$150–$400 / ₹12,000–30,000</w:t>
            </w:r>
          </w:p>
        </w:tc>
        <w:tc>
          <w:tcPr>
            <w:tcW w:type="dxa" w:w="2858"/>
            <w:shd w:fill="EEF2F7" w:val="clear"/>
            <w:tcMar>
              <w:top w:type="dxa" w:w="90"/>
              <w:left w:type="dxa" w:w="110"/>
              <w:bottom w:type="dxa" w:w="90"/>
              <w:right w:type="dxa" w:w="110"/>
            </w:tcMar>
            <w:vAlign w:val="center"/>
          </w:tcPr>
          <w:p>
            <w:pPr>
              <w:spacing w:after="0" w:line="260"/>
            </w:pPr>
            <w:r>
              <w:rPr>
                <w:b w:val="false"/>
                <w:bCs w:val="false"/>
                <w:sz w:val="18"/>
                <w:szCs w:val="18"/>
              </w:rPr>
              <w:t xml:space="preserve">3–5 hrs across 3 checkpoints</w:t>
            </w:r>
          </w:p>
        </w:tc>
        <w:tc>
          <w:tcPr>
            <w:tcW w:type="dxa" w:w="2245"/>
            <w:shd w:fill="EEF2F7" w:val="clear"/>
            <w:tcMar>
              <w:top w:type="dxa" w:w="90"/>
              <w:left w:type="dxa" w:w="110"/>
              <w:bottom w:type="dxa" w:w="90"/>
              <w:right w:type="dxa" w:w="110"/>
            </w:tcMar>
            <w:vAlign w:val="center"/>
          </w:tcPr>
          <w:p>
            <w:pPr>
              <w:spacing w:after="0" w:line="260"/>
            </w:pPr>
            <w:r>
              <w:rPr>
                <w:b w:val="false"/>
                <w:bCs w:val="false"/>
                <w:sz w:val="18"/>
                <w:szCs w:val="18"/>
              </w:rPr>
              <w:t xml:space="preserve">50–60% of mentor-attributable fee</w:t>
            </w:r>
          </w:p>
        </w:tc>
      </w:tr>
      <w:tr>
        <w:tc>
          <w:tcPr>
            <w:tcW w:type="dxa" w:w="2245"/>
            <w:tcMar>
              <w:top w:type="dxa" w:w="90"/>
              <w:left w:type="dxa" w:w="110"/>
              <w:bottom w:type="dxa" w:w="90"/>
              <w:right w:type="dxa" w:w="110"/>
            </w:tcMar>
            <w:vAlign w:val="center"/>
          </w:tcPr>
          <w:p>
            <w:pPr>
              <w:spacing w:after="0" w:line="260"/>
            </w:pPr>
            <w:r>
              <w:rPr>
                <w:b w:val="false"/>
                <w:bCs w:val="false"/>
                <w:sz w:val="18"/>
                <w:szCs w:val="18"/>
              </w:rPr>
              <w:t xml:space="preserve">Flagship (2–4 months)</w:t>
            </w:r>
          </w:p>
        </w:tc>
        <w:tc>
          <w:tcPr>
            <w:tcW w:type="dxa" w:w="2858"/>
            <w:tcMar>
              <w:top w:type="dxa" w:w="90"/>
              <w:left w:type="dxa" w:w="110"/>
              <w:bottom w:type="dxa" w:w="90"/>
              <w:right w:type="dxa" w:w="110"/>
            </w:tcMar>
            <w:vAlign w:val="center"/>
          </w:tcPr>
          <w:p>
            <w:pPr>
              <w:spacing w:after="0" w:line="260"/>
            </w:pPr>
            <w:r>
              <w:rPr>
                <w:b w:val="false"/>
                <w:bCs w:val="false"/>
                <w:sz w:val="18"/>
                <w:szCs w:val="18"/>
              </w:rPr>
              <w:t xml:space="preserve">$400–$1,200+ / ₹35,000–90,000+</w:t>
            </w:r>
          </w:p>
        </w:tc>
        <w:tc>
          <w:tcPr>
            <w:tcW w:type="dxa" w:w="2858"/>
            <w:tcMar>
              <w:top w:type="dxa" w:w="90"/>
              <w:left w:type="dxa" w:w="110"/>
              <w:bottom w:type="dxa" w:w="90"/>
              <w:right w:type="dxa" w:w="110"/>
            </w:tcMar>
            <w:vAlign w:val="center"/>
          </w:tcPr>
          <w:p>
            <w:pPr>
              <w:spacing w:after="0" w:line="260"/>
            </w:pPr>
            <w:r>
              <w:rPr>
                <w:b w:val="false"/>
                <w:bCs w:val="false"/>
                <w:sz w:val="18"/>
                <w:szCs w:val="18"/>
              </w:rPr>
              <w:t xml:space="preserve">10–20 hrs, weekly touchpoints + defense</w:t>
            </w:r>
          </w:p>
        </w:tc>
        <w:tc>
          <w:tcPr>
            <w:tcW w:type="dxa" w:w="2245"/>
            <w:tcMar>
              <w:top w:type="dxa" w:w="90"/>
              <w:left w:type="dxa" w:w="110"/>
              <w:bottom w:type="dxa" w:w="90"/>
              <w:right w:type="dxa" w:w="110"/>
            </w:tcMar>
            <w:vAlign w:val="center"/>
          </w:tcPr>
          <w:p>
            <w:pPr>
              <w:spacing w:after="0" w:line="260"/>
            </w:pPr>
            <w:r>
              <w:rPr>
                <w:b w:val="false"/>
                <w:bCs w:val="false"/>
                <w:sz w:val="18"/>
                <w:szCs w:val="18"/>
              </w:rPr>
              <w:t xml:space="preserve">50–60% of mentor-attributable fee</w:t>
            </w:r>
          </w:p>
        </w:tc>
      </w:tr>
    </w:tbl>
    <w:p>
      <w:pPr>
        <w:spacing w:after="200" w:line="288"/>
        <w:jc w:val="left"/>
      </w:pPr>
      <w:r>
        <w:t xml:space="preserve">Treat these as a starting framework, not final figures — they should move once you have real willingness-to-pay data and mentor-cost data from a pilot cohort.</w:t>
      </w:r>
    </w:p>
    <w:p>
      <w:pPr>
        <w:pStyle w:val="Heading2"/>
        <w:spacing w:after="160" w:before="340"/>
      </w:pPr>
      <w:r>
        <w:rPr>
          <w:b/>
          <w:bCs/>
        </w:rPr>
        <w:t xml:space="preserve">8.4 Enterprise / university pricing</w:t>
      </w:r>
    </w:p>
    <w:p>
      <w:pPr>
        <w:pStyle w:val="ListParagraph"/>
        <w:numPr>
          <w:ilvl w:val="0"/>
          <w:numId w:val="1"/>
        </w:numPr>
        <w:spacing w:after="90" w:line="276"/>
      </w:pPr>
      <w:r>
        <w:t xml:space="preserve">Per-seat annual licensing for catalog-only access, in the same band as Udemy Business ($30–$60/user/month equivalent, tiered by seat count) and Coursera for Business ($399/user/year).</w:t>
      </w:r>
    </w:p>
    <w:p>
      <w:pPr>
        <w:pStyle w:val="ListParagraph"/>
        <w:numPr>
          <w:ilvl w:val="0"/>
          <w:numId w:val="1"/>
        </w:numPr>
        <w:spacing w:after="90" w:line="276"/>
      </w:pPr>
      <w:r>
        <w:t xml:space="preserve">A custom Program fee on top for any cohort with mentor-guided capstones, cohort operations, or co-branded certification — scoped per engagement, contact sales, matching how UpGrad, Emeritus-class partners, and the IIT/IIM empanelled-partner model all price this work.</w:t>
      </w:r>
    </w:p>
    <w:p>
      <w:pPr>
        <w:pStyle w:val="ListParagraph"/>
        <w:numPr>
          <w:ilvl w:val="0"/>
          <w:numId w:val="1"/>
        </w:numPr>
        <w:spacing w:after="90" w:line="276"/>
      </w:pPr>
      <w:r>
        <w:t xml:space="preserve">No public list price at the Program tier — consistent with every enterprise-tier competitor researched (Udemy Enterprise, Coursera Enterprise, UpGrad all quote custom).</w:t>
      </w:r>
    </w:p>
    <w:p>
      <w:pPr>
        <w:pStyle w:val="Heading2"/>
        <w:spacing w:after="160" w:before="340"/>
      </w:pPr>
      <w:r>
        <w:rPr>
          <w:b/>
          <w:bCs/>
        </w:rPr>
        <w:t xml:space="preserve">8.5 Creator monetization</w:t>
      </w:r>
    </w:p>
    <w:p>
      <w:pPr>
        <w:spacing w:after="200" w:line="288"/>
        <w:jc w:val="left"/>
      </w:pPr>
      <w:r>
        <w:t xml:space="preserve">Two creator plans, mirroring the pattern seen across Maven, Graphy, and Teachable-class platforms: a free-to-list plan with a higher platform commission, and a paid “Creator Pro” plan with a lower commission for serious, high-volume creators.</w:t>
      </w:r>
    </w:p>
    <w:tbl>
      <w:tblPr>
        <w:tblW w:type="dxa" w:w="10206"/>
        <w:tblBorders>
          <w:top w:val="single" w:color="C9D1DE" w:sz="4"/>
          <w:left w:val="single" w:color="C9D1DE" w:sz="4"/>
          <w:bottom w:val="single" w:color="C9D1DE" w:sz="4"/>
          <w:right w:val="single" w:color="C9D1DE" w:sz="4"/>
          <w:insideH w:val="single" w:color="C9D1DE" w:sz="4"/>
          <w:insideV w:val="single" w:color="C9D1DE" w:sz="4"/>
        </w:tblBorders>
      </w:tblPr>
      <w:tblGrid>
        <w:gridCol w:w="2245"/>
        <w:gridCol w:w="1837"/>
        <w:gridCol w:w="2245"/>
        <w:gridCol w:w="3878"/>
      </w:tblGrid>
      <w:tr>
        <w:trPr>
          <w:tblHeader/>
        </w:trPr>
        <w:tc>
          <w:tcPr>
            <w:tcW w:type="dxa" w:w="2245"/>
            <w:shd w:fill="1B2A4A" w:val="clear"/>
            <w:tcMar>
              <w:top w:type="dxa" w:w="100"/>
              <w:left w:type="dxa" w:w="110"/>
              <w:bottom w:type="dxa" w:w="100"/>
              <w:right w:type="dxa" w:w="110"/>
            </w:tcMar>
            <w:vAlign w:val="center"/>
          </w:tcPr>
          <w:p>
            <w:pPr>
              <w:spacing w:after="0"/>
            </w:pPr>
            <w:r>
              <w:rPr>
                <w:b/>
                <w:bCs/>
                <w:color w:val="FFFFFF"/>
                <w:sz w:val="18"/>
                <w:szCs w:val="18"/>
              </w:rPr>
              <w:t xml:space="preserve">Plan</w:t>
            </w:r>
          </w:p>
        </w:tc>
        <w:tc>
          <w:tcPr>
            <w:tcW w:type="dxa" w:w="1837"/>
            <w:shd w:fill="1B2A4A" w:val="clear"/>
            <w:tcMar>
              <w:top w:type="dxa" w:w="100"/>
              <w:left w:type="dxa" w:w="110"/>
              <w:bottom w:type="dxa" w:w="100"/>
              <w:right w:type="dxa" w:w="110"/>
            </w:tcMar>
            <w:vAlign w:val="center"/>
          </w:tcPr>
          <w:p>
            <w:pPr>
              <w:spacing w:after="0"/>
            </w:pPr>
            <w:r>
              <w:rPr>
                <w:b/>
                <w:bCs/>
                <w:color w:val="FFFFFF"/>
                <w:sz w:val="18"/>
                <w:szCs w:val="18"/>
              </w:rPr>
              <w:t xml:space="preserve">Monthly fee</w:t>
            </w:r>
          </w:p>
        </w:tc>
        <w:tc>
          <w:tcPr>
            <w:tcW w:type="dxa" w:w="2245"/>
            <w:shd w:fill="1B2A4A" w:val="clear"/>
            <w:tcMar>
              <w:top w:type="dxa" w:w="100"/>
              <w:left w:type="dxa" w:w="110"/>
              <w:bottom w:type="dxa" w:w="100"/>
              <w:right w:type="dxa" w:w="110"/>
            </w:tcMar>
            <w:vAlign w:val="center"/>
          </w:tcPr>
          <w:p>
            <w:pPr>
              <w:spacing w:after="0"/>
            </w:pPr>
            <w:r>
              <w:rPr>
                <w:b/>
                <w:bCs/>
                <w:color w:val="FFFFFF"/>
                <w:sz w:val="18"/>
                <w:szCs w:val="18"/>
              </w:rPr>
              <w:t xml:space="preserve">Platform commission</w:t>
            </w:r>
          </w:p>
        </w:tc>
        <w:tc>
          <w:tcPr>
            <w:tcW w:type="dxa" w:w="3878"/>
            <w:shd w:fill="1B2A4A" w:val="clear"/>
            <w:tcMar>
              <w:top w:type="dxa" w:w="100"/>
              <w:left w:type="dxa" w:w="110"/>
              <w:bottom w:type="dxa" w:w="100"/>
              <w:right w:type="dxa" w:w="110"/>
            </w:tcMar>
            <w:vAlign w:val="center"/>
          </w:tcPr>
          <w:p>
            <w:pPr>
              <w:spacing w:after="0"/>
            </w:pPr>
            <w:r>
              <w:rPr>
                <w:b/>
                <w:bCs/>
                <w:color w:val="FFFFFF"/>
                <w:sz w:val="18"/>
                <w:szCs w:val="18"/>
              </w:rPr>
              <w:t xml:space="preserve">Benchmark</w:t>
            </w:r>
          </w:p>
        </w:tc>
      </w:tr>
      <w:tr>
        <w:tc>
          <w:tcPr>
            <w:tcW w:type="dxa" w:w="2245"/>
            <w:tcMar>
              <w:top w:type="dxa" w:w="90"/>
              <w:left w:type="dxa" w:w="110"/>
              <w:bottom w:type="dxa" w:w="90"/>
              <w:right w:type="dxa" w:w="110"/>
            </w:tcMar>
            <w:vAlign w:val="center"/>
          </w:tcPr>
          <w:p>
            <w:pPr>
              <w:spacing w:after="0" w:line="260"/>
            </w:pPr>
            <w:r>
              <w:rPr>
                <w:b w:val="false"/>
                <w:bCs w:val="false"/>
                <w:sz w:val="18"/>
                <w:szCs w:val="18"/>
              </w:rPr>
              <w:t xml:space="preserve">Standard (free to list)</w:t>
            </w:r>
          </w:p>
        </w:tc>
        <w:tc>
          <w:tcPr>
            <w:tcW w:type="dxa" w:w="1837"/>
            <w:tcMar>
              <w:top w:type="dxa" w:w="90"/>
              <w:left w:type="dxa" w:w="110"/>
              <w:bottom w:type="dxa" w:w="90"/>
              <w:right w:type="dxa" w:w="110"/>
            </w:tcMar>
            <w:vAlign w:val="center"/>
          </w:tcPr>
          <w:p>
            <w:pPr>
              <w:spacing w:after="0" w:line="260"/>
            </w:pPr>
            <w:r>
              <w:rPr>
                <w:b w:val="false"/>
                <w:bCs w:val="false"/>
                <w:sz w:val="18"/>
                <w:szCs w:val="18"/>
              </w:rPr>
              <w:t xml:space="preserve">$0</w:t>
            </w:r>
          </w:p>
        </w:tc>
        <w:tc>
          <w:tcPr>
            <w:tcW w:type="dxa" w:w="2245"/>
            <w:tcMar>
              <w:top w:type="dxa" w:w="90"/>
              <w:left w:type="dxa" w:w="110"/>
              <w:bottom w:type="dxa" w:w="90"/>
              <w:right w:type="dxa" w:w="110"/>
            </w:tcMar>
            <w:vAlign w:val="center"/>
          </w:tcPr>
          <w:p>
            <w:pPr>
              <w:spacing w:after="0" w:line="260"/>
            </w:pPr>
            <w:r>
              <w:rPr>
                <w:b w:val="false"/>
                <w:bCs w:val="false"/>
                <w:sz w:val="18"/>
                <w:szCs w:val="18"/>
              </w:rPr>
              <w:t xml:space="preserve">~20–25%</w:t>
            </w:r>
          </w:p>
        </w:tc>
        <w:tc>
          <w:tcPr>
            <w:tcW w:type="dxa" w:w="3878"/>
            <w:tcMar>
              <w:top w:type="dxa" w:w="90"/>
              <w:left w:type="dxa" w:w="110"/>
              <w:bottom w:type="dxa" w:w="90"/>
              <w:right w:type="dxa" w:w="110"/>
            </w:tcMar>
            <w:vAlign w:val="center"/>
          </w:tcPr>
          <w:p>
            <w:pPr>
              <w:spacing w:after="0" w:line="260"/>
            </w:pPr>
            <w:r>
              <w:rPr>
                <w:b w:val="false"/>
                <w:bCs w:val="false"/>
                <w:sz w:val="18"/>
                <w:szCs w:val="18"/>
              </w:rPr>
              <w:t xml:space="preserve">Between Maven's 90/10 split and Udemy's organic-traffic-only economics</w:t>
            </w:r>
          </w:p>
        </w:tc>
      </w:tr>
      <w:tr>
        <w:tc>
          <w:tcPr>
            <w:tcW w:type="dxa" w:w="2245"/>
            <w:shd w:fill="EEF2F7" w:val="clear"/>
            <w:tcMar>
              <w:top w:type="dxa" w:w="90"/>
              <w:left w:type="dxa" w:w="110"/>
              <w:bottom w:type="dxa" w:w="90"/>
              <w:right w:type="dxa" w:w="110"/>
            </w:tcMar>
            <w:vAlign w:val="center"/>
          </w:tcPr>
          <w:p>
            <w:pPr>
              <w:spacing w:after="0" w:line="260"/>
            </w:pPr>
            <w:r>
              <w:rPr>
                <w:b w:val="false"/>
                <w:bCs w:val="false"/>
                <w:sz w:val="18"/>
                <w:szCs w:val="18"/>
              </w:rPr>
              <w:t xml:space="preserve">Creator Pro</w:t>
            </w:r>
          </w:p>
        </w:tc>
        <w:tc>
          <w:tcPr>
            <w:tcW w:type="dxa" w:w="1837"/>
            <w:shd w:fill="EEF2F7" w:val="clear"/>
            <w:tcMar>
              <w:top w:type="dxa" w:w="90"/>
              <w:left w:type="dxa" w:w="110"/>
              <w:bottom w:type="dxa" w:w="90"/>
              <w:right w:type="dxa" w:w="110"/>
            </w:tcMar>
            <w:vAlign w:val="center"/>
          </w:tcPr>
          <w:p>
            <w:pPr>
              <w:spacing w:after="0" w:line="260"/>
            </w:pPr>
            <w:r>
              <w:rPr>
                <w:b w:val="false"/>
                <w:bCs w:val="false"/>
                <w:sz w:val="18"/>
                <w:szCs w:val="18"/>
              </w:rPr>
              <w:t xml:space="preserve">Flat monthly fee</w:t>
            </w:r>
          </w:p>
        </w:tc>
        <w:tc>
          <w:tcPr>
            <w:tcW w:type="dxa" w:w="2245"/>
            <w:shd w:fill="EEF2F7" w:val="clear"/>
            <w:tcMar>
              <w:top w:type="dxa" w:w="90"/>
              <w:left w:type="dxa" w:w="110"/>
              <w:bottom w:type="dxa" w:w="90"/>
              <w:right w:type="dxa" w:w="110"/>
            </w:tcMar>
            <w:vAlign w:val="center"/>
          </w:tcPr>
          <w:p>
            <w:pPr>
              <w:spacing w:after="0" w:line="260"/>
            </w:pPr>
            <w:r>
              <w:rPr>
                <w:b w:val="false"/>
                <w:bCs w:val="false"/>
                <w:sz w:val="18"/>
                <w:szCs w:val="18"/>
              </w:rPr>
              <w:t xml:space="preserve">~10–15%</w:t>
            </w:r>
          </w:p>
        </w:tc>
        <w:tc>
          <w:tcPr>
            <w:tcW w:type="dxa" w:w="3878"/>
            <w:shd w:fill="EEF2F7" w:val="clear"/>
            <w:tcMar>
              <w:top w:type="dxa" w:w="90"/>
              <w:left w:type="dxa" w:w="110"/>
              <w:bottom w:type="dxa" w:w="90"/>
              <w:right w:type="dxa" w:w="110"/>
            </w:tcMar>
            <w:vAlign w:val="center"/>
          </w:tcPr>
          <w:p>
            <w:pPr>
              <w:spacing w:after="0" w:line="260"/>
            </w:pPr>
            <w:r>
              <w:rPr>
                <w:b w:val="false"/>
                <w:bCs w:val="false"/>
                <w:sz w:val="18"/>
                <w:szCs w:val="18"/>
              </w:rPr>
              <w:t xml:space="preserve">Better than Reforge's 50% cut and Uplimit's 70% platform take, competitive with Maven</w:t>
            </w:r>
          </w:p>
        </w:tc>
      </w:tr>
      <w:tr>
        <w:tc>
          <w:tcPr>
            <w:tcW w:type="dxa" w:w="2245"/>
            <w:tcMar>
              <w:top w:type="dxa" w:w="90"/>
              <w:left w:type="dxa" w:w="110"/>
              <w:bottom w:type="dxa" w:w="90"/>
              <w:right w:type="dxa" w:w="110"/>
            </w:tcMar>
            <w:vAlign w:val="center"/>
          </w:tcPr>
          <w:p>
            <w:pPr>
              <w:spacing w:after="0" w:line="260"/>
            </w:pPr>
            <w:r>
              <w:rPr>
                <w:b w:val="false"/>
                <w:bCs w:val="false"/>
                <w:sz w:val="18"/>
                <w:szCs w:val="18"/>
              </w:rPr>
              <w:t xml:space="preserve">Marquee / anchor creators</w:t>
            </w:r>
          </w:p>
        </w:tc>
        <w:tc>
          <w:tcPr>
            <w:tcW w:type="dxa" w:w="1837"/>
            <w:tcMar>
              <w:top w:type="dxa" w:w="90"/>
              <w:left w:type="dxa" w:w="110"/>
              <w:bottom w:type="dxa" w:w="90"/>
              <w:right w:type="dxa" w:w="110"/>
            </w:tcMar>
            <w:vAlign w:val="center"/>
          </w:tcPr>
          <w:p>
            <w:pPr>
              <w:spacing w:after="0" w:line="260"/>
            </w:pPr>
            <w:r>
              <w:rPr>
                <w:b w:val="false"/>
                <w:bCs w:val="false"/>
                <w:sz w:val="18"/>
                <w:szCs w:val="18"/>
              </w:rPr>
              <w:t xml:space="preserve">Custom</w:t>
            </w:r>
          </w:p>
        </w:tc>
        <w:tc>
          <w:tcPr>
            <w:tcW w:type="dxa" w:w="2245"/>
            <w:tcMar>
              <w:top w:type="dxa" w:w="90"/>
              <w:left w:type="dxa" w:w="110"/>
              <w:bottom w:type="dxa" w:w="90"/>
              <w:right w:type="dxa" w:w="110"/>
            </w:tcMar>
            <w:vAlign w:val="center"/>
          </w:tcPr>
          <w:p>
            <w:pPr>
              <w:spacing w:after="0" w:line="260"/>
            </w:pPr>
            <w:r>
              <w:rPr>
                <w:b w:val="false"/>
                <w:bCs w:val="false"/>
                <w:sz w:val="18"/>
                <w:szCs w:val="18"/>
              </w:rPr>
              <w:t xml:space="preserve">Negotiated</w:t>
            </w:r>
          </w:p>
        </w:tc>
        <w:tc>
          <w:tcPr>
            <w:tcW w:type="dxa" w:w="3878"/>
            <w:tcMar>
              <w:top w:type="dxa" w:w="90"/>
              <w:left w:type="dxa" w:w="110"/>
              <w:bottom w:type="dxa" w:w="90"/>
              <w:right w:type="dxa" w:w="110"/>
            </w:tcMar>
            <w:vAlign w:val="center"/>
          </w:tcPr>
          <w:p>
            <w:pPr>
              <w:spacing w:after="0" w:line="260"/>
            </w:pPr>
            <w:r>
              <w:rPr>
                <w:b w:val="false"/>
                <w:bCs w:val="false"/>
                <w:sz w:val="18"/>
                <w:szCs w:val="18"/>
              </w:rPr>
              <w:t xml:space="preserve">Reserved for later-stage deals with established educators, not a launch assumption</w:t>
            </w:r>
          </w:p>
        </w:tc>
      </w:tr>
    </w:tbl>
    <w:p>
      <w:pPr>
        <w:spacing w:after="200" w:line="288"/>
        <w:jc w:val="left"/>
      </w:pPr>
      <w:r>
        <w:t xml:space="preserve">Mentor payouts follow a parallel tiered structure — Associate, Senior, and Principal mentor levels, priced differently to the learner and paid out differently, so a learner on the Career tier can specifically choose a more senior reviewer, mirroring the real hiring bar their project is meant to simulate.</w:t>
      </w:r>
    </w:p>
    <w:p>
      <w:pPr>
        <w:pStyle w:val="Heading2"/>
        <w:spacing w:after="160" w:before="340"/>
      </w:pPr>
      <w:r>
        <w:rPr>
          <w:b/>
          <w:bCs/>
        </w:rPr>
        <w:t xml:space="preserve">8.6 Growth and monetization levers</w:t>
      </w:r>
    </w:p>
    <w:p>
      <w:pPr>
        <w:pStyle w:val="ListParagraph"/>
        <w:numPr>
          <w:ilvl w:val="0"/>
          <w:numId w:val="1"/>
        </w:numPr>
        <w:spacing w:after="90" w:line="276"/>
      </w:pPr>
      <w:r>
        <w:t xml:space="preserve">EMI at checkout through an Indian financing partner (Propelld- or Financepeer-class), critical at Capstone/Flagship and Enterprise price points given how central EMI is to UpGrad, Edureka, and Crio.do's actual checkout flows.</w:t>
      </w:r>
    </w:p>
    <w:p>
      <w:pPr>
        <w:pStyle w:val="ListParagraph"/>
        <w:numPr>
          <w:ilvl w:val="0"/>
          <w:numId w:val="1"/>
        </w:numPr>
        <w:spacing w:after="90" w:line="276"/>
      </w:pPr>
      <w:r>
        <w:t xml:space="preserve">Regional/PPP-adjusted pricing for international expansion, following Udemy's existing playbook.</w:t>
      </w:r>
    </w:p>
    <w:p>
      <w:pPr>
        <w:pStyle w:val="ListParagraph"/>
        <w:numPr>
          <w:ilvl w:val="0"/>
          <w:numId w:val="1"/>
        </w:numPr>
        <w:spacing w:after="90" w:line="276"/>
      </w:pPr>
      <w:r>
        <w:t xml:space="preserve">Referral program (learner→learner) and affiliate program (creator→creator).</w:t>
      </w:r>
    </w:p>
    <w:p>
      <w:pPr>
        <w:pStyle w:val="ListParagraph"/>
        <w:numPr>
          <w:ilvl w:val="0"/>
          <w:numId w:val="1"/>
        </w:numPr>
        <w:spacing w:after="90" w:line="276"/>
      </w:pPr>
      <w:r>
        <w:t xml:space="preserve">Corporate gifting / small-team seat purchases, distinct from the full enterprise sales motion.</w:t>
      </w:r>
    </w:p>
    <w:p>
      <w:pPr>
        <w:pStyle w:val="ListParagraph"/>
        <w:numPr>
          <w:ilvl w:val="0"/>
          <w:numId w:val="1"/>
        </w:numPr>
        <w:spacing w:after="90" w:line="276"/>
      </w:pPr>
      <w:r>
        <w:t xml:space="preserve">Optional income-share pricing for the Career tier's Flagship project bundle, deferring payment until placement — validated by Crio.do's ₹19,999/₹39,999 success-fee model and the broader Masai/ISA pattern in the Indian market.</w:t>
      </w:r>
    </w:p>
    <w:p>
      <w:pPr>
        <w:pStyle w:val="ListParagraph"/>
        <w:numPr>
          <w:ilvl w:val="0"/>
          <w:numId w:val="1"/>
        </w:numPr>
        <w:spacing w:after="90" w:line="276"/>
      </w:pPr>
      <w:r>
        <w:t xml:space="preserve">Need-based and merit scholarships — a lower-cost trust and distribution lever, not just a social-good line item.</w:t>
      </w:r>
    </w:p>
    <w:p>
      <w:pPr>
        <w:pStyle w:val="Heading3"/>
        <w:spacing w:after="120" w:before="260"/>
      </w:pPr>
      <w:r>
        <w:rPr>
          <w:b/>
          <w:bCs/>
        </w:rPr>
        <w:t xml:space="preserve">Competitive pricing benchmark (for reference)</w:t>
      </w:r>
    </w:p>
    <w:tbl>
      <w:tblPr>
        <w:tblW w:type="dxa" w:w="10206"/>
        <w:tblBorders>
          <w:top w:val="single" w:color="C9D1DE" w:sz="4"/>
          <w:left w:val="single" w:color="C9D1DE" w:sz="4"/>
          <w:bottom w:val="single" w:color="C9D1DE" w:sz="4"/>
          <w:right w:val="single" w:color="C9D1DE" w:sz="4"/>
          <w:insideH w:val="single" w:color="C9D1DE" w:sz="4"/>
          <w:insideV w:val="single" w:color="C9D1DE" w:sz="4"/>
        </w:tblBorders>
      </w:tblPr>
      <w:tblGrid>
        <w:gridCol w:w="4287"/>
        <w:gridCol w:w="5919"/>
      </w:tblGrid>
      <w:tr>
        <w:trPr>
          <w:tblHeader/>
        </w:trPr>
        <w:tc>
          <w:tcPr>
            <w:tcW w:type="dxa" w:w="4287"/>
            <w:shd w:fill="1B2A4A" w:val="clear"/>
            <w:tcMar>
              <w:top w:type="dxa" w:w="100"/>
              <w:left w:type="dxa" w:w="110"/>
              <w:bottom w:type="dxa" w:w="100"/>
              <w:right w:type="dxa" w:w="110"/>
            </w:tcMar>
            <w:vAlign w:val="center"/>
          </w:tcPr>
          <w:p>
            <w:pPr>
              <w:spacing w:after="0"/>
            </w:pPr>
            <w:r>
              <w:rPr>
                <w:b/>
                <w:bCs/>
                <w:color w:val="FFFFFF"/>
                <w:sz w:val="18"/>
                <w:szCs w:val="18"/>
              </w:rPr>
              <w:t xml:space="preserve">Platform</w:t>
            </w:r>
          </w:p>
        </w:tc>
        <w:tc>
          <w:tcPr>
            <w:tcW w:type="dxa" w:w="5919"/>
            <w:shd w:fill="1B2A4A" w:val="clear"/>
            <w:tcMar>
              <w:top w:type="dxa" w:w="100"/>
              <w:left w:type="dxa" w:w="110"/>
              <w:bottom w:type="dxa" w:w="100"/>
              <w:right w:type="dxa" w:w="110"/>
            </w:tcMar>
            <w:vAlign w:val="center"/>
          </w:tcPr>
          <w:p>
            <w:pPr>
              <w:spacing w:after="0"/>
            </w:pPr>
            <w:r>
              <w:rPr>
                <w:b/>
                <w:bCs/>
                <w:color w:val="FFFFFF"/>
                <w:sz w:val="18"/>
                <w:szCs w:val="18"/>
              </w:rPr>
              <w:t xml:space="preserve">Indicative price</w:t>
            </w:r>
          </w:p>
        </w:tc>
      </w:tr>
      <w:tr>
        <w:tc>
          <w:tcPr>
            <w:tcW w:type="dxa" w:w="4287"/>
            <w:tcMar>
              <w:top w:type="dxa" w:w="90"/>
              <w:left w:type="dxa" w:w="110"/>
              <w:bottom w:type="dxa" w:w="90"/>
              <w:right w:type="dxa" w:w="110"/>
            </w:tcMar>
            <w:vAlign w:val="center"/>
          </w:tcPr>
          <w:p>
            <w:pPr>
              <w:spacing w:after="0" w:line="260"/>
            </w:pPr>
            <w:r>
              <w:rPr>
                <w:b w:val="false"/>
                <w:bCs w:val="false"/>
                <w:sz w:val="18"/>
                <w:szCs w:val="18"/>
              </w:rPr>
              <w:t xml:space="preserve">Coursera Plus (individual)</w:t>
            </w:r>
          </w:p>
        </w:tc>
        <w:tc>
          <w:tcPr>
            <w:tcW w:type="dxa" w:w="5919"/>
            <w:tcMar>
              <w:top w:type="dxa" w:w="90"/>
              <w:left w:type="dxa" w:w="110"/>
              <w:bottom w:type="dxa" w:w="90"/>
              <w:right w:type="dxa" w:w="110"/>
            </w:tcMar>
            <w:vAlign w:val="center"/>
          </w:tcPr>
          <w:p>
            <w:pPr>
              <w:spacing w:after="0" w:line="260"/>
            </w:pPr>
            <w:r>
              <w:rPr>
                <w:b w:val="false"/>
                <w:bCs w:val="false"/>
                <w:sz w:val="18"/>
                <w:szCs w:val="18"/>
              </w:rPr>
              <w:t xml:space="preserve">$399/yr or $59/mo</w:t>
            </w:r>
          </w:p>
        </w:tc>
      </w:tr>
      <w:tr>
        <w:tc>
          <w:tcPr>
            <w:tcW w:type="dxa" w:w="4287"/>
            <w:shd w:fill="EEF2F7" w:val="clear"/>
            <w:tcMar>
              <w:top w:type="dxa" w:w="90"/>
              <w:left w:type="dxa" w:w="110"/>
              <w:bottom w:type="dxa" w:w="90"/>
              <w:right w:type="dxa" w:w="110"/>
            </w:tcMar>
            <w:vAlign w:val="center"/>
          </w:tcPr>
          <w:p>
            <w:pPr>
              <w:spacing w:after="0" w:line="260"/>
            </w:pPr>
            <w:r>
              <w:rPr>
                <w:b w:val="false"/>
                <w:bCs w:val="false"/>
                <w:sz w:val="18"/>
                <w:szCs w:val="18"/>
              </w:rPr>
              <w:t xml:space="preserve">Coursera for Business (Teams)</w:t>
            </w:r>
          </w:p>
        </w:tc>
        <w:tc>
          <w:tcPr>
            <w:tcW w:type="dxa" w:w="5919"/>
            <w:shd w:fill="EEF2F7" w:val="clear"/>
            <w:tcMar>
              <w:top w:type="dxa" w:w="90"/>
              <w:left w:type="dxa" w:w="110"/>
              <w:bottom w:type="dxa" w:w="90"/>
              <w:right w:type="dxa" w:w="110"/>
            </w:tcMar>
            <w:vAlign w:val="center"/>
          </w:tcPr>
          <w:p>
            <w:pPr>
              <w:spacing w:after="0" w:line="260"/>
            </w:pPr>
            <w:r>
              <w:rPr>
                <w:b w:val="false"/>
                <w:bCs w:val="false"/>
                <w:sz w:val="18"/>
                <w:szCs w:val="18"/>
              </w:rPr>
              <w:t xml:space="preserve">$399/user/yr, 5–125 seats</w:t>
            </w:r>
          </w:p>
        </w:tc>
      </w:tr>
      <w:tr>
        <w:tc>
          <w:tcPr>
            <w:tcW w:type="dxa" w:w="4287"/>
            <w:tcMar>
              <w:top w:type="dxa" w:w="90"/>
              <w:left w:type="dxa" w:w="110"/>
              <w:bottom w:type="dxa" w:w="90"/>
              <w:right w:type="dxa" w:w="110"/>
            </w:tcMar>
            <w:vAlign w:val="center"/>
          </w:tcPr>
          <w:p>
            <w:pPr>
              <w:spacing w:after="0" w:line="260"/>
            </w:pPr>
            <w:r>
              <w:rPr>
                <w:b w:val="false"/>
                <w:bCs w:val="false"/>
                <w:sz w:val="18"/>
                <w:szCs w:val="18"/>
              </w:rPr>
              <w:t xml:space="preserve">Udemy Business (Team)</w:t>
            </w:r>
          </w:p>
        </w:tc>
        <w:tc>
          <w:tcPr>
            <w:tcW w:type="dxa" w:w="5919"/>
            <w:tcMar>
              <w:top w:type="dxa" w:w="90"/>
              <w:left w:type="dxa" w:w="110"/>
              <w:bottom w:type="dxa" w:w="90"/>
              <w:right w:type="dxa" w:w="110"/>
            </w:tcMar>
            <w:vAlign w:val="center"/>
          </w:tcPr>
          <w:p>
            <w:pPr>
              <w:spacing w:after="0" w:line="260"/>
            </w:pPr>
            <w:r>
              <w:rPr>
                <w:b w:val="false"/>
                <w:bCs w:val="false"/>
                <w:sz w:val="18"/>
                <w:szCs w:val="18"/>
              </w:rPr>
              <w:t xml:space="preserve">~$30/user/mo, billed annually</w:t>
            </w:r>
          </w:p>
        </w:tc>
      </w:tr>
      <w:tr>
        <w:tc>
          <w:tcPr>
            <w:tcW w:type="dxa" w:w="4287"/>
            <w:shd w:fill="EEF2F7" w:val="clear"/>
            <w:tcMar>
              <w:top w:type="dxa" w:w="90"/>
              <w:left w:type="dxa" w:w="110"/>
              <w:bottom w:type="dxa" w:w="90"/>
              <w:right w:type="dxa" w:w="110"/>
            </w:tcMar>
            <w:vAlign w:val="center"/>
          </w:tcPr>
          <w:p>
            <w:pPr>
              <w:spacing w:after="0" w:line="260"/>
            </w:pPr>
            <w:r>
              <w:rPr>
                <w:b w:val="false"/>
                <w:bCs w:val="false"/>
                <w:sz w:val="18"/>
                <w:szCs w:val="18"/>
              </w:rPr>
              <w:t xml:space="preserve">UpGrad certificate programs</w:t>
            </w:r>
          </w:p>
        </w:tc>
        <w:tc>
          <w:tcPr>
            <w:tcW w:type="dxa" w:w="5919"/>
            <w:shd w:fill="EEF2F7" w:val="clear"/>
            <w:tcMar>
              <w:top w:type="dxa" w:w="90"/>
              <w:left w:type="dxa" w:w="110"/>
              <w:bottom w:type="dxa" w:w="90"/>
              <w:right w:type="dxa" w:w="110"/>
            </w:tcMar>
            <w:vAlign w:val="center"/>
          </w:tcPr>
          <w:p>
            <w:pPr>
              <w:spacing w:after="0" w:line="260"/>
            </w:pPr>
            <w:r>
              <w:rPr>
                <w:b w:val="false"/>
                <w:bCs w:val="false"/>
                <w:sz w:val="18"/>
                <w:szCs w:val="18"/>
              </w:rPr>
              <w:t xml:space="preserve">₹99K–₹3L+ depending on program</w:t>
            </w:r>
          </w:p>
        </w:tc>
      </w:tr>
      <w:tr>
        <w:tc>
          <w:tcPr>
            <w:tcW w:type="dxa" w:w="4287"/>
            <w:tcMar>
              <w:top w:type="dxa" w:w="90"/>
              <w:left w:type="dxa" w:w="110"/>
              <w:bottom w:type="dxa" w:w="90"/>
              <w:right w:type="dxa" w:w="110"/>
            </w:tcMar>
            <w:vAlign w:val="center"/>
          </w:tcPr>
          <w:p>
            <w:pPr>
              <w:spacing w:after="0" w:line="260"/>
            </w:pPr>
            <w:r>
              <w:rPr>
                <w:b w:val="false"/>
                <w:bCs w:val="false"/>
                <w:sz w:val="18"/>
                <w:szCs w:val="18"/>
              </w:rPr>
              <w:t xml:space="preserve">Edureka (à la carte only)</w:t>
            </w:r>
          </w:p>
        </w:tc>
        <w:tc>
          <w:tcPr>
            <w:tcW w:type="dxa" w:w="5919"/>
            <w:tcMar>
              <w:top w:type="dxa" w:w="90"/>
              <w:left w:type="dxa" w:w="110"/>
              <w:bottom w:type="dxa" w:w="90"/>
              <w:right w:type="dxa" w:w="110"/>
            </w:tcMar>
            <w:vAlign w:val="center"/>
          </w:tcPr>
          <w:p>
            <w:pPr>
              <w:spacing w:after="0" w:line="260"/>
            </w:pPr>
            <w:r>
              <w:rPr>
                <w:b w:val="false"/>
                <w:bCs w:val="false"/>
                <w:sz w:val="18"/>
                <w:szCs w:val="18"/>
              </w:rPr>
              <w:t xml:space="preserve">$179–$1,500+ per course</w:t>
            </w:r>
          </w:p>
        </w:tc>
      </w:tr>
      <w:tr>
        <w:tc>
          <w:tcPr>
            <w:tcW w:type="dxa" w:w="4287"/>
            <w:shd w:fill="EEF2F7" w:val="clear"/>
            <w:tcMar>
              <w:top w:type="dxa" w:w="90"/>
              <w:left w:type="dxa" w:w="110"/>
              <w:bottom w:type="dxa" w:w="90"/>
              <w:right w:type="dxa" w:w="110"/>
            </w:tcMar>
            <w:vAlign w:val="center"/>
          </w:tcPr>
          <w:p>
            <w:pPr>
              <w:spacing w:after="0" w:line="260"/>
            </w:pPr>
            <w:r>
              <w:rPr>
                <w:b w:val="false"/>
                <w:bCs w:val="false"/>
                <w:sz w:val="18"/>
                <w:szCs w:val="18"/>
              </w:rPr>
              <w:t xml:space="preserve">Crio.do fellowship</w:t>
            </w:r>
          </w:p>
        </w:tc>
        <w:tc>
          <w:tcPr>
            <w:tcW w:type="dxa" w:w="5919"/>
            <w:shd w:fill="EEF2F7" w:val="clear"/>
            <w:tcMar>
              <w:top w:type="dxa" w:w="90"/>
              <w:left w:type="dxa" w:w="110"/>
              <w:bottom w:type="dxa" w:w="90"/>
              <w:right w:type="dxa" w:w="110"/>
            </w:tcMar>
            <w:vAlign w:val="center"/>
          </w:tcPr>
          <w:p>
            <w:pPr>
              <w:spacing w:after="0" w:line="260"/>
            </w:pPr>
            <w:r>
              <w:rPr>
                <w:b w:val="false"/>
                <w:bCs w:val="false"/>
                <w:sz w:val="18"/>
                <w:szCs w:val="18"/>
              </w:rPr>
              <w:t xml:space="preserve">~₹2L program fee + ₹20K–₹40K placement success fee</w:t>
            </w:r>
          </w:p>
        </w:tc>
      </w:tr>
      <w:tr>
        <w:tc>
          <w:tcPr>
            <w:tcW w:type="dxa" w:w="4287"/>
            <w:tcMar>
              <w:top w:type="dxa" w:w="90"/>
              <w:left w:type="dxa" w:w="110"/>
              <w:bottom w:type="dxa" w:w="90"/>
              <w:right w:type="dxa" w:w="110"/>
            </w:tcMar>
            <w:vAlign w:val="center"/>
          </w:tcPr>
          <w:p>
            <w:pPr>
              <w:spacing w:after="0" w:line="260"/>
            </w:pPr>
            <w:r>
              <w:rPr>
                <w:b w:val="false"/>
                <w:bCs w:val="false"/>
                <w:sz w:val="18"/>
                <w:szCs w:val="18"/>
              </w:rPr>
              <w:t xml:space="preserve">Maven (cohort courses)</w:t>
            </w:r>
          </w:p>
        </w:tc>
        <w:tc>
          <w:tcPr>
            <w:tcW w:type="dxa" w:w="5919"/>
            <w:tcMar>
              <w:top w:type="dxa" w:w="90"/>
              <w:left w:type="dxa" w:w="110"/>
              <w:bottom w:type="dxa" w:w="90"/>
              <w:right w:type="dxa" w:w="110"/>
            </w:tcMar>
            <w:vAlign w:val="center"/>
          </w:tcPr>
          <w:p>
            <w:pPr>
              <w:spacing w:after="0" w:line="260"/>
            </w:pPr>
            <w:r>
              <w:rPr>
                <w:b w:val="false"/>
                <w:bCs w:val="false"/>
                <w:sz w:val="18"/>
                <w:szCs w:val="18"/>
              </w:rPr>
              <w:t xml:space="preserve">~$500 avg. course, 10% platform fee to instructor</w:t>
            </w:r>
          </w:p>
        </w:tc>
      </w:tr>
      <w:tr>
        <w:tc>
          <w:tcPr>
            <w:tcW w:type="dxa" w:w="4287"/>
            <w:shd w:fill="EEF2F7" w:val="clear"/>
            <w:tcMar>
              <w:top w:type="dxa" w:w="90"/>
              <w:left w:type="dxa" w:w="110"/>
              <w:bottom w:type="dxa" w:w="90"/>
              <w:right w:type="dxa" w:w="110"/>
            </w:tcMar>
            <w:vAlign w:val="center"/>
          </w:tcPr>
          <w:p>
            <w:pPr>
              <w:spacing w:after="0" w:line="260"/>
            </w:pPr>
            <w:r>
              <w:rPr>
                <w:b w:val="false"/>
                <w:bCs w:val="false"/>
                <w:sz w:val="18"/>
                <w:szCs w:val="18"/>
              </w:rPr>
              <w:t xml:space="preserve">Graphy (Unacademy)</w:t>
            </w:r>
          </w:p>
        </w:tc>
        <w:tc>
          <w:tcPr>
            <w:tcW w:type="dxa" w:w="5919"/>
            <w:shd w:fill="EEF2F7" w:val="clear"/>
            <w:tcMar>
              <w:top w:type="dxa" w:w="90"/>
              <w:left w:type="dxa" w:w="110"/>
              <w:bottom w:type="dxa" w:w="90"/>
              <w:right w:type="dxa" w:w="110"/>
            </w:tcMar>
            <w:vAlign w:val="center"/>
          </w:tcPr>
          <w:p>
            <w:pPr>
              <w:spacing w:after="0" w:line="260"/>
            </w:pPr>
            <w:r>
              <w:rPr>
                <w:b w:val="false"/>
                <w:bCs w:val="false"/>
                <w:sz w:val="18"/>
                <w:szCs w:val="18"/>
              </w:rPr>
              <w:t xml:space="preserve">$49–$399/mo flat, or 10%→5% commission tiers</w:t>
            </w:r>
          </w:p>
        </w:tc>
      </w:tr>
      <w:tr>
        <w:tc>
          <w:tcPr>
            <w:tcW w:type="dxa" w:w="4287"/>
            <w:tcMar>
              <w:top w:type="dxa" w:w="90"/>
              <w:left w:type="dxa" w:w="110"/>
              <w:bottom w:type="dxa" w:w="90"/>
              <w:right w:type="dxa" w:w="110"/>
            </w:tcMar>
            <w:vAlign w:val="center"/>
          </w:tcPr>
          <w:p>
            <w:pPr>
              <w:spacing w:after="0" w:line="260"/>
            </w:pPr>
            <w:r>
              <w:rPr>
                <w:b w:val="false"/>
                <w:bCs w:val="false"/>
                <w:sz w:val="18"/>
                <w:szCs w:val="18"/>
              </w:rPr>
              <w:t xml:space="preserve">Fermion (infrastructure, not learner-facing)</w:t>
            </w:r>
          </w:p>
        </w:tc>
        <w:tc>
          <w:tcPr>
            <w:tcW w:type="dxa" w:w="5919"/>
            <w:tcMar>
              <w:top w:type="dxa" w:w="90"/>
              <w:left w:type="dxa" w:w="110"/>
              <w:bottom w:type="dxa" w:w="90"/>
              <w:right w:type="dxa" w:w="110"/>
            </w:tcMar>
            <w:vAlign w:val="center"/>
          </w:tcPr>
          <w:p>
            <w:pPr>
              <w:spacing w:after="0" w:line="260"/>
            </w:pPr>
            <w:r>
              <w:rPr>
                <w:b w:val="false"/>
                <w:bCs w:val="false"/>
                <w:sz w:val="18"/>
                <w:szCs w:val="18"/>
              </w:rPr>
              <w:t xml:space="preserve">$0 base + usage-based fees</w:t>
            </w:r>
          </w:p>
        </w:tc>
      </w:tr>
    </w:tbl>
    <w:p>
      <w:pPr>
        <w:pStyle w:val="Heading1"/>
        <w:pageBreakBefore/>
        <w:spacing w:after="220" w:before="200"/>
      </w:pPr>
      <w:r>
        <w:rPr>
          <w:b/>
          <w:bCs/>
        </w:rPr>
        <w:t xml:space="preserve">9. System Design</w:t>
      </w:r>
    </w:p>
    <w:p>
      <w:pPr>
        <w:spacing w:after="200" w:line="288"/>
        <w:jc w:val="left"/>
      </w:pPr>
      <w:r>
        <w:t xml:space="preserve">This section describes the platform as modules, responsibilities, data, and integrations — deliberately independent of any specific technology, framework, or programming language, so it stays useful regardless of what the engineering team eventually picks.</w:t>
      </w:r>
    </w:p>
    <w:p>
      <w:pPr>
        <w:pStyle w:val="Heading2"/>
        <w:spacing w:after="160" w:before="340"/>
      </w:pPr>
      <w:r>
        <w:rPr>
          <w:b/>
          <w:bCs/>
        </w:rPr>
        <w:t xml:space="preserve">9.1 Reference architecture</w:t>
      </w:r>
    </w:p>
    <w:p>
      <w:pPr>
        <w:spacing w:after="240" w:before="120"/>
        <w:jc w:val="center"/>
      </w:pPr>
      <w:r>
        <w:drawing>
          <wp:inline distT="0" distB="0" distL="0" distR="0">
            <wp:extent cx="5943600" cy="452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524375"/>
                    </a:xfrm>
                    <a:prstGeom prst="rect">
                      <a:avLst/>
                    </a:prstGeom>
                  </pic:spPr>
                </pic:pic>
              </a:graphicData>
            </a:graphic>
          </wp:inline>
        </w:drawing>
      </w:r>
    </w:p>
    <w:p>
      <w:pPr>
        <w:spacing w:after="300"/>
        <w:jc w:val="center"/>
      </w:pPr>
      <w:r>
        <w:rPr>
          <w:i/>
          <w:iCs/>
          <w:color w:val="6B7280"/>
          <w:sz w:val="17"/>
          <w:szCs w:val="17"/>
        </w:rPr>
        <w:t xml:space="preserve">Figure 2 — Logical architecture: client surfaces, the access/commerce/tenancy layer, six core product modules, shared platform services, and external integrations.</w:t>
      </w:r>
    </w:p>
    <w:p>
      <w:pPr>
        <w:pStyle w:val="Heading2"/>
        <w:spacing w:after="160" w:before="340"/>
      </w:pPr>
      <w:r>
        <w:rPr>
          <w:b/>
          <w:bCs/>
        </w:rPr>
        <w:t xml:space="preserve">9.2 Module responsibilities</w:t>
      </w:r>
    </w:p>
    <w:tbl>
      <w:tblPr>
        <w:tblW w:type="dxa" w:w="10206"/>
        <w:tblBorders>
          <w:top w:val="single" w:color="C9D1DE" w:sz="4"/>
          <w:left w:val="single" w:color="C9D1DE" w:sz="4"/>
          <w:bottom w:val="single" w:color="C9D1DE" w:sz="4"/>
          <w:right w:val="single" w:color="C9D1DE" w:sz="4"/>
          <w:insideH w:val="single" w:color="C9D1DE" w:sz="4"/>
          <w:insideV w:val="single" w:color="C9D1DE" w:sz="4"/>
        </w:tblBorders>
      </w:tblPr>
      <w:tblGrid>
        <w:gridCol w:w="2449"/>
        <w:gridCol w:w="4287"/>
        <w:gridCol w:w="3470"/>
      </w:tblGrid>
      <w:tr>
        <w:trPr>
          <w:tblHeader/>
        </w:trPr>
        <w:tc>
          <w:tcPr>
            <w:tcW w:type="dxa" w:w="2449"/>
            <w:shd w:fill="1B2A4A" w:val="clear"/>
            <w:tcMar>
              <w:top w:type="dxa" w:w="100"/>
              <w:left w:type="dxa" w:w="110"/>
              <w:bottom w:type="dxa" w:w="100"/>
              <w:right w:type="dxa" w:w="110"/>
            </w:tcMar>
            <w:vAlign w:val="center"/>
          </w:tcPr>
          <w:p>
            <w:pPr>
              <w:spacing w:after="0"/>
            </w:pPr>
            <w:r>
              <w:rPr>
                <w:b/>
                <w:bCs/>
                <w:color w:val="FFFFFF"/>
                <w:sz w:val="18"/>
                <w:szCs w:val="18"/>
              </w:rPr>
              <w:t xml:space="preserve">Module</w:t>
            </w:r>
          </w:p>
        </w:tc>
        <w:tc>
          <w:tcPr>
            <w:tcW w:type="dxa" w:w="4287"/>
            <w:shd w:fill="1B2A4A" w:val="clear"/>
            <w:tcMar>
              <w:top w:type="dxa" w:w="100"/>
              <w:left w:type="dxa" w:w="110"/>
              <w:bottom w:type="dxa" w:w="100"/>
              <w:right w:type="dxa" w:w="110"/>
            </w:tcMar>
            <w:vAlign w:val="center"/>
          </w:tcPr>
          <w:p>
            <w:pPr>
              <w:spacing w:after="0"/>
            </w:pPr>
            <w:r>
              <w:rPr>
                <w:b/>
                <w:bCs/>
                <w:color w:val="FFFFFF"/>
                <w:sz w:val="18"/>
                <w:szCs w:val="18"/>
              </w:rPr>
              <w:t xml:space="preserve">Responsibility</w:t>
            </w:r>
          </w:p>
        </w:tc>
        <w:tc>
          <w:tcPr>
            <w:tcW w:type="dxa" w:w="3470"/>
            <w:shd w:fill="1B2A4A" w:val="clear"/>
            <w:tcMar>
              <w:top w:type="dxa" w:w="100"/>
              <w:left w:type="dxa" w:w="110"/>
              <w:bottom w:type="dxa" w:w="100"/>
              <w:right w:type="dxa" w:w="110"/>
            </w:tcMar>
            <w:vAlign w:val="center"/>
          </w:tcPr>
          <w:p>
            <w:pPr>
              <w:spacing w:after="0"/>
            </w:pPr>
            <w:r>
              <w:rPr>
                <w:b/>
                <w:bCs/>
                <w:color w:val="FFFFFF"/>
                <w:sz w:val="18"/>
                <w:szCs w:val="18"/>
              </w:rPr>
              <w:t xml:space="preserve">Key entities it owns</w:t>
            </w:r>
          </w:p>
        </w:tc>
      </w:tr>
      <w:tr>
        <w:tc>
          <w:tcPr>
            <w:tcW w:type="dxa" w:w="2449"/>
            <w:tcMar>
              <w:top w:type="dxa" w:w="90"/>
              <w:left w:type="dxa" w:w="110"/>
              <w:bottom w:type="dxa" w:w="90"/>
              <w:right w:type="dxa" w:w="110"/>
            </w:tcMar>
            <w:vAlign w:val="center"/>
          </w:tcPr>
          <w:p>
            <w:pPr>
              <w:spacing w:after="0" w:line="260"/>
            </w:pPr>
            <w:r>
              <w:rPr>
                <w:b w:val="false"/>
                <w:bCs w:val="false"/>
                <w:sz w:val="18"/>
                <w:szCs w:val="18"/>
              </w:rPr>
              <w:t xml:space="preserve">Course Engine</w:t>
            </w:r>
          </w:p>
        </w:tc>
        <w:tc>
          <w:tcPr>
            <w:tcW w:type="dxa" w:w="4287"/>
            <w:tcMar>
              <w:top w:type="dxa" w:w="90"/>
              <w:left w:type="dxa" w:w="110"/>
              <w:bottom w:type="dxa" w:w="90"/>
              <w:right w:type="dxa" w:w="110"/>
            </w:tcMar>
            <w:vAlign w:val="center"/>
          </w:tcPr>
          <w:p>
            <w:pPr>
              <w:spacing w:after="0" w:line="260"/>
            </w:pPr>
            <w:r>
              <w:rPr>
                <w:b w:val="false"/>
                <w:bCs w:val="false"/>
                <w:sz w:val="18"/>
                <w:szCs w:val="18"/>
              </w:rPr>
              <w:t xml:space="preserve">Authoring, content library, drip/release logic, delivery-mode (self-paced/live) handling</w:t>
            </w:r>
          </w:p>
        </w:tc>
        <w:tc>
          <w:tcPr>
            <w:tcW w:type="dxa" w:w="3470"/>
            <w:tcMar>
              <w:top w:type="dxa" w:w="90"/>
              <w:left w:type="dxa" w:w="110"/>
              <w:bottom w:type="dxa" w:w="90"/>
              <w:right w:type="dxa" w:w="110"/>
            </w:tcMar>
            <w:vAlign w:val="center"/>
          </w:tcPr>
          <w:p>
            <w:pPr>
              <w:spacing w:after="0" w:line="260"/>
            </w:pPr>
            <w:r>
              <w:rPr>
                <w:b w:val="false"/>
                <w:bCs w:val="false"/>
                <w:sz w:val="18"/>
                <w:szCs w:val="18"/>
              </w:rPr>
              <w:t xml:space="preserve">Course, Lesson, Module, Enrollment</w:t>
            </w:r>
          </w:p>
        </w:tc>
      </w:tr>
      <w:tr>
        <w:tc>
          <w:tcPr>
            <w:tcW w:type="dxa" w:w="2449"/>
            <w:shd w:fill="EEF2F7" w:val="clear"/>
            <w:tcMar>
              <w:top w:type="dxa" w:w="90"/>
              <w:left w:type="dxa" w:w="110"/>
              <w:bottom w:type="dxa" w:w="90"/>
              <w:right w:type="dxa" w:w="110"/>
            </w:tcMar>
            <w:vAlign w:val="center"/>
          </w:tcPr>
          <w:p>
            <w:pPr>
              <w:spacing w:after="0" w:line="260"/>
            </w:pPr>
            <w:r>
              <w:rPr>
                <w:b w:val="false"/>
                <w:bCs w:val="false"/>
                <w:sz w:val="18"/>
                <w:szCs w:val="18"/>
              </w:rPr>
              <w:t xml:space="preserve">Assessment &amp; Sandbox Engine</w:t>
            </w:r>
          </w:p>
        </w:tc>
        <w:tc>
          <w:tcPr>
            <w:tcW w:type="dxa" w:w="4287"/>
            <w:shd w:fill="EEF2F7" w:val="clear"/>
            <w:tcMar>
              <w:top w:type="dxa" w:w="90"/>
              <w:left w:type="dxa" w:w="110"/>
              <w:bottom w:type="dxa" w:w="90"/>
              <w:right w:type="dxa" w:w="110"/>
            </w:tcMar>
            <w:vAlign w:val="center"/>
          </w:tcPr>
          <w:p>
            <w:pPr>
              <w:spacing w:after="0" w:line="260"/>
            </w:pPr>
            <w:r>
              <w:rPr>
                <w:b w:val="false"/>
                <w:bCs w:val="false"/>
                <w:sz w:val="18"/>
                <w:szCs w:val="18"/>
              </w:rPr>
              <w:t xml:space="preserve">Quizzes, assignments, autograding, embedded code sandboxes, capstone evaluation</w:t>
            </w:r>
          </w:p>
        </w:tc>
        <w:tc>
          <w:tcPr>
            <w:tcW w:type="dxa" w:w="3470"/>
            <w:shd w:fill="EEF2F7" w:val="clear"/>
            <w:tcMar>
              <w:top w:type="dxa" w:w="90"/>
              <w:left w:type="dxa" w:w="110"/>
              <w:bottom w:type="dxa" w:w="90"/>
              <w:right w:type="dxa" w:w="110"/>
            </w:tcMar>
            <w:vAlign w:val="center"/>
          </w:tcPr>
          <w:p>
            <w:pPr>
              <w:spacing w:after="0" w:line="260"/>
            </w:pPr>
            <w:r>
              <w:rPr>
                <w:b w:val="false"/>
                <w:bCs w:val="false"/>
                <w:sz w:val="18"/>
                <w:szCs w:val="18"/>
              </w:rPr>
              <w:t xml:space="preserve">Assignment, Submission, Quiz, SandboxSession</w:t>
            </w:r>
          </w:p>
        </w:tc>
      </w:tr>
      <w:tr>
        <w:tc>
          <w:tcPr>
            <w:tcW w:type="dxa" w:w="2449"/>
            <w:tcMar>
              <w:top w:type="dxa" w:w="90"/>
              <w:left w:type="dxa" w:w="110"/>
              <w:bottom w:type="dxa" w:w="90"/>
              <w:right w:type="dxa" w:w="110"/>
            </w:tcMar>
            <w:vAlign w:val="center"/>
          </w:tcPr>
          <w:p>
            <w:pPr>
              <w:spacing w:after="0" w:line="260"/>
            </w:pPr>
            <w:r>
              <w:rPr>
                <w:b w:val="false"/>
                <w:bCs w:val="false"/>
                <w:sz w:val="18"/>
                <w:szCs w:val="18"/>
              </w:rPr>
              <w:t xml:space="preserve">Mentor-Guided Project Engine</w:t>
            </w:r>
          </w:p>
        </w:tc>
        <w:tc>
          <w:tcPr>
            <w:tcW w:type="dxa" w:w="4287"/>
            <w:tcMar>
              <w:top w:type="dxa" w:w="90"/>
              <w:left w:type="dxa" w:w="110"/>
              <w:bottom w:type="dxa" w:w="90"/>
              <w:right w:type="dxa" w:w="110"/>
            </w:tcMar>
            <w:vAlign w:val="center"/>
          </w:tcPr>
          <w:p>
            <w:pPr>
              <w:spacing w:after="0" w:line="260"/>
            </w:pPr>
            <w:r>
              <w:rPr>
                <w:b w:val="false"/>
                <w:bCs w:val="false"/>
                <w:sz w:val="18"/>
                <w:szCs w:val="18"/>
              </w:rPr>
              <w:t xml:space="preserve">Project catalog, scoping, milestone tracking, rubric-based review, live defense scheduling</w:t>
            </w:r>
          </w:p>
        </w:tc>
        <w:tc>
          <w:tcPr>
            <w:tcW w:type="dxa" w:w="3470"/>
            <w:tcMar>
              <w:top w:type="dxa" w:w="90"/>
              <w:left w:type="dxa" w:w="110"/>
              <w:bottom w:type="dxa" w:w="90"/>
              <w:right w:type="dxa" w:w="110"/>
            </w:tcMar>
            <w:vAlign w:val="center"/>
          </w:tcPr>
          <w:p>
            <w:pPr>
              <w:spacing w:after="0" w:line="260"/>
            </w:pPr>
            <w:r>
              <w:rPr>
                <w:b w:val="false"/>
                <w:bCs w:val="false"/>
                <w:sz w:val="18"/>
                <w:szCs w:val="18"/>
              </w:rPr>
              <w:t xml:space="preserve">Project, ProjectInstance, Milestone, Review, Rubric</w:t>
            </w:r>
          </w:p>
        </w:tc>
      </w:tr>
      <w:tr>
        <w:tc>
          <w:tcPr>
            <w:tcW w:type="dxa" w:w="2449"/>
            <w:shd w:fill="EEF2F7" w:val="clear"/>
            <w:tcMar>
              <w:top w:type="dxa" w:w="90"/>
              <w:left w:type="dxa" w:w="110"/>
              <w:bottom w:type="dxa" w:w="90"/>
              <w:right w:type="dxa" w:w="110"/>
            </w:tcMar>
            <w:vAlign w:val="center"/>
          </w:tcPr>
          <w:p>
            <w:pPr>
              <w:spacing w:after="0" w:line="260"/>
            </w:pPr>
            <w:r>
              <w:rPr>
                <w:b w:val="false"/>
                <w:bCs w:val="false"/>
                <w:sz w:val="18"/>
                <w:szCs w:val="18"/>
              </w:rPr>
              <w:t xml:space="preserve">Live Class Orchestration</w:t>
            </w:r>
          </w:p>
        </w:tc>
        <w:tc>
          <w:tcPr>
            <w:tcW w:type="dxa" w:w="4287"/>
            <w:shd w:fill="EEF2F7" w:val="clear"/>
            <w:tcMar>
              <w:top w:type="dxa" w:w="90"/>
              <w:left w:type="dxa" w:w="110"/>
              <w:bottom w:type="dxa" w:w="90"/>
              <w:right w:type="dxa" w:w="110"/>
            </w:tcMar>
            <w:vAlign w:val="center"/>
          </w:tcPr>
          <w:p>
            <w:pPr>
              <w:spacing w:after="0" w:line="260"/>
            </w:pPr>
            <w:r>
              <w:rPr>
                <w:b w:val="false"/>
                <w:bCs w:val="false"/>
                <w:sz w:val="18"/>
                <w:szCs w:val="18"/>
              </w:rPr>
              <w:t xml:space="preserve">Calendar sync, session scheduling, attendance, recording hand-off to Course Engine</w:t>
            </w:r>
          </w:p>
        </w:tc>
        <w:tc>
          <w:tcPr>
            <w:tcW w:type="dxa" w:w="3470"/>
            <w:shd w:fill="EEF2F7" w:val="clear"/>
            <w:tcMar>
              <w:top w:type="dxa" w:w="90"/>
              <w:left w:type="dxa" w:w="110"/>
              <w:bottom w:type="dxa" w:w="90"/>
              <w:right w:type="dxa" w:w="110"/>
            </w:tcMar>
            <w:vAlign w:val="center"/>
          </w:tcPr>
          <w:p>
            <w:pPr>
              <w:spacing w:after="0" w:line="260"/>
            </w:pPr>
            <w:r>
              <w:rPr>
                <w:b w:val="false"/>
                <w:bCs w:val="false"/>
                <w:sz w:val="18"/>
                <w:szCs w:val="18"/>
              </w:rPr>
              <w:t xml:space="preserve">LiveSession, Attendance</w:t>
            </w:r>
          </w:p>
        </w:tc>
      </w:tr>
      <w:tr>
        <w:tc>
          <w:tcPr>
            <w:tcW w:type="dxa" w:w="2449"/>
            <w:tcMar>
              <w:top w:type="dxa" w:w="90"/>
              <w:left w:type="dxa" w:w="110"/>
              <w:bottom w:type="dxa" w:w="90"/>
              <w:right w:type="dxa" w:w="110"/>
            </w:tcMar>
            <w:vAlign w:val="center"/>
          </w:tcPr>
          <w:p>
            <w:pPr>
              <w:spacing w:after="0" w:line="260"/>
            </w:pPr>
            <w:r>
              <w:rPr>
                <w:b w:val="false"/>
                <w:bCs w:val="false"/>
                <w:sz w:val="18"/>
                <w:szCs w:val="18"/>
              </w:rPr>
              <w:t xml:space="preserve">Career &amp; Portfolio Layer</w:t>
            </w:r>
          </w:p>
        </w:tc>
        <w:tc>
          <w:tcPr>
            <w:tcW w:type="dxa" w:w="4287"/>
            <w:tcMar>
              <w:top w:type="dxa" w:w="90"/>
              <w:left w:type="dxa" w:w="110"/>
              <w:bottom w:type="dxa" w:w="90"/>
              <w:right w:type="dxa" w:w="110"/>
            </w:tcMar>
            <w:vAlign w:val="center"/>
          </w:tcPr>
          <w:p>
            <w:pPr>
              <w:spacing w:after="0" w:line="260"/>
            </w:pPr>
            <w:r>
              <w:rPr>
                <w:b w:val="false"/>
                <w:bCs w:val="false"/>
                <w:sz w:val="18"/>
                <w:szCs w:val="18"/>
              </w:rPr>
              <w:t xml:space="preserve">Proof-of-work profile generation, credential issuance/verification, hiring-partner search</w:t>
            </w:r>
          </w:p>
        </w:tc>
        <w:tc>
          <w:tcPr>
            <w:tcW w:type="dxa" w:w="3470"/>
            <w:tcMar>
              <w:top w:type="dxa" w:w="90"/>
              <w:left w:type="dxa" w:w="110"/>
              <w:bottom w:type="dxa" w:w="90"/>
              <w:right w:type="dxa" w:w="110"/>
            </w:tcMar>
            <w:vAlign w:val="center"/>
          </w:tcPr>
          <w:p>
            <w:pPr>
              <w:spacing w:after="0" w:line="260"/>
            </w:pPr>
            <w:r>
              <w:rPr>
                <w:b w:val="false"/>
                <w:bCs w:val="false"/>
                <w:sz w:val="18"/>
                <w:szCs w:val="18"/>
              </w:rPr>
              <w:t xml:space="preserve">Credential, PortfolioProfile, TalentSearchIndex</w:t>
            </w:r>
          </w:p>
        </w:tc>
      </w:tr>
      <w:tr>
        <w:tc>
          <w:tcPr>
            <w:tcW w:type="dxa" w:w="2449"/>
            <w:shd w:fill="EEF2F7" w:val="clear"/>
            <w:tcMar>
              <w:top w:type="dxa" w:w="90"/>
              <w:left w:type="dxa" w:w="110"/>
              <w:bottom w:type="dxa" w:w="90"/>
              <w:right w:type="dxa" w:w="110"/>
            </w:tcMar>
            <w:vAlign w:val="center"/>
          </w:tcPr>
          <w:p>
            <w:pPr>
              <w:spacing w:after="0" w:line="260"/>
            </w:pPr>
            <w:r>
              <w:rPr>
                <w:b w:val="false"/>
                <w:bCs w:val="false"/>
                <w:sz w:val="18"/>
                <w:szCs w:val="18"/>
              </w:rPr>
              <w:t xml:space="preserve">Enterprise &amp; Cohort Ops</w:t>
            </w:r>
          </w:p>
        </w:tc>
        <w:tc>
          <w:tcPr>
            <w:tcW w:type="dxa" w:w="4287"/>
            <w:shd w:fill="EEF2F7" w:val="clear"/>
            <w:tcMar>
              <w:top w:type="dxa" w:w="90"/>
              <w:left w:type="dxa" w:w="110"/>
              <w:bottom w:type="dxa" w:w="90"/>
              <w:right w:type="dxa" w:w="110"/>
            </w:tcMar>
            <w:vAlign w:val="center"/>
          </w:tcPr>
          <w:p>
            <w:pPr>
              <w:spacing w:after="0" w:line="260"/>
            </w:pPr>
            <w:r>
              <w:rPr>
                <w:b w:val="false"/>
                <w:bCs w:val="false"/>
                <w:sz w:val="18"/>
                <w:szCs w:val="18"/>
              </w:rPr>
              <w:t xml:space="preserve">Program packaging, rostering, compliance/completion reporting, co-branding</w:t>
            </w:r>
          </w:p>
        </w:tc>
        <w:tc>
          <w:tcPr>
            <w:tcW w:type="dxa" w:w="3470"/>
            <w:shd w:fill="EEF2F7" w:val="clear"/>
            <w:tcMar>
              <w:top w:type="dxa" w:w="90"/>
              <w:left w:type="dxa" w:w="110"/>
              <w:bottom w:type="dxa" w:w="90"/>
              <w:right w:type="dxa" w:w="110"/>
            </w:tcMar>
            <w:vAlign w:val="center"/>
          </w:tcPr>
          <w:p>
            <w:pPr>
              <w:spacing w:after="0" w:line="260"/>
            </w:pPr>
            <w:r>
              <w:rPr>
                <w:b w:val="false"/>
                <w:bCs w:val="false"/>
                <w:sz w:val="18"/>
                <w:szCs w:val="18"/>
              </w:rPr>
              <w:t xml:space="preserve">Organization, Program, Roster, ComplianceReport</w:t>
            </w:r>
          </w:p>
        </w:tc>
      </w:tr>
      <w:tr>
        <w:tc>
          <w:tcPr>
            <w:tcW w:type="dxa" w:w="2449"/>
            <w:tcMar>
              <w:top w:type="dxa" w:w="90"/>
              <w:left w:type="dxa" w:w="110"/>
              <w:bottom w:type="dxa" w:w="90"/>
              <w:right w:type="dxa" w:w="110"/>
            </w:tcMar>
            <w:vAlign w:val="center"/>
          </w:tcPr>
          <w:p>
            <w:pPr>
              <w:spacing w:after="0" w:line="260"/>
            </w:pPr>
            <w:r>
              <w:rPr>
                <w:b w:val="false"/>
                <w:bCs w:val="false"/>
                <w:sz w:val="18"/>
                <w:szCs w:val="18"/>
              </w:rPr>
              <w:t xml:space="preserve">Multi-Tenant Storefront Engine</w:t>
            </w:r>
          </w:p>
        </w:tc>
        <w:tc>
          <w:tcPr>
            <w:tcW w:type="dxa" w:w="4287"/>
            <w:tcMar>
              <w:top w:type="dxa" w:w="90"/>
              <w:left w:type="dxa" w:w="110"/>
              <w:bottom w:type="dxa" w:w="90"/>
              <w:right w:type="dxa" w:w="110"/>
            </w:tcMar>
            <w:vAlign w:val="center"/>
          </w:tcPr>
          <w:p>
            <w:pPr>
              <w:spacing w:after="0" w:line="260"/>
            </w:pPr>
            <w:r>
              <w:rPr>
                <w:b w:val="false"/>
                <w:bCs w:val="false"/>
                <w:sz w:val="18"/>
                <w:szCs w:val="18"/>
              </w:rPr>
              <w:t xml:space="preserve">Creator/university branded pages, discovery surfaces, shared vs. tenant-scoped catalog</w:t>
            </w:r>
          </w:p>
        </w:tc>
        <w:tc>
          <w:tcPr>
            <w:tcW w:type="dxa" w:w="3470"/>
            <w:tcMar>
              <w:top w:type="dxa" w:w="90"/>
              <w:left w:type="dxa" w:w="110"/>
              <w:bottom w:type="dxa" w:w="90"/>
              <w:right w:type="dxa" w:w="110"/>
            </w:tcMar>
            <w:vAlign w:val="center"/>
          </w:tcPr>
          <w:p>
            <w:pPr>
              <w:spacing w:after="0" w:line="260"/>
            </w:pPr>
            <w:r>
              <w:rPr>
                <w:b w:val="false"/>
                <w:bCs w:val="false"/>
                <w:sz w:val="18"/>
                <w:szCs w:val="18"/>
              </w:rPr>
              <w:t xml:space="preserve">Tenant, Storefront, CatalogListing</w:t>
            </w:r>
          </w:p>
        </w:tc>
      </w:tr>
      <w:tr>
        <w:tc>
          <w:tcPr>
            <w:tcW w:type="dxa" w:w="2449"/>
            <w:shd w:fill="EEF2F7" w:val="clear"/>
            <w:tcMar>
              <w:top w:type="dxa" w:w="90"/>
              <w:left w:type="dxa" w:w="110"/>
              <w:bottom w:type="dxa" w:w="90"/>
              <w:right w:type="dxa" w:w="110"/>
            </w:tcMar>
            <w:vAlign w:val="center"/>
          </w:tcPr>
          <w:p>
            <w:pPr>
              <w:spacing w:after="0" w:line="260"/>
            </w:pPr>
            <w:r>
              <w:rPr>
                <w:b w:val="false"/>
                <w:bCs w:val="false"/>
                <w:sz w:val="18"/>
                <w:szCs w:val="18"/>
              </w:rPr>
              <w:t xml:space="preserve">Cart, Checkout &amp; Pricing Engine</w:t>
            </w:r>
          </w:p>
        </w:tc>
        <w:tc>
          <w:tcPr>
            <w:tcW w:type="dxa" w:w="4287"/>
            <w:shd w:fill="EEF2F7" w:val="clear"/>
            <w:tcMar>
              <w:top w:type="dxa" w:w="90"/>
              <w:left w:type="dxa" w:w="110"/>
              <w:bottom w:type="dxa" w:w="90"/>
              <w:right w:type="dxa" w:w="110"/>
            </w:tcMar>
            <w:vAlign w:val="center"/>
          </w:tcPr>
          <w:p>
            <w:pPr>
              <w:spacing w:after="0" w:line="260"/>
            </w:pPr>
            <w:r>
              <w:rPr>
                <w:b w:val="false"/>
                <w:bCs w:val="false"/>
                <w:sz w:val="18"/>
                <w:szCs w:val="18"/>
              </w:rPr>
              <w:t xml:space="preserve">Universal cart across SKU types, subscriptions, bundles, coupons, EMI handoff</w:t>
            </w:r>
          </w:p>
        </w:tc>
        <w:tc>
          <w:tcPr>
            <w:tcW w:type="dxa" w:w="3470"/>
            <w:shd w:fill="EEF2F7" w:val="clear"/>
            <w:tcMar>
              <w:top w:type="dxa" w:w="90"/>
              <w:left w:type="dxa" w:w="110"/>
              <w:bottom w:type="dxa" w:w="90"/>
              <w:right w:type="dxa" w:w="110"/>
            </w:tcMar>
            <w:vAlign w:val="center"/>
          </w:tcPr>
          <w:p>
            <w:pPr>
              <w:spacing w:after="0" w:line="260"/>
            </w:pPr>
            <w:r>
              <w:rPr>
                <w:b w:val="false"/>
                <w:bCs w:val="false"/>
                <w:sz w:val="18"/>
                <w:szCs w:val="18"/>
              </w:rPr>
              <w:t xml:space="preserve">Order, Cart, SubscriptionPlan, Coupon</w:t>
            </w:r>
          </w:p>
        </w:tc>
      </w:tr>
      <w:tr>
        <w:tc>
          <w:tcPr>
            <w:tcW w:type="dxa" w:w="2449"/>
            <w:tcMar>
              <w:top w:type="dxa" w:w="90"/>
              <w:left w:type="dxa" w:w="110"/>
              <w:bottom w:type="dxa" w:w="90"/>
              <w:right w:type="dxa" w:w="110"/>
            </w:tcMar>
            <w:vAlign w:val="center"/>
          </w:tcPr>
          <w:p>
            <w:pPr>
              <w:spacing w:after="0" w:line="260"/>
            </w:pPr>
            <w:r>
              <w:rPr>
                <w:b w:val="false"/>
                <w:bCs w:val="false"/>
                <w:sz w:val="18"/>
                <w:szCs w:val="18"/>
              </w:rPr>
              <w:t xml:space="preserve">Payments, Payouts &amp; Revenue-Share Ledger</w:t>
            </w:r>
          </w:p>
        </w:tc>
        <w:tc>
          <w:tcPr>
            <w:tcW w:type="dxa" w:w="4287"/>
            <w:tcMar>
              <w:top w:type="dxa" w:w="90"/>
              <w:left w:type="dxa" w:w="110"/>
              <w:bottom w:type="dxa" w:w="90"/>
              <w:right w:type="dxa" w:w="110"/>
            </w:tcMar>
            <w:vAlign w:val="center"/>
          </w:tcPr>
          <w:p>
            <w:pPr>
              <w:spacing w:after="0" w:line="260"/>
            </w:pPr>
            <w:r>
              <w:rPr>
                <w:b w:val="false"/>
                <w:bCs w:val="false"/>
                <w:sz w:val="18"/>
                <w:szCs w:val="18"/>
              </w:rPr>
              <w:t xml:space="preserve">Payment capture, creator/mentor payout calculation, settlement</w:t>
            </w:r>
          </w:p>
        </w:tc>
        <w:tc>
          <w:tcPr>
            <w:tcW w:type="dxa" w:w="3470"/>
            <w:tcMar>
              <w:top w:type="dxa" w:w="90"/>
              <w:left w:type="dxa" w:w="110"/>
              <w:bottom w:type="dxa" w:w="90"/>
              <w:right w:type="dxa" w:w="110"/>
            </w:tcMar>
            <w:vAlign w:val="center"/>
          </w:tcPr>
          <w:p>
            <w:pPr>
              <w:spacing w:after="0" w:line="260"/>
            </w:pPr>
            <w:r>
              <w:rPr>
                <w:b w:val="false"/>
                <w:bCs w:val="false"/>
                <w:sz w:val="18"/>
                <w:szCs w:val="18"/>
              </w:rPr>
              <w:t xml:space="preserve">Payout, LedgerEntry</w:t>
            </w:r>
          </w:p>
        </w:tc>
      </w:tr>
      <w:tr>
        <w:tc>
          <w:tcPr>
            <w:tcW w:type="dxa" w:w="2449"/>
            <w:shd w:fill="EEF2F7" w:val="clear"/>
            <w:tcMar>
              <w:top w:type="dxa" w:w="90"/>
              <w:left w:type="dxa" w:w="110"/>
              <w:bottom w:type="dxa" w:w="90"/>
              <w:right w:type="dxa" w:w="110"/>
            </w:tcMar>
            <w:vAlign w:val="center"/>
          </w:tcPr>
          <w:p>
            <w:pPr>
              <w:spacing w:after="0" w:line="260"/>
            </w:pPr>
            <w:r>
              <w:rPr>
                <w:b w:val="false"/>
                <w:bCs w:val="false"/>
                <w:sz w:val="18"/>
                <w:szCs w:val="18"/>
              </w:rPr>
              <w:t xml:space="preserve">Trust &amp; Integrity</w:t>
            </w:r>
          </w:p>
        </w:tc>
        <w:tc>
          <w:tcPr>
            <w:tcW w:type="dxa" w:w="4287"/>
            <w:shd w:fill="EEF2F7" w:val="clear"/>
            <w:tcMar>
              <w:top w:type="dxa" w:w="90"/>
              <w:left w:type="dxa" w:w="110"/>
              <w:bottom w:type="dxa" w:w="90"/>
              <w:right w:type="dxa" w:w="110"/>
            </w:tcMar>
            <w:vAlign w:val="center"/>
          </w:tcPr>
          <w:p>
            <w:pPr>
              <w:spacing w:after="0" w:line="260"/>
            </w:pPr>
            <w:r>
              <w:rPr>
                <w:b w:val="false"/>
                <w:bCs w:val="false"/>
                <w:sz w:val="18"/>
                <w:szCs w:val="18"/>
              </w:rPr>
              <w:t xml:space="preserve">Plagiarism/AI-detection checks, proctoring, content moderation</w:t>
            </w:r>
          </w:p>
        </w:tc>
        <w:tc>
          <w:tcPr>
            <w:tcW w:type="dxa" w:w="3470"/>
            <w:shd w:fill="EEF2F7" w:val="clear"/>
            <w:tcMar>
              <w:top w:type="dxa" w:w="90"/>
              <w:left w:type="dxa" w:w="110"/>
              <w:bottom w:type="dxa" w:w="90"/>
              <w:right w:type="dxa" w:w="110"/>
            </w:tcMar>
            <w:vAlign w:val="center"/>
          </w:tcPr>
          <w:p>
            <w:pPr>
              <w:spacing w:after="0" w:line="260"/>
            </w:pPr>
            <w:r>
              <w:rPr>
                <w:b w:val="false"/>
                <w:bCs w:val="false"/>
                <w:sz w:val="18"/>
                <w:szCs w:val="18"/>
              </w:rPr>
              <w:t xml:space="preserve">IntegrityFlag, ProctoredSession</w:t>
            </w:r>
          </w:p>
        </w:tc>
      </w:tr>
    </w:tbl>
    <w:p>
      <w:pPr>
        <w:pStyle w:val="Heading2"/>
        <w:spacing w:after="160" w:before="340"/>
      </w:pPr>
      <w:r>
        <w:rPr>
          <w:b/>
          <w:bCs/>
        </w:rPr>
        <w:t xml:space="preserve">9.3 Conceptual data model</w:t>
      </w:r>
    </w:p>
    <w:p>
      <w:pPr>
        <w:spacing w:after="200" w:line="288"/>
        <w:jc w:val="left"/>
      </w:pPr>
      <w:r>
        <w:t xml:space="preserve">Key entities and how they relate — intentionally described at the conceptual level; the physical data design is an engineering decision outside this document's scope.</w:t>
      </w:r>
    </w:p>
    <w:p>
      <w:pPr>
        <w:pStyle w:val="ListParagraph"/>
        <w:numPr>
          <w:ilvl w:val="0"/>
          <w:numId w:val="1"/>
        </w:numPr>
        <w:spacing w:after="90" w:line="276"/>
      </w:pPr>
      <w:r>
        <w:rPr>
          <w:b/>
          <w:bCs/>
          <w:i w:val="false"/>
          <w:iCs w:val="false"/>
        </w:rPr>
        <w:t xml:space="preserve">User </w:t>
      </w:r>
      <w:r>
        <w:rPr>
          <w:b w:val="false"/>
          <w:bCs w:val="false"/>
          <w:i w:val="false"/>
          <w:iCs w:val="false"/>
        </w:rPr>
        <w:t xml:space="preserve">can hold one or more roles — Learner, Creator, Mentor, Org Admin — simultaneously, scoped per Tenant where relevant.</w:t>
      </w:r>
    </w:p>
    <w:p>
      <w:pPr>
        <w:pStyle w:val="ListParagraph"/>
        <w:numPr>
          <w:ilvl w:val="0"/>
          <w:numId w:val="1"/>
        </w:numPr>
        <w:spacing w:after="90" w:line="276"/>
      </w:pPr>
      <w:r>
        <w:rPr>
          <w:b/>
          <w:bCs/>
          <w:i w:val="false"/>
          <w:iCs w:val="false"/>
        </w:rPr>
        <w:t xml:space="preserve">Tenant </w:t>
      </w:r>
      <w:r>
        <w:rPr>
          <w:b w:val="false"/>
          <w:bCs w:val="false"/>
          <w:i w:val="false"/>
          <w:iCs w:val="false"/>
        </w:rPr>
        <w:t xml:space="preserve">represents a creator's or an enterprise/university partner's branded space; owns Storefronts, Courses, and Projects it publishes, and can opt individual listings into the shared marketplace catalog.</w:t>
      </w:r>
    </w:p>
    <w:p>
      <w:pPr>
        <w:pStyle w:val="ListParagraph"/>
        <w:numPr>
          <w:ilvl w:val="0"/>
          <w:numId w:val="1"/>
        </w:numPr>
        <w:spacing w:after="90" w:line="276"/>
      </w:pPr>
      <w:r>
        <w:rPr>
          <w:b/>
          <w:bCs/>
          <w:i w:val="false"/>
          <w:iCs w:val="false"/>
        </w:rPr>
        <w:t xml:space="preserve">Course </w:t>
      </w:r>
      <w:r>
        <w:rPr>
          <w:b w:val="false"/>
          <w:bCs w:val="false"/>
          <w:i w:val="false"/>
          <w:iCs w:val="false"/>
        </w:rPr>
        <w:t xml:space="preserve">has many Lessons and one or more Cohorts (for live delivery); a Learner's relationship to a Course is an Enrollment.</w:t>
      </w:r>
    </w:p>
    <w:p>
      <w:pPr>
        <w:pStyle w:val="ListParagraph"/>
        <w:numPr>
          <w:ilvl w:val="0"/>
          <w:numId w:val="1"/>
        </w:numPr>
        <w:spacing w:after="90" w:line="276"/>
      </w:pPr>
      <w:r>
        <w:rPr>
          <w:b/>
          <w:bCs/>
          <w:i w:val="false"/>
          <w:iCs w:val="false"/>
        </w:rPr>
        <w:t xml:space="preserve">Project </w:t>
      </w:r>
      <w:r>
        <w:rPr>
          <w:b w:val="false"/>
          <w:bCs w:val="false"/>
          <w:i w:val="false"/>
          <w:iCs w:val="false"/>
        </w:rPr>
        <w:t xml:space="preserve">is a catalog definition (brief, rubric, complexity tier); a learner purchasing it creates a ProjectInstance, which accumulates Milestones and Reviews from an assigned Mentor.</w:t>
      </w:r>
    </w:p>
    <w:p>
      <w:pPr>
        <w:pStyle w:val="ListParagraph"/>
        <w:numPr>
          <w:ilvl w:val="0"/>
          <w:numId w:val="1"/>
        </w:numPr>
        <w:spacing w:after="90" w:line="276"/>
      </w:pPr>
      <w:r>
        <w:rPr>
          <w:b/>
          <w:bCs/>
          <w:i w:val="false"/>
          <w:iCs w:val="false"/>
        </w:rPr>
        <w:t xml:space="preserve">Order </w:t>
      </w:r>
      <w:r>
        <w:rPr>
          <w:b w:val="false"/>
          <w:bCs w:val="false"/>
          <w:i w:val="false"/>
          <w:iCs w:val="false"/>
        </w:rPr>
        <w:t xml:space="preserve">is the commerce record tying together any combination of Course, Project, and SubscriptionPlan line items purchased in a single checkout — this is the entity that makes independent, à la carte purchasing structurally possible.</w:t>
      </w:r>
    </w:p>
    <w:p>
      <w:pPr>
        <w:pStyle w:val="ListParagraph"/>
        <w:numPr>
          <w:ilvl w:val="0"/>
          <w:numId w:val="1"/>
        </w:numPr>
        <w:spacing w:after="90" w:line="276"/>
      </w:pPr>
      <w:r>
        <w:rPr>
          <w:b/>
          <w:bCs/>
          <w:i w:val="false"/>
          <w:iCs w:val="false"/>
        </w:rPr>
        <w:t xml:space="preserve">Credential </w:t>
      </w:r>
      <w:r>
        <w:rPr>
          <w:b w:val="false"/>
          <w:bCs w:val="false"/>
          <w:i w:val="false"/>
          <w:iCs w:val="false"/>
        </w:rPr>
        <w:t xml:space="preserve">is issued against a completed Course or ProjectInstance and carries a public verification identifier.</w:t>
      </w:r>
    </w:p>
    <w:p>
      <w:pPr>
        <w:pStyle w:val="ListParagraph"/>
        <w:numPr>
          <w:ilvl w:val="0"/>
          <w:numId w:val="1"/>
        </w:numPr>
        <w:spacing w:after="90" w:line="276"/>
      </w:pPr>
      <w:r>
        <w:rPr>
          <w:b/>
          <w:bCs/>
          <w:i w:val="false"/>
          <w:iCs w:val="false"/>
        </w:rPr>
        <w:t xml:space="preserve">Organization </w:t>
      </w:r>
      <w:r>
        <w:rPr>
          <w:b w:val="false"/>
          <w:bCs w:val="false"/>
          <w:i w:val="false"/>
          <w:iCs w:val="false"/>
        </w:rPr>
        <w:t xml:space="preserve">(enterprise/university) owns a Program, a Roster of enrolled Users, and receives ComplianceReports aggregated across that roster's Enrollments and ProjectInstances.</w:t>
      </w:r>
    </w:p>
    <w:p>
      <w:pPr>
        <w:pStyle w:val="Heading2"/>
        <w:spacing w:after="160" w:before="340"/>
      </w:pPr>
      <w:r>
        <w:rPr>
          <w:b/>
          <w:bCs/>
        </w:rPr>
        <w:t xml:space="preserve">9.4 Multi-tenancy model</w:t>
      </w:r>
    </w:p>
    <w:p>
      <w:pPr>
        <w:spacing w:after="200" w:line="288"/>
        <w:jc w:val="left"/>
      </w:pPr>
      <w:r>
        <w:t xml:space="preserve">A single shared core (identity, commerce, mentor marketplace, analytics) with tenant-scoped branding and catalog ownership on top. Two practical rules fall out of this:</w:t>
      </w:r>
    </w:p>
    <w:p>
      <w:pPr>
        <w:pStyle w:val="ListParagraph"/>
        <w:numPr>
          <w:ilvl w:val="0"/>
          <w:numId w:val="1"/>
        </w:numPr>
        <w:spacing w:after="90" w:line="276"/>
      </w:pPr>
      <w:r>
        <w:t xml:space="preserve">A creator's or university's storefront is a branded view over their own Courses/Projects, but their learners, orders, and mentor-review data live in the shared core — so platform-level analytics, trust &amp; safety, and cross-sell (e.g., recommending a project from a different creator) all work without duplicating data per tenant.</w:t>
      </w:r>
    </w:p>
    <w:p>
      <w:pPr>
        <w:pStyle w:val="ListParagraph"/>
        <w:numPr>
          <w:ilvl w:val="0"/>
          <w:numId w:val="1"/>
        </w:numPr>
        <w:spacing w:after="90" w:line="276"/>
      </w:pPr>
      <w:r>
        <w:t xml:space="preserve">Catalog visibility is opt-in per listing: a creator or enterprise partner can keep a course or program fully private to their own branded space, or opt it into shared marketplace search — giving creators the choice between an Educosys-style closed cohort and full marketplace discovery.</w:t>
      </w:r>
    </w:p>
    <w:p>
      <w:pPr>
        <w:pStyle w:val="Heading2"/>
        <w:spacing w:after="160" w:before="340"/>
      </w:pPr>
      <w:r>
        <w:rPr>
          <w:b/>
          <w:bCs/>
        </w:rPr>
        <w:t xml:space="preserve">9.5 Integration map</w:t>
      </w:r>
    </w:p>
    <w:p>
      <w:pPr>
        <w:spacing w:after="200" w:line="288"/>
        <w:jc w:val="left"/>
      </w:pPr>
      <w:r>
        <w:t xml:space="preserve">Per your instruction, calendar scheduling is explicitly out of scope to build — Live Class Orchestration integrates with an external calendar provider (Google Calendar, as you specified) purely for scheduling and availability sync, not as a system this platform owns.</w:t>
      </w:r>
    </w:p>
    <w:tbl>
      <w:tblPr>
        <w:tblW w:type="dxa" w:w="10206"/>
        <w:tblBorders>
          <w:top w:val="single" w:color="C9D1DE" w:sz="4"/>
          <w:left w:val="single" w:color="C9D1DE" w:sz="4"/>
          <w:bottom w:val="single" w:color="C9D1DE" w:sz="4"/>
          <w:right w:val="single" w:color="C9D1DE" w:sz="4"/>
          <w:insideH w:val="single" w:color="C9D1DE" w:sz="4"/>
          <w:insideV w:val="single" w:color="C9D1DE" w:sz="4"/>
        </w:tblBorders>
      </w:tblPr>
      <w:tblGrid>
        <w:gridCol w:w="3062"/>
        <w:gridCol w:w="3470"/>
        <w:gridCol w:w="3674"/>
      </w:tblGrid>
      <w:tr>
        <w:trPr>
          <w:tblHeader/>
        </w:trPr>
        <w:tc>
          <w:tcPr>
            <w:tcW w:type="dxa" w:w="3062"/>
            <w:shd w:fill="1B2A4A" w:val="clear"/>
            <w:tcMar>
              <w:top w:type="dxa" w:w="100"/>
              <w:left w:type="dxa" w:w="110"/>
              <w:bottom w:type="dxa" w:w="100"/>
              <w:right w:type="dxa" w:w="110"/>
            </w:tcMar>
            <w:vAlign w:val="center"/>
          </w:tcPr>
          <w:p>
            <w:pPr>
              <w:spacing w:after="0"/>
            </w:pPr>
            <w:r>
              <w:rPr>
                <w:b/>
                <w:bCs/>
                <w:color w:val="FFFFFF"/>
                <w:sz w:val="18"/>
                <w:szCs w:val="18"/>
              </w:rPr>
              <w:t xml:space="preserve">Capability</w:t>
            </w:r>
          </w:p>
        </w:tc>
        <w:tc>
          <w:tcPr>
            <w:tcW w:type="dxa" w:w="3470"/>
            <w:shd w:fill="1B2A4A" w:val="clear"/>
            <w:tcMar>
              <w:top w:type="dxa" w:w="100"/>
              <w:left w:type="dxa" w:w="110"/>
              <w:bottom w:type="dxa" w:w="100"/>
              <w:right w:type="dxa" w:w="110"/>
            </w:tcMar>
            <w:vAlign w:val="center"/>
          </w:tcPr>
          <w:p>
            <w:pPr>
              <w:spacing w:after="0"/>
            </w:pPr>
            <w:r>
              <w:rPr>
                <w:b/>
                <w:bCs/>
                <w:color w:val="FFFFFF"/>
                <w:sz w:val="18"/>
                <w:szCs w:val="18"/>
              </w:rPr>
              <w:t xml:space="preserve">Integration approach</w:t>
            </w:r>
          </w:p>
        </w:tc>
        <w:tc>
          <w:tcPr>
            <w:tcW w:type="dxa" w:w="3674"/>
            <w:shd w:fill="1B2A4A" w:val="clear"/>
            <w:tcMar>
              <w:top w:type="dxa" w:w="100"/>
              <w:left w:type="dxa" w:w="110"/>
              <w:bottom w:type="dxa" w:w="100"/>
              <w:right w:type="dxa" w:w="110"/>
            </w:tcMar>
            <w:vAlign w:val="center"/>
          </w:tcPr>
          <w:p>
            <w:pPr>
              <w:spacing w:after="0"/>
            </w:pPr>
            <w:r>
              <w:rPr>
                <w:b/>
                <w:bCs/>
                <w:color w:val="FFFFFF"/>
                <w:sz w:val="18"/>
                <w:szCs w:val="18"/>
              </w:rPr>
              <w:t xml:space="preserve">Notes</w:t>
            </w:r>
          </w:p>
        </w:tc>
      </w:tr>
      <w:tr>
        <w:tc>
          <w:tcPr>
            <w:tcW w:type="dxa" w:w="3062"/>
            <w:tcMar>
              <w:top w:type="dxa" w:w="90"/>
              <w:left w:type="dxa" w:w="110"/>
              <w:bottom w:type="dxa" w:w="90"/>
              <w:right w:type="dxa" w:w="110"/>
            </w:tcMar>
            <w:vAlign w:val="center"/>
          </w:tcPr>
          <w:p>
            <w:pPr>
              <w:spacing w:after="0" w:line="260"/>
            </w:pPr>
            <w:r>
              <w:rPr>
                <w:b w:val="false"/>
                <w:bCs w:val="false"/>
                <w:sz w:val="18"/>
                <w:szCs w:val="18"/>
              </w:rPr>
              <w:t xml:space="preserve">Scheduling for live classes &amp; mentor sessions</w:t>
            </w:r>
          </w:p>
        </w:tc>
        <w:tc>
          <w:tcPr>
            <w:tcW w:type="dxa" w:w="3470"/>
            <w:tcMar>
              <w:top w:type="dxa" w:w="90"/>
              <w:left w:type="dxa" w:w="110"/>
              <w:bottom w:type="dxa" w:w="90"/>
              <w:right w:type="dxa" w:w="110"/>
            </w:tcMar>
            <w:vAlign w:val="center"/>
          </w:tcPr>
          <w:p>
            <w:pPr>
              <w:spacing w:after="0" w:line="260"/>
            </w:pPr>
            <w:r>
              <w:rPr>
                <w:b w:val="false"/>
                <w:bCs w:val="false"/>
                <w:sz w:val="18"/>
                <w:szCs w:val="18"/>
              </w:rPr>
              <w:t xml:space="preserve">External calendar integration (Google Calendar)</w:t>
            </w:r>
          </w:p>
        </w:tc>
        <w:tc>
          <w:tcPr>
            <w:tcW w:type="dxa" w:w="3674"/>
            <w:tcMar>
              <w:top w:type="dxa" w:w="90"/>
              <w:left w:type="dxa" w:w="110"/>
              <w:bottom w:type="dxa" w:w="90"/>
              <w:right w:type="dxa" w:w="110"/>
            </w:tcMar>
            <w:vAlign w:val="center"/>
          </w:tcPr>
          <w:p>
            <w:pPr>
              <w:spacing w:after="0" w:line="260"/>
            </w:pPr>
            <w:r>
              <w:rPr>
                <w:b w:val="false"/>
                <w:bCs w:val="false"/>
                <w:sz w:val="18"/>
                <w:szCs w:val="18"/>
              </w:rPr>
              <w:t xml:space="preserve">Explicitly out of scope to build in-house, per your direction</w:t>
            </w:r>
          </w:p>
        </w:tc>
      </w:tr>
      <w:tr>
        <w:tc>
          <w:tcPr>
            <w:tcW w:type="dxa" w:w="3062"/>
            <w:shd w:fill="EEF2F7" w:val="clear"/>
            <w:tcMar>
              <w:top w:type="dxa" w:w="90"/>
              <w:left w:type="dxa" w:w="110"/>
              <w:bottom w:type="dxa" w:w="90"/>
              <w:right w:type="dxa" w:w="110"/>
            </w:tcMar>
            <w:vAlign w:val="center"/>
          </w:tcPr>
          <w:p>
            <w:pPr>
              <w:spacing w:after="0" w:line="260"/>
            </w:pPr>
            <w:r>
              <w:rPr>
                <w:b w:val="false"/>
                <w:bCs w:val="false"/>
                <w:sz w:val="18"/>
                <w:szCs w:val="18"/>
              </w:rPr>
              <w:t xml:space="preserve">Video hosting, streaming &amp; DRM</w:t>
            </w:r>
          </w:p>
        </w:tc>
        <w:tc>
          <w:tcPr>
            <w:tcW w:type="dxa" w:w="3470"/>
            <w:shd w:fill="EEF2F7" w:val="clear"/>
            <w:tcMar>
              <w:top w:type="dxa" w:w="90"/>
              <w:left w:type="dxa" w:w="110"/>
              <w:bottom w:type="dxa" w:w="90"/>
              <w:right w:type="dxa" w:w="110"/>
            </w:tcMar>
            <w:vAlign w:val="center"/>
          </w:tcPr>
          <w:p>
            <w:pPr>
              <w:spacing w:after="0" w:line="260"/>
            </w:pPr>
            <w:r>
              <w:rPr>
                <w:b w:val="false"/>
                <w:bCs w:val="false"/>
                <w:sz w:val="18"/>
                <w:szCs w:val="18"/>
              </w:rPr>
              <w:t xml:space="preserve">Specialist vendor or bundled infra layer</w:t>
            </w:r>
          </w:p>
        </w:tc>
        <w:tc>
          <w:tcPr>
            <w:tcW w:type="dxa" w:w="3674"/>
            <w:shd w:fill="EEF2F7" w:val="clear"/>
            <w:tcMar>
              <w:top w:type="dxa" w:w="90"/>
              <w:left w:type="dxa" w:w="110"/>
              <w:bottom w:type="dxa" w:w="90"/>
              <w:right w:type="dxa" w:w="110"/>
            </w:tcMar>
            <w:vAlign w:val="center"/>
          </w:tcPr>
          <w:p>
            <w:pPr>
              <w:spacing w:after="0" w:line="260"/>
            </w:pPr>
            <w:r>
              <w:rPr>
                <w:b w:val="false"/>
                <w:bCs w:val="false"/>
                <w:sz w:val="18"/>
                <w:szCs w:val="18"/>
              </w:rPr>
              <w:t xml:space="preserve">See Section 4 build-vs-buy matrix</w:t>
            </w:r>
          </w:p>
        </w:tc>
      </w:tr>
      <w:tr>
        <w:tc>
          <w:tcPr>
            <w:tcW w:type="dxa" w:w="3062"/>
            <w:tcMar>
              <w:top w:type="dxa" w:w="90"/>
              <w:left w:type="dxa" w:w="110"/>
              <w:bottom w:type="dxa" w:w="90"/>
              <w:right w:type="dxa" w:w="110"/>
            </w:tcMar>
            <w:vAlign w:val="center"/>
          </w:tcPr>
          <w:p>
            <w:pPr>
              <w:spacing w:after="0" w:line="260"/>
            </w:pPr>
            <w:r>
              <w:rPr>
                <w:b w:val="false"/>
                <w:bCs w:val="false"/>
                <w:sz w:val="18"/>
                <w:szCs w:val="18"/>
              </w:rPr>
              <w:t xml:space="preserve">Live class / webinar rendering</w:t>
            </w:r>
          </w:p>
        </w:tc>
        <w:tc>
          <w:tcPr>
            <w:tcW w:type="dxa" w:w="3470"/>
            <w:tcMar>
              <w:top w:type="dxa" w:w="90"/>
              <w:left w:type="dxa" w:w="110"/>
              <w:bottom w:type="dxa" w:w="90"/>
              <w:right w:type="dxa" w:w="110"/>
            </w:tcMar>
            <w:vAlign w:val="center"/>
          </w:tcPr>
          <w:p>
            <w:pPr>
              <w:spacing w:after="0" w:line="260"/>
            </w:pPr>
            <w:r>
              <w:rPr>
                <w:b w:val="false"/>
                <w:bCs w:val="false"/>
                <w:sz w:val="18"/>
                <w:szCs w:val="18"/>
              </w:rPr>
              <w:t xml:space="preserve">Specialist vendor or bundled infra layer</w:t>
            </w:r>
          </w:p>
        </w:tc>
        <w:tc>
          <w:tcPr>
            <w:tcW w:type="dxa" w:w="3674"/>
            <w:tcMar>
              <w:top w:type="dxa" w:w="90"/>
              <w:left w:type="dxa" w:w="110"/>
              <w:bottom w:type="dxa" w:w="90"/>
              <w:right w:type="dxa" w:w="110"/>
            </w:tcMar>
            <w:vAlign w:val="center"/>
          </w:tcPr>
          <w:p>
            <w:pPr>
              <w:spacing w:after="0" w:line="260"/>
            </w:pPr>
            <w:r>
              <w:rPr>
                <w:b w:val="false"/>
                <w:bCs w:val="false"/>
                <w:sz w:val="18"/>
                <w:szCs w:val="18"/>
              </w:rPr>
              <w:t xml:space="preserve">Same vendor evaluation as video hosting where possible</w:t>
            </w:r>
          </w:p>
        </w:tc>
      </w:tr>
      <w:tr>
        <w:tc>
          <w:tcPr>
            <w:tcW w:type="dxa" w:w="3062"/>
            <w:shd w:fill="EEF2F7" w:val="clear"/>
            <w:tcMar>
              <w:top w:type="dxa" w:w="90"/>
              <w:left w:type="dxa" w:w="110"/>
              <w:bottom w:type="dxa" w:w="90"/>
              <w:right w:type="dxa" w:w="110"/>
            </w:tcMar>
            <w:vAlign w:val="center"/>
          </w:tcPr>
          <w:p>
            <w:pPr>
              <w:spacing w:after="0" w:line="260"/>
            </w:pPr>
            <w:r>
              <w:rPr>
                <w:b w:val="false"/>
                <w:bCs w:val="false"/>
                <w:sz w:val="18"/>
                <w:szCs w:val="18"/>
              </w:rPr>
              <w:t xml:space="preserve">Code execution sandbox</w:t>
            </w:r>
          </w:p>
        </w:tc>
        <w:tc>
          <w:tcPr>
            <w:tcW w:type="dxa" w:w="3470"/>
            <w:shd w:fill="EEF2F7" w:val="clear"/>
            <w:tcMar>
              <w:top w:type="dxa" w:w="90"/>
              <w:left w:type="dxa" w:w="110"/>
              <w:bottom w:type="dxa" w:w="90"/>
              <w:right w:type="dxa" w:w="110"/>
            </w:tcMar>
            <w:vAlign w:val="center"/>
          </w:tcPr>
          <w:p>
            <w:pPr>
              <w:spacing w:after="0" w:line="260"/>
            </w:pPr>
            <w:r>
              <w:rPr>
                <w:b w:val="false"/>
                <w:bCs w:val="false"/>
                <w:sz w:val="18"/>
                <w:szCs w:val="18"/>
              </w:rPr>
              <w:t xml:space="preserve">Open-source (self-hosted) or commercial API</w:t>
            </w:r>
          </w:p>
        </w:tc>
        <w:tc>
          <w:tcPr>
            <w:tcW w:type="dxa" w:w="3674"/>
            <w:shd w:fill="EEF2F7" w:val="clear"/>
            <w:tcMar>
              <w:top w:type="dxa" w:w="90"/>
              <w:left w:type="dxa" w:w="110"/>
              <w:bottom w:type="dxa" w:w="90"/>
              <w:right w:type="dxa" w:w="110"/>
            </w:tcMar>
            <w:vAlign w:val="center"/>
          </w:tcPr>
          <w:p>
            <w:pPr>
              <w:spacing w:after="0" w:line="260"/>
            </w:pPr>
            <w:r>
              <w:rPr>
                <w:b w:val="false"/>
                <w:bCs w:val="false"/>
                <w:sz w:val="18"/>
                <w:szCs w:val="18"/>
              </w:rPr>
              <w:t xml:space="preserve">Judge0-class (open-source) or Sphere Engine-class (commercial) are both viable; genuinely commoditized</w:t>
            </w:r>
          </w:p>
        </w:tc>
      </w:tr>
      <w:tr>
        <w:tc>
          <w:tcPr>
            <w:tcW w:type="dxa" w:w="3062"/>
            <w:tcMar>
              <w:top w:type="dxa" w:w="90"/>
              <w:left w:type="dxa" w:w="110"/>
              <w:bottom w:type="dxa" w:w="90"/>
              <w:right w:type="dxa" w:w="110"/>
            </w:tcMar>
            <w:vAlign w:val="center"/>
          </w:tcPr>
          <w:p>
            <w:pPr>
              <w:spacing w:after="0" w:line="260"/>
            </w:pPr>
            <w:r>
              <w:rPr>
                <w:b w:val="false"/>
                <w:bCs w:val="false"/>
                <w:sz w:val="18"/>
                <w:szCs w:val="18"/>
              </w:rPr>
              <w:t xml:space="preserve">Payment gateway</w:t>
            </w:r>
          </w:p>
        </w:tc>
        <w:tc>
          <w:tcPr>
            <w:tcW w:type="dxa" w:w="3470"/>
            <w:tcMar>
              <w:top w:type="dxa" w:w="90"/>
              <w:left w:type="dxa" w:w="110"/>
              <w:bottom w:type="dxa" w:w="90"/>
              <w:right w:type="dxa" w:w="110"/>
            </w:tcMar>
            <w:vAlign w:val="center"/>
          </w:tcPr>
          <w:p>
            <w:pPr>
              <w:spacing w:after="0" w:line="260"/>
            </w:pPr>
            <w:r>
              <w:rPr>
                <w:b w:val="false"/>
                <w:bCs w:val="false"/>
                <w:sz w:val="18"/>
                <w:szCs w:val="18"/>
              </w:rPr>
              <w:t xml:space="preserve">Regional payment gateway(s)</w:t>
            </w:r>
          </w:p>
        </w:tc>
        <w:tc>
          <w:tcPr>
            <w:tcW w:type="dxa" w:w="3674"/>
            <w:tcMar>
              <w:top w:type="dxa" w:w="90"/>
              <w:left w:type="dxa" w:w="110"/>
              <w:bottom w:type="dxa" w:w="90"/>
              <w:right w:type="dxa" w:w="110"/>
            </w:tcMar>
            <w:vAlign w:val="center"/>
          </w:tcPr>
          <w:p>
            <w:pPr>
              <w:spacing w:after="0" w:line="260"/>
            </w:pPr>
            <w:r>
              <w:rPr>
                <w:b w:val="false"/>
                <w:bCs w:val="false"/>
                <w:sz w:val="18"/>
                <w:szCs w:val="18"/>
              </w:rPr>
              <w:t xml:space="preserve">India-first, multi-currency for later international expansion</w:t>
            </w:r>
          </w:p>
        </w:tc>
      </w:tr>
      <w:tr>
        <w:tc>
          <w:tcPr>
            <w:tcW w:type="dxa" w:w="3062"/>
            <w:shd w:fill="EEF2F7" w:val="clear"/>
            <w:tcMar>
              <w:top w:type="dxa" w:w="90"/>
              <w:left w:type="dxa" w:w="110"/>
              <w:bottom w:type="dxa" w:w="90"/>
              <w:right w:type="dxa" w:w="110"/>
            </w:tcMar>
            <w:vAlign w:val="center"/>
          </w:tcPr>
          <w:p>
            <w:pPr>
              <w:spacing w:after="0" w:line="260"/>
            </w:pPr>
            <w:r>
              <w:rPr>
                <w:b w:val="false"/>
                <w:bCs w:val="false"/>
                <w:sz w:val="18"/>
                <w:szCs w:val="18"/>
              </w:rPr>
              <w:t xml:space="preserve">EMI / financing at checkout</w:t>
            </w:r>
          </w:p>
        </w:tc>
        <w:tc>
          <w:tcPr>
            <w:tcW w:type="dxa" w:w="3470"/>
            <w:shd w:fill="EEF2F7" w:val="clear"/>
            <w:tcMar>
              <w:top w:type="dxa" w:w="90"/>
              <w:left w:type="dxa" w:w="110"/>
              <w:bottom w:type="dxa" w:w="90"/>
              <w:right w:type="dxa" w:w="110"/>
            </w:tcMar>
            <w:vAlign w:val="center"/>
          </w:tcPr>
          <w:p>
            <w:pPr>
              <w:spacing w:after="0" w:line="260"/>
            </w:pPr>
            <w:r>
              <w:rPr>
                <w:b w:val="false"/>
                <w:bCs w:val="false"/>
                <w:sz w:val="18"/>
                <w:szCs w:val="18"/>
              </w:rPr>
              <w:t xml:space="preserve">Education-financing partner</w:t>
            </w:r>
          </w:p>
        </w:tc>
        <w:tc>
          <w:tcPr>
            <w:tcW w:type="dxa" w:w="3674"/>
            <w:shd w:fill="EEF2F7" w:val="clear"/>
            <w:tcMar>
              <w:top w:type="dxa" w:w="90"/>
              <w:left w:type="dxa" w:w="110"/>
              <w:bottom w:type="dxa" w:w="90"/>
              <w:right w:type="dxa" w:w="110"/>
            </w:tcMar>
            <w:vAlign w:val="center"/>
          </w:tcPr>
          <w:p>
            <w:pPr>
              <w:spacing w:after="0" w:line="260"/>
            </w:pPr>
            <w:r>
              <w:rPr>
                <w:b w:val="false"/>
                <w:bCs w:val="false"/>
                <w:sz w:val="18"/>
                <w:szCs w:val="18"/>
              </w:rPr>
              <w:t xml:space="preserve">Propelld- or Financepeer-class integration, see Section 8.6</w:t>
            </w:r>
          </w:p>
        </w:tc>
      </w:tr>
      <w:tr>
        <w:tc>
          <w:tcPr>
            <w:tcW w:type="dxa" w:w="3062"/>
            <w:tcMar>
              <w:top w:type="dxa" w:w="90"/>
              <w:left w:type="dxa" w:w="110"/>
              <w:bottom w:type="dxa" w:w="90"/>
              <w:right w:type="dxa" w:w="110"/>
            </w:tcMar>
            <w:vAlign w:val="center"/>
          </w:tcPr>
          <w:p>
            <w:pPr>
              <w:spacing w:after="0" w:line="260"/>
            </w:pPr>
            <w:r>
              <w:rPr>
                <w:b w:val="false"/>
                <w:bCs w:val="false"/>
                <w:sz w:val="18"/>
                <w:szCs w:val="18"/>
              </w:rPr>
              <w:t xml:space="preserve">Plagiarism / AI-content detection</w:t>
            </w:r>
          </w:p>
        </w:tc>
        <w:tc>
          <w:tcPr>
            <w:tcW w:type="dxa" w:w="3470"/>
            <w:tcMar>
              <w:top w:type="dxa" w:w="90"/>
              <w:left w:type="dxa" w:w="110"/>
              <w:bottom w:type="dxa" w:w="90"/>
              <w:right w:type="dxa" w:w="110"/>
            </w:tcMar>
            <w:vAlign w:val="center"/>
          </w:tcPr>
          <w:p>
            <w:pPr>
              <w:spacing w:after="0" w:line="260"/>
            </w:pPr>
            <w:r>
              <w:rPr>
                <w:b w:val="false"/>
                <w:bCs w:val="false"/>
                <w:sz w:val="18"/>
                <w:szCs w:val="18"/>
              </w:rPr>
              <w:t xml:space="preserve">Specialist detection service</w:t>
            </w:r>
          </w:p>
        </w:tc>
        <w:tc>
          <w:tcPr>
            <w:tcW w:type="dxa" w:w="3674"/>
            <w:tcMar>
              <w:top w:type="dxa" w:w="90"/>
              <w:left w:type="dxa" w:w="110"/>
              <w:bottom w:type="dxa" w:w="90"/>
              <w:right w:type="dxa" w:w="110"/>
            </w:tcMar>
            <w:vAlign w:val="center"/>
          </w:tcPr>
          <w:p>
            <w:pPr>
              <w:spacing w:after="0" w:line="260"/>
            </w:pPr>
            <w:r>
              <w:rPr>
                <w:b w:val="false"/>
                <w:bCs w:val="false"/>
                <w:sz w:val="18"/>
                <w:szCs w:val="18"/>
              </w:rPr>
              <w:t xml:space="preserve">Applies to both code submissions and written assessments</w:t>
            </w:r>
          </w:p>
        </w:tc>
      </w:tr>
      <w:tr>
        <w:tc>
          <w:tcPr>
            <w:tcW w:type="dxa" w:w="3062"/>
            <w:shd w:fill="EEF2F7" w:val="clear"/>
            <w:tcMar>
              <w:top w:type="dxa" w:w="90"/>
              <w:left w:type="dxa" w:w="110"/>
              <w:bottom w:type="dxa" w:w="90"/>
              <w:right w:type="dxa" w:w="110"/>
            </w:tcMar>
            <w:vAlign w:val="center"/>
          </w:tcPr>
          <w:p>
            <w:pPr>
              <w:spacing w:after="0" w:line="260"/>
            </w:pPr>
            <w:r>
              <w:rPr>
                <w:b w:val="false"/>
                <w:bCs w:val="false"/>
                <w:sz w:val="18"/>
                <w:szCs w:val="18"/>
              </w:rPr>
              <w:t xml:space="preserve">Communications (email/SMS/push)</w:t>
            </w:r>
          </w:p>
        </w:tc>
        <w:tc>
          <w:tcPr>
            <w:tcW w:type="dxa" w:w="3470"/>
            <w:shd w:fill="EEF2F7" w:val="clear"/>
            <w:tcMar>
              <w:top w:type="dxa" w:w="90"/>
              <w:left w:type="dxa" w:w="110"/>
              <w:bottom w:type="dxa" w:w="90"/>
              <w:right w:type="dxa" w:w="110"/>
            </w:tcMar>
            <w:vAlign w:val="center"/>
          </w:tcPr>
          <w:p>
            <w:pPr>
              <w:spacing w:after="0" w:line="260"/>
            </w:pPr>
            <w:r>
              <w:rPr>
                <w:b w:val="false"/>
                <w:bCs w:val="false"/>
                <w:sz w:val="18"/>
                <w:szCs w:val="18"/>
              </w:rPr>
              <w:t xml:space="preserve">Transactional messaging provider(s)</w:t>
            </w:r>
          </w:p>
        </w:tc>
        <w:tc>
          <w:tcPr>
            <w:tcW w:type="dxa" w:w="3674"/>
            <w:shd w:fill="EEF2F7" w:val="clear"/>
            <w:tcMar>
              <w:top w:type="dxa" w:w="90"/>
              <w:left w:type="dxa" w:w="110"/>
              <w:bottom w:type="dxa" w:w="90"/>
              <w:right w:type="dxa" w:w="110"/>
            </w:tcMar>
            <w:vAlign w:val="center"/>
          </w:tcPr>
          <w:p>
            <w:pPr>
              <w:spacing w:after="0" w:line="260"/>
            </w:pPr>
            <w:r>
              <w:rPr>
                <w:b w:val="false"/>
                <w:bCs w:val="false"/>
                <w:sz w:val="18"/>
                <w:szCs w:val="18"/>
              </w:rPr>
              <w:t xml:space="preserve">Also powers WhatsApp-style marketing automation seen on Fermion</w:t>
            </w:r>
          </w:p>
        </w:tc>
      </w:tr>
    </w:tbl>
    <w:p>
      <w:pPr>
        <w:pStyle w:val="Heading2"/>
        <w:spacing w:after="160" w:before="340"/>
      </w:pPr>
      <w:r>
        <w:rPr>
          <w:b/>
          <w:bCs/>
        </w:rPr>
        <w:t xml:space="preserve">9.6 Non-functional requirements</w:t>
      </w:r>
    </w:p>
    <w:p>
      <w:pPr>
        <w:pStyle w:val="ListParagraph"/>
        <w:numPr>
          <w:ilvl w:val="0"/>
          <w:numId w:val="1"/>
        </w:numPr>
        <w:spacing w:after="90" w:line="276"/>
      </w:pPr>
      <w:r>
        <w:rPr>
          <w:b/>
          <w:bCs/>
          <w:i w:val="false"/>
          <w:iCs w:val="false"/>
        </w:rPr>
        <w:t xml:space="preserve">Availability: </w:t>
      </w:r>
      <w:r>
        <w:rPr>
          <w:b w:val="false"/>
          <w:bCs w:val="false"/>
          <w:i w:val="false"/>
          <w:iCs w:val="false"/>
        </w:rPr>
        <w:t xml:space="preserve">live class and live-mentor-session paths need materially higher uptime targets than the self-paced content path — a live outage is unrecoverable in a way a delayed video load is not.</w:t>
      </w:r>
    </w:p>
    <w:p>
      <w:pPr>
        <w:pStyle w:val="ListParagraph"/>
        <w:numPr>
          <w:ilvl w:val="0"/>
          <w:numId w:val="1"/>
        </w:numPr>
        <w:spacing w:after="90" w:line="276"/>
      </w:pPr>
      <w:r>
        <w:rPr>
          <w:b/>
          <w:bCs/>
          <w:i w:val="false"/>
          <w:iCs w:val="false"/>
        </w:rPr>
        <w:t xml:space="preserve">Content protection: </w:t>
      </w:r>
      <w:r>
        <w:rPr>
          <w:b w:val="false"/>
          <w:bCs w:val="false"/>
          <w:i w:val="false"/>
          <w:iCs w:val="false"/>
        </w:rPr>
        <w:t xml:space="preserve">DRM and dynamic watermarking are non-negotiable given how central piracy resistance is to every India-focused vendor researched (Fermion, Graphy, VdoCipher, Euron Systems all lead with this).</w:t>
      </w:r>
    </w:p>
    <w:p>
      <w:pPr>
        <w:pStyle w:val="ListParagraph"/>
        <w:numPr>
          <w:ilvl w:val="0"/>
          <w:numId w:val="1"/>
        </w:numPr>
        <w:spacing w:after="90" w:line="276"/>
      </w:pPr>
      <w:r>
        <w:rPr>
          <w:b/>
          <w:bCs/>
          <w:i w:val="false"/>
          <w:iCs w:val="false"/>
        </w:rPr>
        <w:t xml:space="preserve">Data privacy: </w:t>
      </w:r>
      <w:r>
        <w:rPr>
          <w:b w:val="false"/>
          <w:bCs w:val="false"/>
          <w:i w:val="false"/>
          <w:iCs w:val="false"/>
        </w:rPr>
        <w:t xml:space="preserve">enterprise and university learner data requires contractual and technical handling appropriate to institutional data-protection expectations (India's DPDP Act and, for any international university partner, GDPR-class obligations) — a real gating factor in winning institutional contracts.</w:t>
      </w:r>
    </w:p>
    <w:p>
      <w:pPr>
        <w:pStyle w:val="ListParagraph"/>
        <w:numPr>
          <w:ilvl w:val="0"/>
          <w:numId w:val="1"/>
        </w:numPr>
        <w:spacing w:after="90" w:line="276"/>
      </w:pPr>
      <w:r>
        <w:rPr>
          <w:b/>
          <w:bCs/>
          <w:i w:val="false"/>
          <w:iCs w:val="false"/>
        </w:rPr>
        <w:t xml:space="preserve">Integrity of mentor-review data: </w:t>
      </w:r>
      <w:r>
        <w:rPr>
          <w:b w:val="false"/>
          <w:bCs w:val="false"/>
          <w:i w:val="false"/>
          <w:iCs w:val="false"/>
        </w:rPr>
        <w:t xml:space="preserve">reviews, rubrics, and defense records are effectively the platform's credibility asset and should be treated with the durability and auditability of a compliance record, not disposable application data.</w:t>
      </w:r>
    </w:p>
    <w:p>
      <w:pPr>
        <w:pStyle w:val="ListParagraph"/>
        <w:numPr>
          <w:ilvl w:val="0"/>
          <w:numId w:val="1"/>
        </w:numPr>
        <w:spacing w:after="90" w:line="276"/>
      </w:pPr>
      <w:r>
        <w:rPr>
          <w:b/>
          <w:bCs/>
          <w:i w:val="false"/>
          <w:iCs w:val="false"/>
        </w:rPr>
        <w:t xml:space="preserve">Accessibility: </w:t>
      </w:r>
      <w:r>
        <w:rPr>
          <w:b w:val="false"/>
          <w:bCs w:val="false"/>
          <w:i w:val="false"/>
          <w:iCs w:val="false"/>
        </w:rPr>
        <w:t xml:space="preserve">captioning and screen-reader-compatible surfaces, both as good practice and as a frequent institutional procurement requirement.</w:t>
      </w:r>
    </w:p>
    <w:p>
      <w:pPr>
        <w:pStyle w:val="ListParagraph"/>
        <w:numPr>
          <w:ilvl w:val="0"/>
          <w:numId w:val="1"/>
        </w:numPr>
        <w:spacing w:after="90" w:line="276"/>
      </w:pPr>
      <w:r>
        <w:rPr>
          <w:b/>
          <w:bCs/>
          <w:i w:val="false"/>
          <w:iCs w:val="false"/>
        </w:rPr>
        <w:t xml:space="preserve">Scalability of live concurrency: </w:t>
      </w:r>
      <w:r>
        <w:rPr>
          <w:b w:val="false"/>
          <w:bCs w:val="false"/>
          <w:i w:val="false"/>
          <w:iCs w:val="false"/>
        </w:rPr>
        <w:t xml:space="preserve">cohort-based live classes and mentor sessions create bursty, scheduled concurrency spikes that are a different scaling problem from steady-state video-on-demand traffic.</w:t>
      </w:r>
    </w:p>
    <w:p>
      <w:pPr>
        <w:pStyle w:val="Heading1"/>
        <w:pageBreakBefore/>
        <w:spacing w:after="220" w:before="200"/>
      </w:pPr>
      <w:r>
        <w:rPr>
          <w:b/>
          <w:bCs/>
        </w:rPr>
        <w:t xml:space="preserve">10. Open Questions — Explicit Recommendations</w:t>
      </w:r>
    </w:p>
    <w:p>
      <w:pPr>
        <w:spacing w:after="200" w:line="288"/>
        <w:jc w:val="left"/>
      </w:pPr>
      <w:r>
        <w:t xml:space="preserve">Every open question raised during scoping, answered directly in one place for easy reference.</w:t>
      </w:r>
    </w:p>
    <w:tbl>
      <w:tblPr>
        <w:tblW w:type="dxa" w:w="10206"/>
        <w:tblBorders>
          <w:top w:val="single" w:color="C9D1DE" w:sz="4"/>
          <w:left w:val="single" w:color="C9D1DE" w:sz="4"/>
          <w:bottom w:val="single" w:color="C9D1DE" w:sz="4"/>
          <w:right w:val="single" w:color="C9D1DE" w:sz="4"/>
          <w:insideH w:val="single" w:color="C9D1DE" w:sz="4"/>
          <w:insideV w:val="single" w:color="C9D1DE" w:sz="4"/>
        </w:tblBorders>
      </w:tblPr>
      <w:tblGrid>
        <w:gridCol w:w="4082"/>
        <w:gridCol w:w="6124"/>
      </w:tblGrid>
      <w:tr>
        <w:trPr>
          <w:tblHeader/>
        </w:trPr>
        <w:tc>
          <w:tcPr>
            <w:tcW w:type="dxa" w:w="4082"/>
            <w:shd w:fill="1B2A4A" w:val="clear"/>
            <w:tcMar>
              <w:top w:type="dxa" w:w="100"/>
              <w:left w:type="dxa" w:w="110"/>
              <w:bottom w:type="dxa" w:w="100"/>
              <w:right w:type="dxa" w:w="110"/>
            </w:tcMar>
            <w:vAlign w:val="center"/>
          </w:tcPr>
          <w:p>
            <w:pPr>
              <w:spacing w:after="0"/>
            </w:pPr>
            <w:r>
              <w:rPr>
                <w:b/>
                <w:bCs/>
                <w:color w:val="FFFFFF"/>
                <w:sz w:val="18"/>
                <w:szCs w:val="18"/>
              </w:rPr>
              <w:t xml:space="preserve">Question</w:t>
            </w:r>
          </w:p>
        </w:tc>
        <w:tc>
          <w:tcPr>
            <w:tcW w:type="dxa" w:w="6124"/>
            <w:shd w:fill="1B2A4A" w:val="clear"/>
            <w:tcMar>
              <w:top w:type="dxa" w:w="100"/>
              <w:left w:type="dxa" w:w="110"/>
              <w:bottom w:type="dxa" w:w="100"/>
              <w:right w:type="dxa" w:w="110"/>
            </w:tcMar>
            <w:vAlign w:val="center"/>
          </w:tcPr>
          <w:p>
            <w:pPr>
              <w:spacing w:after="0"/>
            </w:pPr>
            <w:r>
              <w:rPr>
                <w:b/>
                <w:bCs/>
                <w:color w:val="FFFFFF"/>
                <w:sz w:val="18"/>
                <w:szCs w:val="18"/>
              </w:rPr>
              <w:t xml:space="preserve">Recommendation</w:t>
            </w:r>
          </w:p>
        </w:tc>
      </w:tr>
      <w:tr>
        <w:tc>
          <w:tcPr>
            <w:tcW w:type="dxa" w:w="4082"/>
            <w:tcMar>
              <w:top w:type="dxa" w:w="90"/>
              <w:left w:type="dxa" w:w="110"/>
              <w:bottom w:type="dxa" w:w="90"/>
              <w:right w:type="dxa" w:w="110"/>
            </w:tcMar>
            <w:vAlign w:val="center"/>
          </w:tcPr>
          <w:p>
            <w:pPr>
              <w:spacing w:after="0" w:line="260"/>
            </w:pPr>
            <w:r>
              <w:rPr>
                <w:b w:val="false"/>
                <w:bCs w:val="false"/>
                <w:sz w:val="18"/>
                <w:szCs w:val="18"/>
              </w:rPr>
              <w:t xml:space="preserve">Text-only, mentor-guided, or both for projects?</w:t>
            </w:r>
          </w:p>
        </w:tc>
        <w:tc>
          <w:tcPr>
            <w:tcW w:type="dxa" w:w="6124"/>
            <w:tcMar>
              <w:top w:type="dxa" w:w="90"/>
              <w:left w:type="dxa" w:w="110"/>
              <w:bottom w:type="dxa" w:w="90"/>
              <w:right w:type="dxa" w:w="110"/>
            </w:tcMar>
            <w:vAlign w:val="center"/>
          </w:tcPr>
          <w:p>
            <w:pPr>
              <w:spacing w:after="0" w:line="260"/>
            </w:pPr>
            <w:r>
              <w:rPr>
                <w:b w:val="false"/>
                <w:bCs w:val="false"/>
                <w:sz w:val="18"/>
                <w:szCs w:val="18"/>
              </w:rPr>
              <w:t xml:space="preserve">Both, as three separate SKUs (Sprint / Capstone / Flagship) segmented by review depth — see Section 6.2.</w:t>
            </w:r>
          </w:p>
        </w:tc>
      </w:tr>
      <w:tr>
        <w:tc>
          <w:tcPr>
            <w:tcW w:type="dxa" w:w="4082"/>
            <w:shd w:fill="EEF2F7" w:val="clear"/>
            <w:tcMar>
              <w:top w:type="dxa" w:w="90"/>
              <w:left w:type="dxa" w:w="110"/>
              <w:bottom w:type="dxa" w:w="90"/>
              <w:right w:type="dxa" w:w="110"/>
            </w:tcMar>
            <w:vAlign w:val="center"/>
          </w:tcPr>
          <w:p>
            <w:pPr>
              <w:spacing w:after="0" w:line="260"/>
            </w:pPr>
            <w:r>
              <w:rPr>
                <w:b w:val="false"/>
                <w:bCs w:val="false"/>
                <w:sz w:val="18"/>
                <w:szCs w:val="18"/>
              </w:rPr>
              <w:t xml:space="preserve">Should enterprise get courses, projects, or both?</w:t>
            </w:r>
          </w:p>
        </w:tc>
        <w:tc>
          <w:tcPr>
            <w:tcW w:type="dxa" w:w="6124"/>
            <w:shd w:fill="EEF2F7" w:val="clear"/>
            <w:tcMar>
              <w:top w:type="dxa" w:w="90"/>
              <w:left w:type="dxa" w:w="110"/>
              <w:bottom w:type="dxa" w:w="90"/>
              <w:right w:type="dxa" w:w="110"/>
            </w:tcMar>
            <w:vAlign w:val="center"/>
          </w:tcPr>
          <w:p>
            <w:pPr>
              <w:spacing w:after="0" w:line="260"/>
            </w:pPr>
            <w:r>
              <w:rPr>
                <w:b w:val="false"/>
                <w:bCs w:val="false"/>
                <w:sz w:val="18"/>
                <w:szCs w:val="18"/>
              </w:rPr>
              <w:t xml:space="preserve">Both, packaged as a configurable “Program” — see Section 6.4.</w:t>
            </w:r>
          </w:p>
        </w:tc>
      </w:tr>
      <w:tr>
        <w:tc>
          <w:tcPr>
            <w:tcW w:type="dxa" w:w="4082"/>
            <w:tcMar>
              <w:top w:type="dxa" w:w="90"/>
              <w:left w:type="dxa" w:w="110"/>
              <w:bottom w:type="dxa" w:w="90"/>
              <w:right w:type="dxa" w:w="110"/>
            </w:tcMar>
            <w:vAlign w:val="center"/>
          </w:tcPr>
          <w:p>
            <w:pPr>
              <w:spacing w:after="0" w:line="260"/>
            </w:pPr>
            <w:r>
              <w:rPr>
                <w:b w:val="false"/>
                <w:bCs w:val="false"/>
                <w:sz w:val="18"/>
                <w:szCs w:val="18"/>
              </w:rPr>
              <w:t xml:space="preserve">How dependent should we be on Fermion?</w:t>
            </w:r>
          </w:p>
        </w:tc>
        <w:tc>
          <w:tcPr>
            <w:tcW w:type="dxa" w:w="6124"/>
            <w:tcMar>
              <w:top w:type="dxa" w:w="90"/>
              <w:left w:type="dxa" w:w="110"/>
              <w:bottom w:type="dxa" w:w="90"/>
              <w:right w:type="dxa" w:w="110"/>
            </w:tcMar>
            <w:vAlign w:val="center"/>
          </w:tcPr>
          <w:p>
            <w:pPr>
              <w:spacing w:after="0" w:line="260"/>
            </w:pPr>
            <w:r>
              <w:rPr>
                <w:b w:val="false"/>
                <w:bCs w:val="false"/>
                <w:sz w:val="18"/>
                <w:szCs w:val="18"/>
              </w:rPr>
              <w:t xml:space="preserve">Pilot on it (or bake off against Euron Systems) for commodity infra only; build the mentor/commerce/enterprise layers in-house from day one — see Section 4.</w:t>
            </w:r>
          </w:p>
        </w:tc>
      </w:tr>
      <w:tr>
        <w:tc>
          <w:tcPr>
            <w:tcW w:type="dxa" w:w="4082"/>
            <w:shd w:fill="EEF2F7" w:val="clear"/>
            <w:tcMar>
              <w:top w:type="dxa" w:w="90"/>
              <w:left w:type="dxa" w:w="110"/>
              <w:bottom w:type="dxa" w:w="90"/>
              <w:right w:type="dxa" w:w="110"/>
            </w:tcMar>
            <w:vAlign w:val="center"/>
          </w:tcPr>
          <w:p>
            <w:pPr>
              <w:spacing w:after="0" w:line="260"/>
            </w:pPr>
            <w:r>
              <w:rPr>
                <w:b w:val="false"/>
                <w:bCs w:val="false"/>
                <w:sz w:val="18"/>
                <w:szCs w:val="18"/>
              </w:rPr>
              <w:t xml:space="preserve">What should the pricing tiers be called?</w:t>
            </w:r>
          </w:p>
        </w:tc>
        <w:tc>
          <w:tcPr>
            <w:tcW w:type="dxa" w:w="6124"/>
            <w:shd w:fill="EEF2F7" w:val="clear"/>
            <w:tcMar>
              <w:top w:type="dxa" w:w="90"/>
              <w:left w:type="dxa" w:w="110"/>
              <w:bottom w:type="dxa" w:w="90"/>
              <w:right w:type="dxa" w:w="110"/>
            </w:tcMar>
            <w:vAlign w:val="center"/>
          </w:tcPr>
          <w:p>
            <w:pPr>
              <w:spacing w:after="0" w:line="260"/>
            </w:pPr>
            <w:r>
              <w:rPr>
                <w:b w:val="false"/>
                <w:bCs w:val="false"/>
                <w:sz w:val="18"/>
                <w:szCs w:val="18"/>
              </w:rPr>
              <w:t xml:space="preserve">Value-descriptive naming (Free / Learn / Mentor / Career / Enterprise) over generic Basic/Pro/Premium/Premium Plus — see Section 8.2.</w:t>
            </w:r>
          </w:p>
        </w:tc>
      </w:tr>
      <w:tr>
        <w:tc>
          <w:tcPr>
            <w:tcW w:type="dxa" w:w="4082"/>
            <w:tcMar>
              <w:top w:type="dxa" w:w="90"/>
              <w:left w:type="dxa" w:w="110"/>
              <w:bottom w:type="dxa" w:w="90"/>
              <w:right w:type="dxa" w:w="110"/>
            </w:tcMar>
            <w:vAlign w:val="center"/>
          </w:tcPr>
          <w:p>
            <w:pPr>
              <w:spacing w:after="0" w:line="260"/>
            </w:pPr>
            <w:r>
              <w:rPr>
                <w:b w:val="false"/>
                <w:bCs w:val="false"/>
                <w:sz w:val="18"/>
                <w:szCs w:val="18"/>
              </w:rPr>
              <w:t xml:space="preserve">Are self-paced and live separate products?</w:t>
            </w:r>
          </w:p>
        </w:tc>
        <w:tc>
          <w:tcPr>
            <w:tcW w:type="dxa" w:w="6124"/>
            <w:tcMar>
              <w:top w:type="dxa" w:w="90"/>
              <w:left w:type="dxa" w:w="110"/>
              <w:bottom w:type="dxa" w:w="90"/>
              <w:right w:type="dxa" w:w="110"/>
            </w:tcMar>
            <w:vAlign w:val="center"/>
          </w:tcPr>
          <w:p>
            <w:pPr>
              <w:spacing w:after="0" w:line="260"/>
            </w:pPr>
            <w:r>
              <w:rPr>
                <w:b w:val="false"/>
                <w:bCs w:val="false"/>
                <w:sz w:val="18"/>
                <w:szCs w:val="18"/>
              </w:rPr>
              <w:t xml:space="preserve">No — one course entity with a delivery-mode toggle, to avoid duplicated content and preserve pricing flexibility — see Section 6.1.</w:t>
            </w:r>
          </w:p>
        </w:tc>
      </w:tr>
      <w:tr>
        <w:tc>
          <w:tcPr>
            <w:tcW w:type="dxa" w:w="4082"/>
            <w:shd w:fill="EEF2F7" w:val="clear"/>
            <w:tcMar>
              <w:top w:type="dxa" w:w="90"/>
              <w:left w:type="dxa" w:w="110"/>
              <w:bottom w:type="dxa" w:w="90"/>
              <w:right w:type="dxa" w:w="110"/>
            </w:tcMar>
            <w:vAlign w:val="center"/>
          </w:tcPr>
          <w:p>
            <w:pPr>
              <w:spacing w:after="0" w:line="260"/>
            </w:pPr>
            <w:r>
              <w:rPr>
                <w:b w:val="false"/>
                <w:bCs w:val="false"/>
                <w:sz w:val="18"/>
                <w:szCs w:val="18"/>
              </w:rPr>
              <w:t xml:space="preserve">Should courses and projects ever be forced into a bundle?</w:t>
            </w:r>
          </w:p>
        </w:tc>
        <w:tc>
          <w:tcPr>
            <w:tcW w:type="dxa" w:w="6124"/>
            <w:shd w:fill="EEF2F7" w:val="clear"/>
            <w:tcMar>
              <w:top w:type="dxa" w:w="90"/>
              <w:left w:type="dxa" w:w="110"/>
              <w:bottom w:type="dxa" w:w="90"/>
              <w:right w:type="dxa" w:w="110"/>
            </w:tcMar>
            <w:vAlign w:val="center"/>
          </w:tcPr>
          <w:p>
            <w:pPr>
              <w:spacing w:after="0" w:line="260"/>
            </w:pPr>
            <w:r>
              <w:rPr>
                <w:b w:val="false"/>
                <w:bCs w:val="false"/>
                <w:sz w:val="18"/>
                <w:szCs w:val="18"/>
              </w:rPr>
              <w:t xml:space="preserve">No — independent, cart-based purchasing throughout, with soft (never forced) bundle upsells — see Section 6.5.</w:t>
            </w:r>
          </w:p>
        </w:tc>
      </w:tr>
    </w:tbl>
    <w:p>
      <w:pPr>
        <w:pStyle w:val="Heading1"/>
        <w:pageBreakBefore/>
        <w:spacing w:after="220" w:before="200"/>
      </w:pPr>
      <w:r>
        <w:rPr>
          <w:b/>
          <w:bCs/>
        </w:rPr>
        <w:t xml:space="preserve">11. Success Metrics</w:t>
      </w:r>
    </w:p>
    <w:tbl>
      <w:tblPr>
        <w:tblW w:type="dxa" w:w="10206"/>
        <w:tblBorders>
          <w:top w:val="single" w:color="C9D1DE" w:sz="4"/>
          <w:left w:val="single" w:color="C9D1DE" w:sz="4"/>
          <w:bottom w:val="single" w:color="C9D1DE" w:sz="4"/>
          <w:right w:val="single" w:color="C9D1DE" w:sz="4"/>
          <w:insideH w:val="single" w:color="C9D1DE" w:sz="4"/>
          <w:insideV w:val="single" w:color="C9D1DE" w:sz="4"/>
        </w:tblBorders>
      </w:tblPr>
      <w:tblGrid>
        <w:gridCol w:w="2449"/>
        <w:gridCol w:w="7757"/>
      </w:tblGrid>
      <w:tr>
        <w:trPr>
          <w:tblHeader/>
        </w:trPr>
        <w:tc>
          <w:tcPr>
            <w:tcW w:type="dxa" w:w="2449"/>
            <w:shd w:fill="1B2A4A" w:val="clear"/>
            <w:tcMar>
              <w:top w:type="dxa" w:w="100"/>
              <w:left w:type="dxa" w:w="110"/>
              <w:bottom w:type="dxa" w:w="100"/>
              <w:right w:type="dxa" w:w="110"/>
            </w:tcMar>
            <w:vAlign w:val="center"/>
          </w:tcPr>
          <w:p>
            <w:pPr>
              <w:spacing w:after="0"/>
            </w:pPr>
            <w:r>
              <w:rPr>
                <w:b/>
                <w:bCs/>
                <w:color w:val="FFFFFF"/>
                <w:sz w:val="18"/>
                <w:szCs w:val="18"/>
              </w:rPr>
              <w:t xml:space="preserve">Stakeholder</w:t>
            </w:r>
          </w:p>
        </w:tc>
        <w:tc>
          <w:tcPr>
            <w:tcW w:type="dxa" w:w="7757"/>
            <w:shd w:fill="1B2A4A" w:val="clear"/>
            <w:tcMar>
              <w:top w:type="dxa" w:w="100"/>
              <w:left w:type="dxa" w:w="110"/>
              <w:bottom w:type="dxa" w:w="100"/>
              <w:right w:type="dxa" w:w="110"/>
            </w:tcMar>
            <w:vAlign w:val="center"/>
          </w:tcPr>
          <w:p>
            <w:pPr>
              <w:spacing w:after="0"/>
            </w:pPr>
            <w:r>
              <w:rPr>
                <w:b/>
                <w:bCs/>
                <w:color w:val="FFFFFF"/>
                <w:sz w:val="18"/>
                <w:szCs w:val="18"/>
              </w:rPr>
              <w:t xml:space="preserve">Key metrics</w:t>
            </w:r>
          </w:p>
        </w:tc>
      </w:tr>
      <w:tr>
        <w:tc>
          <w:tcPr>
            <w:tcW w:type="dxa" w:w="2449"/>
            <w:tcMar>
              <w:top w:type="dxa" w:w="90"/>
              <w:left w:type="dxa" w:w="110"/>
              <w:bottom w:type="dxa" w:w="90"/>
              <w:right w:type="dxa" w:w="110"/>
            </w:tcMar>
            <w:vAlign w:val="center"/>
          </w:tcPr>
          <w:p>
            <w:pPr>
              <w:spacing w:after="0" w:line="260"/>
            </w:pPr>
            <w:r>
              <w:rPr>
                <w:b w:val="false"/>
                <w:bCs w:val="false"/>
                <w:sz w:val="18"/>
                <w:szCs w:val="18"/>
              </w:rPr>
              <w:t xml:space="preserve">Learner</w:t>
            </w:r>
          </w:p>
        </w:tc>
        <w:tc>
          <w:tcPr>
            <w:tcW w:type="dxa" w:w="7757"/>
            <w:tcMar>
              <w:top w:type="dxa" w:w="90"/>
              <w:left w:type="dxa" w:w="110"/>
              <w:bottom w:type="dxa" w:w="90"/>
              <w:right w:type="dxa" w:w="110"/>
            </w:tcMar>
            <w:vAlign w:val="center"/>
          </w:tcPr>
          <w:p>
            <w:pPr>
              <w:spacing w:after="0" w:line="260"/>
            </w:pPr>
            <w:r>
              <w:rPr>
                <w:b w:val="false"/>
                <w:bCs w:val="false"/>
                <w:sz w:val="18"/>
                <w:szCs w:val="18"/>
              </w:rPr>
              <w:t xml:space="preserve">Course/project completion rate, project pass rate on first submission, NPS, time-to-hire for Career-tier learners</w:t>
            </w:r>
          </w:p>
        </w:tc>
      </w:tr>
      <w:tr>
        <w:tc>
          <w:tcPr>
            <w:tcW w:type="dxa" w:w="2449"/>
            <w:shd w:fill="EEF2F7" w:val="clear"/>
            <w:tcMar>
              <w:top w:type="dxa" w:w="90"/>
              <w:left w:type="dxa" w:w="110"/>
              <w:bottom w:type="dxa" w:w="90"/>
              <w:right w:type="dxa" w:w="110"/>
            </w:tcMar>
            <w:vAlign w:val="center"/>
          </w:tcPr>
          <w:p>
            <w:pPr>
              <w:spacing w:after="0" w:line="260"/>
            </w:pPr>
            <w:r>
              <w:rPr>
                <w:b w:val="false"/>
                <w:bCs w:val="false"/>
                <w:sz w:val="18"/>
                <w:szCs w:val="18"/>
              </w:rPr>
              <w:t xml:space="preserve">Creator</w:t>
            </w:r>
          </w:p>
        </w:tc>
        <w:tc>
          <w:tcPr>
            <w:tcW w:type="dxa" w:w="7757"/>
            <w:shd w:fill="EEF2F7" w:val="clear"/>
            <w:tcMar>
              <w:top w:type="dxa" w:w="90"/>
              <w:left w:type="dxa" w:w="110"/>
              <w:bottom w:type="dxa" w:w="90"/>
              <w:right w:type="dxa" w:w="110"/>
            </w:tcMar>
            <w:vAlign w:val="center"/>
          </w:tcPr>
          <w:p>
            <w:pPr>
              <w:spacing w:after="0" w:line="260"/>
            </w:pPr>
            <w:r>
              <w:rPr>
                <w:b w:val="false"/>
                <w:bCs w:val="false"/>
                <w:sz w:val="18"/>
                <w:szCs w:val="18"/>
              </w:rPr>
              <w:t xml:space="preserve">Creator GMV, time-to-first-sale, creator retention, storefront conversion rate</w:t>
            </w:r>
          </w:p>
        </w:tc>
      </w:tr>
      <w:tr>
        <w:tc>
          <w:tcPr>
            <w:tcW w:type="dxa" w:w="2449"/>
            <w:tcMar>
              <w:top w:type="dxa" w:w="90"/>
              <w:left w:type="dxa" w:w="110"/>
              <w:bottom w:type="dxa" w:w="90"/>
              <w:right w:type="dxa" w:w="110"/>
            </w:tcMar>
            <w:vAlign w:val="center"/>
          </w:tcPr>
          <w:p>
            <w:pPr>
              <w:spacing w:after="0" w:line="260"/>
            </w:pPr>
            <w:r>
              <w:rPr>
                <w:b w:val="false"/>
                <w:bCs w:val="false"/>
                <w:sz w:val="18"/>
                <w:szCs w:val="18"/>
              </w:rPr>
              <w:t xml:space="preserve">Mentor</w:t>
            </w:r>
          </w:p>
        </w:tc>
        <w:tc>
          <w:tcPr>
            <w:tcW w:type="dxa" w:w="7757"/>
            <w:tcMar>
              <w:top w:type="dxa" w:w="90"/>
              <w:left w:type="dxa" w:w="110"/>
              <w:bottom w:type="dxa" w:w="90"/>
              <w:right w:type="dxa" w:w="110"/>
            </w:tcMar>
            <w:vAlign w:val="center"/>
          </w:tcPr>
          <w:p>
            <w:pPr>
              <w:spacing w:after="0" w:line="260"/>
            </w:pPr>
            <w:r>
              <w:rPr>
                <w:b w:val="false"/>
                <w:bCs w:val="false"/>
                <w:sz w:val="18"/>
                <w:szCs w:val="18"/>
              </w:rPr>
              <w:t xml:space="preserve">Utilization (hours booked vs. available), satisfaction score, review turnaround time, throughput per mentor</w:t>
            </w:r>
          </w:p>
        </w:tc>
      </w:tr>
      <w:tr>
        <w:tc>
          <w:tcPr>
            <w:tcW w:type="dxa" w:w="2449"/>
            <w:shd w:fill="EEF2F7" w:val="clear"/>
            <w:tcMar>
              <w:top w:type="dxa" w:w="90"/>
              <w:left w:type="dxa" w:w="110"/>
              <w:bottom w:type="dxa" w:w="90"/>
              <w:right w:type="dxa" w:w="110"/>
            </w:tcMar>
            <w:vAlign w:val="center"/>
          </w:tcPr>
          <w:p>
            <w:pPr>
              <w:spacing w:after="0" w:line="260"/>
            </w:pPr>
            <w:r>
              <w:rPr>
                <w:b w:val="false"/>
                <w:bCs w:val="false"/>
                <w:sz w:val="18"/>
                <w:szCs w:val="18"/>
              </w:rPr>
              <w:t xml:space="preserve">Enterprise / university</w:t>
            </w:r>
          </w:p>
        </w:tc>
        <w:tc>
          <w:tcPr>
            <w:tcW w:type="dxa" w:w="7757"/>
            <w:shd w:fill="EEF2F7" w:val="clear"/>
            <w:tcMar>
              <w:top w:type="dxa" w:w="90"/>
              <w:left w:type="dxa" w:w="110"/>
              <w:bottom w:type="dxa" w:w="90"/>
              <w:right w:type="dxa" w:w="110"/>
            </w:tcMar>
            <w:vAlign w:val="center"/>
          </w:tcPr>
          <w:p>
            <w:pPr>
              <w:spacing w:after="0" w:line="260"/>
            </w:pPr>
            <w:r>
              <w:rPr>
                <w:b w:val="false"/>
                <w:bCs w:val="false"/>
                <w:sz w:val="18"/>
                <w:szCs w:val="18"/>
              </w:rPr>
              <w:t xml:space="preserve">Logo count, net revenue retention / renewal rate, seats activated vs. licensed, program completion rate</w:t>
            </w:r>
          </w:p>
        </w:tc>
      </w:tr>
      <w:tr>
        <w:tc>
          <w:tcPr>
            <w:tcW w:type="dxa" w:w="2449"/>
            <w:tcMar>
              <w:top w:type="dxa" w:w="90"/>
              <w:left w:type="dxa" w:w="110"/>
              <w:bottom w:type="dxa" w:w="90"/>
              <w:right w:type="dxa" w:w="110"/>
            </w:tcMar>
            <w:vAlign w:val="center"/>
          </w:tcPr>
          <w:p>
            <w:pPr>
              <w:spacing w:after="0" w:line="260"/>
            </w:pPr>
            <w:r>
              <w:rPr>
                <w:b w:val="false"/>
                <w:bCs w:val="false"/>
                <w:sz w:val="18"/>
                <w:szCs w:val="18"/>
              </w:rPr>
              <w:t xml:space="preserve">Platform</w:t>
            </w:r>
          </w:p>
        </w:tc>
        <w:tc>
          <w:tcPr>
            <w:tcW w:type="dxa" w:w="7757"/>
            <w:tcMar>
              <w:top w:type="dxa" w:w="90"/>
              <w:left w:type="dxa" w:w="110"/>
              <w:bottom w:type="dxa" w:w="90"/>
              <w:right w:type="dxa" w:w="110"/>
            </w:tcMar>
            <w:vAlign w:val="center"/>
          </w:tcPr>
          <w:p>
            <w:pPr>
              <w:spacing w:after="0" w:line="260"/>
            </w:pPr>
            <w:r>
              <w:rPr>
                <w:b w:val="false"/>
                <w:bCs w:val="false"/>
                <w:sz w:val="18"/>
                <w:szCs w:val="18"/>
              </w:rPr>
              <w:t xml:space="preserve">MRR/ARR, blended take rate across subscription/à la carte/enterprise, CAC:LTV, mentor-supply-to-demand ratio</w:t>
            </w:r>
          </w:p>
        </w:tc>
      </w:tr>
    </w:tbl>
    <w:p>
      <w:pPr>
        <w:pStyle w:val="Heading1"/>
        <w:pageBreakBefore/>
        <w:spacing w:after="220" w:before="200"/>
      </w:pPr>
      <w:r>
        <w:rPr>
          <w:b/>
          <w:bCs/>
        </w:rPr>
        <w:t xml:space="preserve">12. Key Risks</w:t>
      </w:r>
    </w:p>
    <w:p>
      <w:pPr>
        <w:pStyle w:val="ListParagraph"/>
        <w:numPr>
          <w:ilvl w:val="0"/>
          <w:numId w:val="1"/>
        </w:numPr>
        <w:spacing w:after="90" w:line="276"/>
      </w:pPr>
      <w:r>
        <w:rPr>
          <w:b/>
          <w:bCs/>
          <w:i w:val="false"/>
          <w:iCs w:val="false"/>
        </w:rPr>
        <w:t xml:space="preserve">Infrastructure vendor dependency — </w:t>
      </w:r>
      <w:r>
        <w:rPr>
          <w:b w:val="false"/>
          <w:bCs w:val="false"/>
          <w:i w:val="false"/>
          <w:iCs w:val="false"/>
        </w:rPr>
        <w:t xml:space="preserve">mitigated by the build-vs-buy boundary in Section 4, but real until that boundary is actually enforced in the codebase.</w:t>
      </w:r>
    </w:p>
    <w:p>
      <w:pPr>
        <w:pStyle w:val="ListParagraph"/>
        <w:numPr>
          <w:ilvl w:val="0"/>
          <w:numId w:val="1"/>
        </w:numPr>
        <w:spacing w:after="90" w:line="276"/>
      </w:pPr>
      <w:r>
        <w:rPr>
          <w:b/>
          <w:bCs/>
          <w:i w:val="false"/>
          <w:iCs w:val="false"/>
        </w:rPr>
        <w:t xml:space="preserve">Content quality control at marketplace scale — </w:t>
      </w:r>
      <w:r>
        <w:rPr>
          <w:b w:val="false"/>
          <w:bCs w:val="false"/>
          <w:i w:val="false"/>
          <w:iCs w:val="false"/>
        </w:rPr>
        <w:t xml:space="preserve">multi-creator marketplaces (Udemy's own review process being a public example) struggle to keep quality consistent as the creator base grows; needs an editorial/vetting bar from day one, not retrofitted later.</w:t>
      </w:r>
    </w:p>
    <w:p>
      <w:pPr>
        <w:pStyle w:val="ListParagraph"/>
        <w:numPr>
          <w:ilvl w:val="0"/>
          <w:numId w:val="1"/>
        </w:numPr>
        <w:spacing w:after="90" w:line="276"/>
      </w:pPr>
      <w:r>
        <w:rPr>
          <w:b/>
          <w:bCs/>
          <w:i w:val="false"/>
          <w:iCs w:val="false"/>
        </w:rPr>
        <w:t xml:space="preserve">Mentor supply and quality bottleneck — </w:t>
      </w:r>
      <w:r>
        <w:rPr>
          <w:b w:val="false"/>
          <w:bCs w:val="false"/>
          <w:i w:val="false"/>
          <w:iCs w:val="false"/>
        </w:rPr>
        <w:t xml:space="preserve">the entire Capstone/Flagship tier is gated on mentor availability; the tiered mentor system and AI first-pass review in Section 7.2/8.5 exist specifically to manage this.</w:t>
      </w:r>
    </w:p>
    <w:p>
      <w:pPr>
        <w:pStyle w:val="ListParagraph"/>
        <w:numPr>
          <w:ilvl w:val="0"/>
          <w:numId w:val="1"/>
        </w:numPr>
        <w:spacing w:after="90" w:line="276"/>
      </w:pPr>
      <w:r>
        <w:rPr>
          <w:b/>
          <w:bCs/>
          <w:i w:val="false"/>
          <w:iCs w:val="false"/>
        </w:rPr>
        <w:t xml:space="preserve">Video and content piracy — </w:t>
      </w:r>
      <w:r>
        <w:rPr>
          <w:b w:val="false"/>
          <w:bCs w:val="false"/>
          <w:i w:val="false"/>
          <w:iCs w:val="false"/>
        </w:rPr>
        <w:t xml:space="preserve">an industry-wide problem for Indian ed-tech specifically; addressed via native DRM/watermarking, not treated as optional.</w:t>
      </w:r>
    </w:p>
    <w:p>
      <w:pPr>
        <w:pStyle w:val="ListParagraph"/>
        <w:numPr>
          <w:ilvl w:val="0"/>
          <w:numId w:val="1"/>
        </w:numPr>
        <w:spacing w:after="90" w:line="276"/>
      </w:pPr>
      <w:r>
        <w:rPr>
          <w:b/>
          <w:bCs/>
          <w:i w:val="false"/>
          <w:iCs w:val="false"/>
        </w:rPr>
        <w:t xml:space="preserve">AI-shortcut integrity risk on projects — </w:t>
      </w:r>
      <w:r>
        <w:rPr>
          <w:b w:val="false"/>
          <w:bCs w:val="false"/>
          <w:i w:val="false"/>
          <w:iCs w:val="false"/>
        </w:rPr>
        <w:t xml:space="preserve">the core threat to the “verified proof of skill” value proposition; addressed via held-out evaluation and mandatory live defense in Section 6.2.</w:t>
      </w:r>
    </w:p>
    <w:p>
      <w:pPr>
        <w:pStyle w:val="ListParagraph"/>
        <w:numPr>
          <w:ilvl w:val="0"/>
          <w:numId w:val="1"/>
        </w:numPr>
        <w:spacing w:after="90" w:line="276"/>
      </w:pPr>
      <w:r>
        <w:rPr>
          <w:b/>
          <w:bCs/>
          <w:i w:val="false"/>
          <w:iCs w:val="false"/>
        </w:rPr>
        <w:t xml:space="preserve">Two-sided marketplace cold start — </w:t>
      </w:r>
      <w:r>
        <w:rPr>
          <w:b w:val="false"/>
          <w:bCs w:val="false"/>
          <w:i w:val="false"/>
          <w:iCs w:val="false"/>
        </w:rPr>
        <w:t xml:space="preserve">needs creators to attract learners and learners to attract creators simultaneously; mitigated by anchoring early growth on enterprise/university contracts (which bring a captive cohort) alongside a small, hand-picked set of seed creators, rather than relying on organic two-sided growth alone.</w:t>
      </w:r>
    </w:p>
    <w:p>
      <w:pPr>
        <w:pStyle w:val="Heading1"/>
        <w:pageBreakBefore/>
        <w:spacing w:after="220" w:before="200"/>
      </w:pPr>
      <w:r>
        <w:rPr>
          <w:b/>
          <w:bCs/>
        </w:rPr>
        <w:t xml:space="preserve">13. Phased Roadmap</w:t>
      </w:r>
    </w:p>
    <w:tbl>
      <w:tblPr>
        <w:tblW w:type="dxa" w:w="10206"/>
        <w:tblBorders>
          <w:top w:val="single" w:color="C9D1DE" w:sz="4"/>
          <w:left w:val="single" w:color="C9D1DE" w:sz="4"/>
          <w:bottom w:val="single" w:color="C9D1DE" w:sz="4"/>
          <w:right w:val="single" w:color="C9D1DE" w:sz="4"/>
          <w:insideH w:val="single" w:color="C9D1DE" w:sz="4"/>
          <w:insideV w:val="single" w:color="C9D1DE" w:sz="4"/>
        </w:tblBorders>
      </w:tblPr>
      <w:tblGrid>
        <w:gridCol w:w="2245"/>
        <w:gridCol w:w="7961"/>
      </w:tblGrid>
      <w:tr>
        <w:trPr>
          <w:tblHeader/>
        </w:trPr>
        <w:tc>
          <w:tcPr>
            <w:tcW w:type="dxa" w:w="2245"/>
            <w:shd w:fill="1B2A4A" w:val="clear"/>
            <w:tcMar>
              <w:top w:type="dxa" w:w="100"/>
              <w:left w:type="dxa" w:w="110"/>
              <w:bottom w:type="dxa" w:w="100"/>
              <w:right w:type="dxa" w:w="110"/>
            </w:tcMar>
            <w:vAlign w:val="center"/>
          </w:tcPr>
          <w:p>
            <w:pPr>
              <w:spacing w:after="0"/>
            </w:pPr>
            <w:r>
              <w:rPr>
                <w:b/>
                <w:bCs/>
                <w:color w:val="FFFFFF"/>
                <w:sz w:val="18"/>
                <w:szCs w:val="18"/>
              </w:rPr>
              <w:t xml:space="preserve">Phase</w:t>
            </w:r>
          </w:p>
        </w:tc>
        <w:tc>
          <w:tcPr>
            <w:tcW w:type="dxa" w:w="7961"/>
            <w:shd w:fill="1B2A4A" w:val="clear"/>
            <w:tcMar>
              <w:top w:type="dxa" w:w="100"/>
              <w:left w:type="dxa" w:w="110"/>
              <w:bottom w:type="dxa" w:w="100"/>
              <w:right w:type="dxa" w:w="110"/>
            </w:tcMar>
            <w:vAlign w:val="center"/>
          </w:tcPr>
          <w:p>
            <w:pPr>
              <w:spacing w:after="0"/>
            </w:pPr>
            <w:r>
              <w:rPr>
                <w:b/>
                <w:bCs/>
                <w:color w:val="FFFFFF"/>
                <w:sz w:val="18"/>
                <w:szCs w:val="18"/>
              </w:rPr>
              <w:t xml:space="preserve">Scope</w:t>
            </w:r>
          </w:p>
        </w:tc>
      </w:tr>
      <w:tr>
        <w:tc>
          <w:tcPr>
            <w:tcW w:type="dxa" w:w="2245"/>
            <w:tcMar>
              <w:top w:type="dxa" w:w="90"/>
              <w:left w:type="dxa" w:w="110"/>
              <w:bottom w:type="dxa" w:w="90"/>
              <w:right w:type="dxa" w:w="110"/>
            </w:tcMar>
            <w:vAlign w:val="center"/>
          </w:tcPr>
          <w:p>
            <w:pPr>
              <w:spacing w:after="0" w:line="260"/>
            </w:pPr>
            <w:r>
              <w:rPr>
                <w:b w:val="false"/>
                <w:bCs w:val="false"/>
                <w:sz w:val="18"/>
                <w:szCs w:val="18"/>
              </w:rPr>
              <w:t xml:space="preserve">MVP (0–6 months)</w:t>
            </w:r>
          </w:p>
        </w:tc>
        <w:tc>
          <w:tcPr>
            <w:tcW w:type="dxa" w:w="7961"/>
            <w:tcMar>
              <w:top w:type="dxa" w:w="90"/>
              <w:left w:type="dxa" w:w="110"/>
              <w:bottom w:type="dxa" w:w="90"/>
              <w:right w:type="dxa" w:w="110"/>
            </w:tcMar>
            <w:vAlign w:val="center"/>
          </w:tcPr>
          <w:p>
            <w:pPr>
              <w:spacing w:after="0" w:line="260"/>
            </w:pPr>
            <w:r>
              <w:rPr>
                <w:b w:val="false"/>
                <w:bCs w:val="false"/>
                <w:sz w:val="18"/>
                <w:szCs w:val="18"/>
              </w:rPr>
              <w:t xml:space="preserve">Core LMS (recorded + live, one delivery vendor), Capstone-tier mentor projects in a single vertical, universal cart, basic creator storefront, 5–10 seed creators</w:t>
            </w:r>
          </w:p>
        </w:tc>
      </w:tr>
      <w:tr>
        <w:tc>
          <w:tcPr>
            <w:tcW w:type="dxa" w:w="2245"/>
            <w:shd w:fill="EEF2F7" w:val="clear"/>
            <w:tcMar>
              <w:top w:type="dxa" w:w="90"/>
              <w:left w:type="dxa" w:w="110"/>
              <w:bottom w:type="dxa" w:w="90"/>
              <w:right w:type="dxa" w:w="110"/>
            </w:tcMar>
            <w:vAlign w:val="center"/>
          </w:tcPr>
          <w:p>
            <w:pPr>
              <w:spacing w:after="0" w:line="260"/>
            </w:pPr>
            <w:r>
              <w:rPr>
                <w:b w:val="false"/>
                <w:bCs w:val="false"/>
                <w:sz w:val="18"/>
                <w:szCs w:val="18"/>
              </w:rPr>
              <w:t xml:space="preserve">V1 (6–12 months)</w:t>
            </w:r>
          </w:p>
        </w:tc>
        <w:tc>
          <w:tcPr>
            <w:tcW w:type="dxa" w:w="7961"/>
            <w:shd w:fill="EEF2F7" w:val="clear"/>
            <w:tcMar>
              <w:top w:type="dxa" w:w="90"/>
              <w:left w:type="dxa" w:w="110"/>
              <w:bottom w:type="dxa" w:w="90"/>
              <w:right w:type="dxa" w:w="110"/>
            </w:tcMar>
            <w:vAlign w:val="center"/>
          </w:tcPr>
          <w:p>
            <w:pPr>
              <w:spacing w:after="0" w:line="260"/>
            </w:pPr>
            <w:r>
              <w:rPr>
                <w:b w:val="false"/>
                <w:bCs w:val="false"/>
                <w:sz w:val="18"/>
                <w:szCs w:val="18"/>
              </w:rPr>
              <w:t xml:space="preserve">Full Sprint/Capstone/Flagship project tiers with live defense, self-serve creator onboarding, Proof-of-Work portfolio layer, EMI checkout, referral program</w:t>
            </w:r>
          </w:p>
        </w:tc>
      </w:tr>
      <w:tr>
        <w:tc>
          <w:tcPr>
            <w:tcW w:type="dxa" w:w="2245"/>
            <w:tcMar>
              <w:top w:type="dxa" w:w="90"/>
              <w:left w:type="dxa" w:w="110"/>
              <w:bottom w:type="dxa" w:w="90"/>
              <w:right w:type="dxa" w:w="110"/>
            </w:tcMar>
            <w:vAlign w:val="center"/>
          </w:tcPr>
          <w:p>
            <w:pPr>
              <w:spacing w:after="0" w:line="260"/>
            </w:pPr>
            <w:r>
              <w:rPr>
                <w:b w:val="false"/>
                <w:bCs w:val="false"/>
                <w:sz w:val="18"/>
                <w:szCs w:val="18"/>
              </w:rPr>
              <w:t xml:space="preserve">V2 (12–24 months)</w:t>
            </w:r>
          </w:p>
        </w:tc>
        <w:tc>
          <w:tcPr>
            <w:tcW w:type="dxa" w:w="7961"/>
            <w:tcMar>
              <w:top w:type="dxa" w:w="90"/>
              <w:left w:type="dxa" w:w="110"/>
              <w:bottom w:type="dxa" w:w="90"/>
              <w:right w:type="dxa" w:w="110"/>
            </w:tcMar>
            <w:vAlign w:val="center"/>
          </w:tcPr>
          <w:p>
            <w:pPr>
              <w:spacing w:after="0" w:line="260"/>
            </w:pPr>
            <w:r>
              <w:rPr>
                <w:b w:val="false"/>
                <w:bCs w:val="false"/>
                <w:sz w:val="18"/>
                <w:szCs w:val="18"/>
              </w:rPr>
              <w:t xml:space="preserve">Enterprise/university Program packaging, AI teaching assistant and AI first-pass review, hiring-partner talent marketplace, selective migration of cost-sensitive infrastructure components in-house</w:t>
            </w:r>
          </w:p>
        </w:tc>
      </w:tr>
    </w:tbl>
    <w:p>
      <w:pPr>
        <w:pStyle w:val="Heading1"/>
        <w:pageBreakBefore/>
        <w:spacing w:after="220" w:before="200"/>
      </w:pPr>
      <w:r>
        <w:rPr>
          <w:b/>
          <w:bCs/>
        </w:rPr>
        <w:t xml:space="preserve">14. Appendix: Research Sources</w:t>
      </w:r>
    </w:p>
    <w:p>
      <w:pPr>
        <w:spacing w:after="200" w:line="288"/>
        <w:jc w:val="left"/>
      </w:pPr>
      <w:r>
        <w:t xml:space="preserve">This document is grounded in live web research conducted in July 2026, including direct review of the following sources. Figures cited throughout (pricing, features, customer examples) reflect what was publicly published at that time and should be re-verified before being used in external materials, since pricing pages change frequently.</w:t>
      </w:r>
    </w:p>
    <w:p>
      <w:pPr>
        <w:pStyle w:val="ListParagraph"/>
        <w:numPr>
          <w:ilvl w:val="0"/>
          <w:numId w:val="1"/>
        </w:numPr>
        <w:spacing w:after="90" w:line="276"/>
      </w:pPr>
      <w:r>
        <w:t xml:space="preserve">fermion.app (pricing, product, and documentation pages)</w:t>
      </w:r>
    </w:p>
    <w:p>
      <w:pPr>
        <w:pStyle w:val="ListParagraph"/>
        <w:numPr>
          <w:ilvl w:val="0"/>
          <w:numId w:val="1"/>
        </w:numPr>
        <w:spacing w:after="90" w:line="276"/>
      </w:pPr>
      <w:r>
        <w:t xml:space="preserve">crio.do (program and fellowship pages)</w:t>
      </w:r>
    </w:p>
    <w:p>
      <w:pPr>
        <w:pStyle w:val="ListParagraph"/>
        <w:numPr>
          <w:ilvl w:val="0"/>
          <w:numId w:val="1"/>
        </w:numPr>
        <w:spacing w:after="90" w:line="276"/>
      </w:pPr>
      <w:r>
        <w:t xml:space="preserve">upgrad.com and third-party fee-aggregator sites (College Vidya, Shiksha, Careers360)</w:t>
      </w:r>
    </w:p>
    <w:p>
      <w:pPr>
        <w:pStyle w:val="ListParagraph"/>
        <w:numPr>
          <w:ilvl w:val="0"/>
          <w:numId w:val="1"/>
        </w:numPr>
        <w:spacing w:after="90" w:line="276"/>
      </w:pPr>
      <w:r>
        <w:t xml:space="preserve">edureka.co and independent review sites (Research.com, G2, Course Report)</w:t>
      </w:r>
    </w:p>
    <w:p>
      <w:pPr>
        <w:pStyle w:val="ListParagraph"/>
        <w:numPr>
          <w:ilvl w:val="0"/>
          <w:numId w:val="1"/>
        </w:numPr>
        <w:spacing w:after="90" w:line="276"/>
      </w:pPr>
      <w:r>
        <w:t xml:space="preserve">udemy.com, business.udemy.com, and pricing-analysis sites (Vendr, TrustRadius)</w:t>
      </w:r>
    </w:p>
    <w:p>
      <w:pPr>
        <w:pStyle w:val="ListParagraph"/>
        <w:numPr>
          <w:ilvl w:val="0"/>
          <w:numId w:val="1"/>
        </w:numPr>
        <w:spacing w:after="90" w:line="276"/>
      </w:pPr>
      <w:r>
        <w:t xml:space="preserve">coursera.org and coursera.org/business</w:t>
      </w:r>
    </w:p>
    <w:p>
      <w:pPr>
        <w:pStyle w:val="ListParagraph"/>
        <w:numPr>
          <w:ilvl w:val="0"/>
          <w:numId w:val="1"/>
        </w:numPr>
        <w:spacing w:after="90" w:line="276"/>
      </w:pPr>
      <w:r>
        <w:t xml:space="preserve">takeuforward.org (TUF+) </w:t>
      </w:r>
    </w:p>
    <w:p>
      <w:pPr>
        <w:pStyle w:val="ListParagraph"/>
        <w:numPr>
          <w:ilvl w:val="0"/>
          <w:numId w:val="1"/>
        </w:numPr>
        <w:spacing w:after="90" w:line="276"/>
      </w:pPr>
      <w:r>
        <w:t xml:space="preserve">educosys courses under Keerti Purswani, and her YouTube/GitHub presence</w:t>
      </w:r>
    </w:p>
    <w:p>
      <w:pPr>
        <w:pStyle w:val="ListParagraph"/>
        <w:numPr>
          <w:ilvl w:val="0"/>
          <w:numId w:val="1"/>
        </w:numPr>
        <w:spacing w:after="90" w:line="276"/>
      </w:pPr>
      <w:r>
        <w:t xml:space="preserve">euron.one and euronsystems.com (Sudhanshu Kumar / iNeuron lineage)</w:t>
      </w:r>
    </w:p>
    <w:p>
      <w:pPr>
        <w:pStyle w:val="ListParagraph"/>
        <w:numPr>
          <w:ilvl w:val="0"/>
          <w:numId w:val="1"/>
        </w:numPr>
        <w:spacing w:after="90" w:line="276"/>
      </w:pPr>
      <w:r>
        <w:t xml:space="preserve">graphy.com and independent Graphy reviews (Ruzuku comparison hub)</w:t>
      </w:r>
    </w:p>
    <w:p>
      <w:pPr>
        <w:pStyle w:val="ListParagraph"/>
        <w:numPr>
          <w:ilvl w:val="0"/>
          <w:numId w:val="1"/>
        </w:numPr>
        <w:spacing w:after="90" w:line="276"/>
      </w:pPr>
      <w:r>
        <w:t xml:space="preserve">maven.com, including its public instructor pricing guidance</w:t>
      </w:r>
    </w:p>
    <w:p>
      <w:pPr>
        <w:pStyle w:val="ListParagraph"/>
        <w:numPr>
          <w:ilvl w:val="0"/>
          <w:numId w:val="1"/>
        </w:numPr>
        <w:spacing w:after="90" w:line="276"/>
      </w:pPr>
      <w:r>
        <w:t xml:space="preserve">vdocipher.com and Capterra/YourStory/Inc42 coverage</w:t>
      </w:r>
    </w:p>
    <w:p>
      <w:pPr>
        <w:pStyle w:val="ListParagraph"/>
        <w:numPr>
          <w:ilvl w:val="0"/>
          <w:numId w:val="1"/>
        </w:numPr>
        <w:spacing w:after="90" w:line="276"/>
      </w:pPr>
      <w:r>
        <w:t xml:space="preserve">Judge0 (GitHub/RapidAPI) and Sphere Engine documentation</w:t>
      </w:r>
    </w:p>
    <w:p>
      <w:pPr>
        <w:pStyle w:val="ListParagraph"/>
        <w:numPr>
          <w:ilvl w:val="0"/>
          <w:numId w:val="1"/>
        </w:numPr>
        <w:spacing w:after="90" w:line="276"/>
      </w:pPr>
      <w:r>
        <w:t xml:space="preserve">Propelld and Financepeer sites, and Inc42 coverage of Indian ed-tech financing</w:t>
      </w:r>
    </w:p>
    <w:p>
      <w:pPr>
        <w:pStyle w:val="ListParagraph"/>
        <w:numPr>
          <w:ilvl w:val="0"/>
          <w:numId w:val="1"/>
        </w:numPr>
        <w:spacing w:after="90" w:line="276"/>
      </w:pPr>
      <w:r>
        <w:t xml:space="preserve">adplist.org and mentor-marketplace comparison sites</w:t>
      </w:r>
    </w:p>
    <w:p>
      <w:pPr>
        <w:pStyle w:val="ListParagraph"/>
        <w:numPr>
          <w:ilvl w:val="0"/>
          <w:numId w:val="1"/>
        </w:numPr>
        <w:spacing w:after="90" w:line="276"/>
      </w:pPr>
      <w:r>
        <w:t xml:space="preserve">IIT Jammu, IIT Madras (CODE/NPTEL), and IIM Tiruchirappalli published partnership-model pages</w:t>
      </w:r>
    </w:p>
    <w:sectPr>
      <w:headerReference w:type="default" r:id="rId7"/>
      <w:footerReference w:type="default" r:id="rId8"/>
      <w:pgSz w:w="11906" w:h="16838"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E" w:sz="4" w:space="4"/>
      </w:pBdr>
      <w:jc w:val="right"/>
    </w:pPr>
    <w:r>
      <w:rPr>
        <w:i/>
        <w:iCs/>
        <w:color w:val="6B7280"/>
        <w:sz w:val="15"/>
        <w:szCs w:val="15"/>
      </w:rPr>
      <w:t xml:space="preserve">Product Requirements &amp; System Design Specification  ·  [Startup Name]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62F"/>
        <w:sz w:val="21"/>
        <w:szCs w:val="21"/>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9762F" w:sz="8" w:space="6"/>
      </w:pBdr>
      <w:spacing w:after="220" w:before="200"/>
    </w:pPr>
    <w:rPr>
      <w:rFonts w:ascii="Calibri" w:cs="Calibri" w:eastAsia="Calibri" w:hAnsi="Calibri"/>
      <w:b/>
      <w:bCs/>
      <w:color w:val="1B2A4A"/>
      <w:sz w:val="32"/>
      <w:szCs w:val="32"/>
    </w:rPr>
  </w:style>
  <w:style w:type="paragraph" w:styleId="Heading2">
    <w:name w:val="Heading 2"/>
    <w:basedOn w:val="Normal"/>
    <w:next w:val="Normal"/>
    <w:qFormat/>
    <w:pPr>
      <w:spacing w:after="160" w:before="340"/>
    </w:pPr>
    <w:rPr>
      <w:rFonts w:ascii="Calibri" w:cs="Calibri" w:eastAsia="Calibri" w:hAnsi="Calibri"/>
      <w:b/>
      <w:bCs/>
      <w:color w:val="2E4470"/>
      <w:sz w:val="25"/>
      <w:szCs w:val="25"/>
    </w:rPr>
  </w:style>
  <w:style w:type="paragraph" w:styleId="Heading3">
    <w:name w:val="Heading 3"/>
    <w:basedOn w:val="Normal"/>
    <w:next w:val="Normal"/>
    <w:qFormat/>
    <w:pPr>
      <w:spacing w:after="120" w:before="260"/>
    </w:pPr>
    <w:rPr>
      <w:rFonts w:ascii="Calibri" w:cs="Calibri" w:eastAsia="Calibri" w:hAnsi="Calibri"/>
      <w:b/>
      <w:bCs/>
      <w:color w:val="B9762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2cefad0077c7f9122579003497a03a88b6353d5.png"/><Relationship Id="rId10" Type="http://schemas.openxmlformats.org/officeDocument/2006/relationships/image" Target="media/5921250f51774053cbe9b5729af1783996e4ddee.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Requirements &amp; System Design Specification</dc:title>
  <dc:creator>Founder Working Draft</dc:creator>
  <dc:description>Unified LMS + mentor-guided project marketplace</dc:description>
  <cp:lastModifiedBy>Un-named</cp:lastModifiedBy>
  <cp:revision>1</cp:revision>
  <dcterms:created xsi:type="dcterms:W3CDTF">2026-07-02T03:01:14.135Z</dcterms:created>
  <dcterms:modified xsi:type="dcterms:W3CDTF">2026-07-02T03:01:14.135Z</dcterms:modified>
</cp:coreProperties>
</file>

<file path=docProps/custom.xml><?xml version="1.0" encoding="utf-8"?>
<Properties xmlns="http://schemas.openxmlformats.org/officeDocument/2006/custom-properties" xmlns:vt="http://schemas.openxmlformats.org/officeDocument/2006/docPropsVTypes"/>
</file>