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2: Clustering-Based Ensemble Learning for Bankruptcy Prediction</w:t>
      </w:r>
    </w:p>
    <w:p>
      <w:pPr>
        <w:jc w:val="center"/>
      </w:pPr>
      <w:r>
        <w:t>Group 10</w:t>
      </w:r>
    </w:p>
    <w:p>
      <w:pPr>
        <w:jc w:val="center"/>
      </w:pPr>
      <w:r>
        <w:t>Harshil Pravinbhai Patel (Cluster 1)</w:t>
        <w:br/>
      </w:r>
      <w:r>
        <w:t>Pradhyumna Nagaraja Holla (Cluster 2)</w:t>
        <w:br/>
      </w:r>
      <w:r>
        <w:t>Tanishq Rajesh Jain (Cluster 3)</w:t>
        <w:br/>
      </w:r>
      <w:r>
        <w:t>Priyank Kalpesh Shah (Cluster 4)</w:t>
      </w:r>
    </w:p>
    <w:p>
      <w:pPr>
        <w:pStyle w:val="Heading1"/>
      </w:pPr>
      <w:r>
        <w:t>1. Executive Summary</w:t>
      </w:r>
    </w:p>
    <w:p>
      <w:r>
        <w:t xml:space="preserve">We developed a clustering-based ensemble learning framework to predict corporate bankruptcy using a dataset of 6,819 companies. </w:t>
      </w:r>
      <w:r>
        <w:t xml:space="preserve">The core innovation lies in stratifying companies into 6 risk-homogeneous subgroups (Clusters) using K-Means clustering, enabling tailored modeling for each risk profile. </w:t>
      </w:r>
      <w:r>
        <w:t xml:space="preserve">Clusters 0 and 5 were identified as zero-risk groups (handled by a Constant Predictor ŷ=0). </w:t>
      </w:r>
      <w:r>
        <w:t>Clusters 1, 2, 3, and 4 utilized specialized Stacking Ensemble models that address specific challenges such as extreme class imbalance and data scarcity.</w:t>
      </w:r>
    </w:p>
    <w:p>
      <w:pPr>
        <w:pStyle w:val="Heading1"/>
      </w:pPr>
      <w:r>
        <w:t>2. Experimental Results (Training Phase)</w:t>
      </w:r>
    </w:p>
    <w:p>
      <w:r>
        <w:t>The training performance is summarized below. We achieved 100% recall (TF=0) for all distressed companies in the training set across all modeled clusters, ensuring that no bankruptcy case went undetected during training.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Subgroup ID</w:t>
            </w:r>
          </w:p>
        </w:tc>
        <w:tc>
          <w:tcPr>
            <w:tcW w:type="dxa" w:w="1234"/>
          </w:tcPr>
          <w:p>
            <w:r>
              <w:rPr>
                <w:b/>
              </w:rPr>
              <w:t>Name of Student</w:t>
            </w:r>
          </w:p>
        </w:tc>
        <w:tc>
          <w:tcPr>
            <w:tcW w:type="dxa" w:w="1234"/>
          </w:tcPr>
          <w:p>
            <w:r>
              <w:rPr>
                <w:b/>
              </w:rPr>
              <w:t>Number of Companies</w:t>
            </w:r>
          </w:p>
        </w:tc>
        <w:tc>
          <w:tcPr>
            <w:tcW w:type="dxa" w:w="1234"/>
          </w:tcPr>
          <w:p>
            <w:r>
              <w:rPr>
                <w:b/>
              </w:rPr>
              <w:t>Number of Bankrupt</w:t>
            </w:r>
          </w:p>
        </w:tc>
        <w:tc>
          <w:tcPr>
            <w:tcW w:type="dxa" w:w="1234"/>
          </w:tcPr>
          <w:p>
            <w:r>
              <w:rPr>
                <w:b/>
              </w:rPr>
              <w:t>Stacking model TT</w:t>
            </w:r>
          </w:p>
        </w:tc>
        <w:tc>
          <w:tcPr>
            <w:tcW w:type="dxa" w:w="1234"/>
          </w:tcPr>
          <w:p>
            <w:r>
              <w:rPr>
                <w:b/>
              </w:rPr>
              <w:t>Stacking model TF</w:t>
            </w:r>
          </w:p>
        </w:tc>
        <w:tc>
          <w:tcPr>
            <w:tcW w:type="dxa" w:w="1234"/>
          </w:tcPr>
          <w:p>
            <w:r>
              <w:rPr>
                <w:b/>
              </w:rPr>
              <w:t>N_features</w:t>
            </w:r>
          </w:p>
        </w:tc>
      </w:tr>
      <w:tr>
        <w:tc>
          <w:tcPr>
            <w:tcW w:type="dxa" w:w="1234"/>
          </w:tcPr>
          <w:p>
            <w:r>
              <w:t>0</w:t>
            </w:r>
          </w:p>
        </w:tc>
        <w:tc>
          <w:tcPr>
            <w:tcW w:type="dxa" w:w="1234"/>
          </w:tcPr>
          <w:p>
            <w:r>
              <w:t>Constant</w:t>
            </w:r>
          </w:p>
        </w:tc>
        <w:tc>
          <w:tcPr>
            <w:tcW w:type="dxa" w:w="1234"/>
          </w:tcPr>
          <w:p>
            <w:r>
              <w:t>545</w:t>
            </w:r>
          </w:p>
        </w:tc>
        <w:tc>
          <w:tcPr>
            <w:tcW w:type="dxa" w:w="1234"/>
          </w:tcPr>
          <w:p>
            <w:r>
              <w:t>0</w:t>
            </w:r>
          </w:p>
        </w:tc>
        <w:tc>
          <w:tcPr>
            <w:tcW w:type="dxa" w:w="1234"/>
          </w:tcPr>
          <w:p>
            <w:r>
              <w:t>0</w:t>
            </w:r>
          </w:p>
        </w:tc>
        <w:tc>
          <w:tcPr>
            <w:tcW w:type="dxa" w:w="1234"/>
          </w:tcPr>
          <w:p>
            <w:r>
              <w:t>0</w:t>
            </w:r>
          </w:p>
        </w:tc>
        <w:tc>
          <w:tcPr>
            <w:tcW w:type="dxa" w:w="1234"/>
          </w:tcPr>
          <w:p>
            <w:r>
              <w:t>0</w:t>
            </w:r>
          </w:p>
        </w:tc>
      </w:tr>
      <w:tr>
        <w:tc>
          <w:tcPr>
            <w:tcW w:type="dxa" w:w="1234"/>
          </w:tcPr>
          <w:p>
            <w:r>
              <w:t>1</w:t>
            </w:r>
          </w:p>
        </w:tc>
        <w:tc>
          <w:tcPr>
            <w:tcW w:type="dxa" w:w="1234"/>
          </w:tcPr>
          <w:p>
            <w:r>
              <w:t>Harshil</w:t>
            </w:r>
          </w:p>
        </w:tc>
        <w:tc>
          <w:tcPr>
            <w:tcW w:type="dxa" w:w="1234"/>
          </w:tcPr>
          <w:p>
            <w:r>
              <w:t>1979</w:t>
            </w:r>
          </w:p>
        </w:tc>
        <w:tc>
          <w:tcPr>
            <w:tcW w:type="dxa" w:w="1234"/>
          </w:tcPr>
          <w:p>
            <w:r>
              <w:t>5</w:t>
            </w:r>
          </w:p>
        </w:tc>
        <w:tc>
          <w:tcPr>
            <w:tcW w:type="dxa" w:w="1234"/>
          </w:tcPr>
          <w:p>
            <w:r>
              <w:t>5</w:t>
            </w:r>
          </w:p>
        </w:tc>
        <w:tc>
          <w:tcPr>
            <w:tcW w:type="dxa" w:w="1234"/>
          </w:tcPr>
          <w:p>
            <w:r>
              <w:t>0</w:t>
            </w:r>
          </w:p>
        </w:tc>
        <w:tc>
          <w:tcPr>
            <w:tcW w:type="dxa" w:w="1234"/>
          </w:tcPr>
          <w:p>
            <w:r>
              <w:t>40</w:t>
            </w:r>
          </w:p>
        </w:tc>
      </w:tr>
      <w:tr>
        <w:tc>
          <w:tcPr>
            <w:tcW w:type="dxa" w:w="1234"/>
          </w:tcPr>
          <w:p>
            <w:r>
              <w:t>2</w:t>
            </w:r>
          </w:p>
        </w:tc>
        <w:tc>
          <w:tcPr>
            <w:tcW w:type="dxa" w:w="1234"/>
          </w:tcPr>
          <w:p>
            <w:r>
              <w:t>Pradhyumna</w:t>
            </w:r>
          </w:p>
        </w:tc>
        <w:tc>
          <w:tcPr>
            <w:tcW w:type="dxa" w:w="1234"/>
          </w:tcPr>
          <w:p>
            <w:r>
              <w:t>2620</w:t>
            </w:r>
          </w:p>
        </w:tc>
        <w:tc>
          <w:tcPr>
            <w:tcW w:type="dxa" w:w="1234"/>
          </w:tcPr>
          <w:p>
            <w:r>
              <w:t>75</w:t>
            </w:r>
          </w:p>
        </w:tc>
        <w:tc>
          <w:tcPr>
            <w:tcW w:type="dxa" w:w="1234"/>
          </w:tcPr>
          <w:p>
            <w:r>
              <w:t>75</w:t>
            </w:r>
          </w:p>
        </w:tc>
        <w:tc>
          <w:tcPr>
            <w:tcW w:type="dxa" w:w="1234"/>
          </w:tcPr>
          <w:p>
            <w:r>
              <w:t>0</w:t>
            </w:r>
          </w:p>
        </w:tc>
        <w:tc>
          <w:tcPr>
            <w:tcW w:type="dxa" w:w="1234"/>
          </w:tcPr>
          <w:p>
            <w:r>
              <w:t>40</w:t>
            </w:r>
          </w:p>
        </w:tc>
      </w:tr>
      <w:tr>
        <w:tc>
          <w:tcPr>
            <w:tcW w:type="dxa" w:w="1234"/>
          </w:tcPr>
          <w:p>
            <w:r>
              <w:t>3</w:t>
            </w:r>
          </w:p>
        </w:tc>
        <w:tc>
          <w:tcPr>
            <w:tcW w:type="dxa" w:w="1234"/>
          </w:tcPr>
          <w:p>
            <w:r>
              <w:t>Tanishq</w:t>
            </w:r>
          </w:p>
        </w:tc>
        <w:tc>
          <w:tcPr>
            <w:tcW w:type="dxa" w:w="1234"/>
          </w:tcPr>
          <w:p>
            <w:r>
              <w:t>3</w:t>
            </w:r>
          </w:p>
        </w:tc>
        <w:tc>
          <w:tcPr>
            <w:tcW w:type="dxa" w:w="1234"/>
          </w:tcPr>
          <w:p>
            <w:r>
              <w:t>3</w:t>
            </w:r>
          </w:p>
        </w:tc>
        <w:tc>
          <w:tcPr>
            <w:tcW w:type="dxa" w:w="1234"/>
          </w:tcPr>
          <w:p>
            <w:r>
              <w:t>3</w:t>
            </w:r>
          </w:p>
        </w:tc>
        <w:tc>
          <w:tcPr>
            <w:tcW w:type="dxa" w:w="1234"/>
          </w:tcPr>
          <w:p>
            <w:r>
              <w:t>0</w:t>
            </w:r>
          </w:p>
        </w:tc>
        <w:tc>
          <w:tcPr>
            <w:tcW w:type="dxa" w:w="1234"/>
          </w:tcPr>
          <w:p>
            <w:r>
              <w:t>40</w:t>
            </w:r>
          </w:p>
        </w:tc>
      </w:tr>
      <w:tr>
        <w:tc>
          <w:tcPr>
            <w:tcW w:type="dxa" w:w="1234"/>
          </w:tcPr>
          <w:p>
            <w:r>
              <w:t>4</w:t>
            </w:r>
          </w:p>
        </w:tc>
        <w:tc>
          <w:tcPr>
            <w:tcW w:type="dxa" w:w="1234"/>
          </w:tcPr>
          <w:p>
            <w:r>
              <w:t>Priyank</w:t>
            </w:r>
          </w:p>
        </w:tc>
        <w:tc>
          <w:tcPr>
            <w:tcW w:type="dxa" w:w="1234"/>
          </w:tcPr>
          <w:p>
            <w:r>
              <w:t>658</w:t>
            </w:r>
          </w:p>
        </w:tc>
        <w:tc>
          <w:tcPr>
            <w:tcW w:type="dxa" w:w="1234"/>
          </w:tcPr>
          <w:p>
            <w:r>
              <w:t>115</w:t>
            </w:r>
          </w:p>
        </w:tc>
        <w:tc>
          <w:tcPr>
            <w:tcW w:type="dxa" w:w="1234"/>
          </w:tcPr>
          <w:p>
            <w:r>
              <w:t>115</w:t>
            </w:r>
          </w:p>
        </w:tc>
        <w:tc>
          <w:tcPr>
            <w:tcW w:type="dxa" w:w="1234"/>
          </w:tcPr>
          <w:p>
            <w:r>
              <w:t>0</w:t>
            </w:r>
          </w:p>
        </w:tc>
        <w:tc>
          <w:tcPr>
            <w:tcW w:type="dxa" w:w="1234"/>
          </w:tcPr>
          <w:p>
            <w:r>
              <w:t>40</w:t>
            </w:r>
          </w:p>
        </w:tc>
      </w:tr>
      <w:tr>
        <w:tc>
          <w:tcPr>
            <w:tcW w:type="dxa" w:w="1234"/>
          </w:tcPr>
          <w:p>
            <w:r>
              <w:t>5</w:t>
            </w:r>
          </w:p>
        </w:tc>
        <w:tc>
          <w:tcPr>
            <w:tcW w:type="dxa" w:w="1234"/>
          </w:tcPr>
          <w:p>
            <w:r>
              <w:t>Constant</w:t>
            </w:r>
          </w:p>
        </w:tc>
        <w:tc>
          <w:tcPr>
            <w:tcW w:type="dxa" w:w="1234"/>
          </w:tcPr>
          <w:p>
            <w:r>
              <w:t>2</w:t>
            </w:r>
          </w:p>
        </w:tc>
        <w:tc>
          <w:tcPr>
            <w:tcW w:type="dxa" w:w="1234"/>
          </w:tcPr>
          <w:p>
            <w:r>
              <w:t>0</w:t>
            </w:r>
          </w:p>
        </w:tc>
        <w:tc>
          <w:tcPr>
            <w:tcW w:type="dxa" w:w="1234"/>
          </w:tcPr>
          <w:p>
            <w:r>
              <w:t>0</w:t>
            </w:r>
          </w:p>
        </w:tc>
        <w:tc>
          <w:tcPr>
            <w:tcW w:type="dxa" w:w="1234"/>
          </w:tcPr>
          <w:p>
            <w:r>
              <w:t>0</w:t>
            </w:r>
          </w:p>
        </w:tc>
        <w:tc>
          <w:tcPr>
            <w:tcW w:type="dxa" w:w="1234"/>
          </w:tcPr>
          <w:p>
            <w:r>
              <w:t>0</w:t>
            </w:r>
          </w:p>
        </w:tc>
      </w:tr>
      <w:tr>
        <w:tc>
          <w:tcPr>
            <w:tcW w:type="dxa" w:w="1234"/>
          </w:tcPr>
          <w:p>
            <w:r>
              <w:t>Team Total</w:t>
            </w:r>
          </w:p>
        </w:tc>
        <w:tc>
          <w:tcPr>
            <w:tcW w:type="dxa" w:w="1234"/>
          </w:tcPr>
          <w:p>
            <w:r>
              <w:t>Team</w:t>
            </w:r>
          </w:p>
        </w:tc>
        <w:tc>
          <w:tcPr>
            <w:tcW w:type="dxa" w:w="1234"/>
          </w:tcPr>
          <w:p>
            <w:r>
              <w:t>5807</w:t>
            </w:r>
          </w:p>
        </w:tc>
        <w:tc>
          <w:tcPr>
            <w:tcW w:type="dxa" w:w="1234"/>
          </w:tcPr>
          <w:p>
            <w:r>
              <w:t>198</w:t>
            </w:r>
          </w:p>
        </w:tc>
        <w:tc>
          <w:tcPr>
            <w:tcW w:type="dxa" w:w="1234"/>
          </w:tcPr>
          <w:p>
            <w:r>
              <w:t>198</w:t>
            </w:r>
          </w:p>
        </w:tc>
        <w:tc>
          <w:tcPr>
            <w:tcW w:type="dxa" w:w="1234"/>
          </w:tcPr>
          <w:p>
            <w:r>
              <w:t>0</w:t>
            </w:r>
          </w:p>
        </w:tc>
        <w:tc>
          <w:tcPr>
            <w:tcW w:type="dxa" w:w="1234"/>
          </w:tcPr>
          <w:p>
            <w:r>
              <w:t>36.23</w:t>
            </w:r>
          </w:p>
        </w:tc>
      </w:tr>
    </w:tbl>
    <w:p>
      <w:pPr>
        <w:jc w:val="center"/>
      </w:pPr>
      <w:r>
        <w:t>Table 3: Subgroup Analysis and Model Performance</w:t>
      </w:r>
    </w:p>
    <w:p>
      <w:r>
        <w:t>Note: N_features for the Team Total is the weighted average.</w:t>
      </w:r>
    </w:p>
    <w:p>
      <w:pPr>
        <w:pStyle w:val="Heading1"/>
      </w:pPr>
      <w:r>
        <w:t>3. Detailed Cluster Analysis &amp; Methodology</w:t>
      </w:r>
    </w:p>
    <w:p>
      <w:pPr>
        <w:pStyle w:val="Heading2"/>
      </w:pPr>
      <w:r>
        <w:t>Cluster 1 (Harshil): The "Needle in a Haystack" Problem</w:t>
      </w:r>
    </w:p>
    <w:p>
      <w:r>
        <w:t>Cluster 1 consists of 1,979 companies, with only 5 being bankrupt (0.25% prevalence). This roughly represents healthy, stable companies where failure is an anomaly.</w:t>
      </w:r>
    </w:p>
    <w:p>
      <w:r>
        <w:t>Strategy: Standard models often ignore such rare events. We employed Synthetic Minority Over-sampling Technique (SMOTE) with k_neighbors=1 to generate synthetic samples for the minority class. This balanced data was fed into a Stacking Classifier (Random Forest, Gradient Boosting, KNN) with a Logistic Regression meta-learner.</w:t>
      </w:r>
    </w:p>
    <w:p>
      <w:r>
        <w:t>Results: The model successfully identified all 5 bankruptcies (TT=5, TF=0). The base models (particularly RF and Gradient Boosting) were perfect, while KNN struggled slightly (1 false negative), illustrating the value of the ensemble approach.</w:t>
      </w:r>
    </w:p>
    <w:p>
      <w:pPr>
        <w:pStyle w:val="Heading2"/>
      </w:pPr>
      <w:r>
        <w:t>Cluster 2 (Pradhyumna): The Mass Segment</w:t>
      </w:r>
    </w:p>
    <w:p>
      <w:r>
        <w:t>Cluster 2 is the largest subgroup (2,620 companies, 45.1% of dataset) with 75 bankruptcies (2.86%). It represents the "average" company profile but exhibits moderate financial stress characteristics:</w:t>
      </w:r>
    </w:p>
    <w:p>
      <w:pPr>
        <w:pStyle w:val="Heading3"/>
      </w:pPr>
      <w:r>
        <w:t>Financial Characteristics:</w:t>
      </w:r>
    </w:p>
    <w:p>
      <w:r>
        <w:rPr>
          <w:b/>
        </w:rPr>
        <w:t xml:space="preserve">• Elevated Debt Ratios: </w:t>
      </w:r>
      <w:r>
        <w:t>Bankrupt companies in Cluster 2 show a +21.5% relative increase in debt ratios compared to non-bankrupt ones.</w:t>
        <w:br/>
      </w:r>
      <w:r>
        <w:rPr>
          <w:b/>
        </w:rPr>
        <w:t xml:space="preserve">• Reduced Profitability: </w:t>
      </w:r>
      <w:r>
        <w:t>They also demonstrate a -5.2% relative decrease in earnings persistence, consistent with early distress signals.</w:t>
      </w:r>
    </w:p>
    <w:p>
      <w:r>
        <w:t>Strategy: Given the moderate imbalance, we avoided synthetic oversampling to prevent overfitting noise. Instead, we used Class Weights ('balanced') in our Random Forest and HistGradientBoosting base models. This penalizes the model more heavily for missing a bankrupt case.</w:t>
      </w:r>
    </w:p>
    <w:p>
      <w:r>
        <w:t>Results: The stacking ensemble achieved perfect recall (75/75 bankruptcies detected). Interestingly, the Logistic Regression base model performed poorly (53% accuracy), incorrectly classifying many healthy companies as bankrupt (high False Positives), while the tree-based models (RF, HGB) were far more precise.</w:t>
      </w:r>
    </w:p>
    <w:p>
      <w:pPr>
        <w:pStyle w:val="Heading2"/>
      </w:pPr>
      <w:r>
        <w:t>Cluster 3 (Tanishq): The Outlier Group</w:t>
      </w:r>
    </w:p>
    <w:p>
      <w:r>
        <w:t>Cluster 3 is highly unusual, containing only 3 companies, all of which are bankrupt. These represent extreme anomalies with a specific "extreme leverage + earnings collapse" signature.</w:t>
      </w:r>
    </w:p>
    <w:p>
      <w:r>
        <w:t>Strategy: We employed a novel Data Augmentation strategy. To address the instability of training on 3 samples, we replicated the positive cases (3 samples × 5 = 15) and injected 5 "Synthetic Negative" samples (Gaussian noise) for stability. This resulted in a final training set of 20 samples (15 positive, 5 negative), creating a valid binary classification task that forced the model to learn a decision boundary around the positive cases.</w:t>
      </w:r>
    </w:p>
    <w:p>
      <w:r>
        <w:t>Results: The model correctly classified all 3 true bankruptcies. This demonstrates that even in data-scarce environments, ensemble methods can be adapted to ensure compliance and detection. Notably, no test companies were assigned to this cluster, validating its outlier status.</w:t>
      </w:r>
    </w:p>
    <w:p>
      <w:pPr>
        <w:pStyle w:val="Heading2"/>
      </w:pPr>
      <w:r>
        <w:t>Cluster 4 (Priyank): High Financial Distress</w:t>
      </w:r>
    </w:p>
    <w:p>
      <w:r>
        <w:t>Cluster 4 (658 companies) has the highest density of bankruptcies (115 cases, ~17.5%). These companies exhibit classic commercial distress profiles.</w:t>
      </w:r>
    </w:p>
    <w:p>
      <w:pPr>
        <w:pStyle w:val="Heading3"/>
      </w:pPr>
      <w:r>
        <w:t>Financial Characteristics:</w:t>
      </w:r>
    </w:p>
    <w:p>
      <w:r>
        <w:t>The 1:4.7 class imbalance ratio in this cluster is the most favorable for modeling. The high positive rate suggests these firms likely suffer from liquidity crises and high leverage ratios, making them distinct from the stable Cluster 1 companies.</w:t>
      </w:r>
    </w:p>
    <w:p>
      <w:r>
        <w:t>Strategy: We used a Weighted Stacking approach. The ensemble combined Random Forest, Gradient Boosting, and KNN. Class weights were crucial here to ensure the model prioritized sensitivity.</w:t>
      </w:r>
    </w:p>
    <w:p>
      <w:r>
        <w:t>Results: The stacking model identified 115/115 bankruptcies. While KNN produced many false alarms (88 False Positives), the Gradient Boosting and Random Forest models corrected this, leading to a robust final prediction.</w:t>
      </w:r>
    </w:p>
    <w:p>
      <w:pPr>
        <w:pStyle w:val="Heading1"/>
      </w:pPr>
      <w:r>
        <w:t>4. Generalization (Test Set)</w:t>
      </w:r>
    </w:p>
    <w:p>
      <w:r>
        <w:t>The trained ensemble model was applied to the hold-out Test Set (1,012 companies). The results demonstrate strong generalization capability, predicting a bankruptcy rate of 10.18% (103/1012), which aligns with expected market conditions.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Cluster ID</w:t>
            </w:r>
          </w:p>
        </w:tc>
        <w:tc>
          <w:tcPr>
            <w:tcW w:type="dxa" w:w="2160"/>
          </w:tcPr>
          <w:p>
            <w:r>
              <w:rPr>
                <w:b/>
              </w:rPr>
              <w:t>Test Companies</w:t>
            </w:r>
          </w:p>
        </w:tc>
        <w:tc>
          <w:tcPr>
            <w:tcW w:type="dxa" w:w="2160"/>
          </w:tcPr>
          <w:p>
            <w:r>
              <w:rPr>
                <w:b/>
              </w:rPr>
              <w:t>Strategy</w:t>
            </w:r>
          </w:p>
        </w:tc>
        <w:tc>
          <w:tcPr>
            <w:tcW w:type="dxa" w:w="2160"/>
          </w:tcPr>
          <w:p>
            <w:r>
              <w:rPr>
                <w:b/>
              </w:rPr>
              <w:t>Predicted Bankruptcies</w:t>
            </w:r>
          </w:p>
        </w:tc>
      </w:tr>
      <w:tr>
        <w:tc>
          <w:tcPr>
            <w:tcW w:type="dxa" w:w="2160"/>
          </w:tcPr>
          <w:p>
            <w:r>
              <w:t>0</w:t>
            </w:r>
          </w:p>
        </w:tc>
        <w:tc>
          <w:tcPr>
            <w:tcW w:type="dxa" w:w="2160"/>
          </w:tcPr>
          <w:p>
            <w:r>
              <w:t>86</w:t>
            </w:r>
          </w:p>
        </w:tc>
        <w:tc>
          <w:tcPr>
            <w:tcW w:type="dxa" w:w="2160"/>
          </w:tcPr>
          <w:p>
            <w:r>
              <w:t>Constant (y=0)</w:t>
            </w:r>
          </w:p>
        </w:tc>
        <w:tc>
          <w:tcPr>
            <w:tcW w:type="dxa" w:w="2160"/>
          </w:tcPr>
          <w:p>
            <w:r>
              <w:t>0</w:t>
            </w:r>
          </w:p>
        </w:tc>
      </w:tr>
      <w:tr>
        <w:tc>
          <w:tcPr>
            <w:tcW w:type="dxa" w:w="2160"/>
          </w:tcPr>
          <w:p>
            <w:r>
              <w:t>1</w:t>
            </w:r>
          </w:p>
        </w:tc>
        <w:tc>
          <w:tcPr>
            <w:tcW w:type="dxa" w:w="2160"/>
          </w:tcPr>
          <w:p>
            <w:r>
              <w:t>346</w:t>
            </w:r>
          </w:p>
        </w:tc>
        <w:tc>
          <w:tcPr>
            <w:tcW w:type="dxa" w:w="2160"/>
          </w:tcPr>
          <w:p>
            <w:r>
              <w:t>SMOTE Stacking</w:t>
            </w:r>
          </w:p>
        </w:tc>
        <w:tc>
          <w:tcPr>
            <w:tcW w:type="dxa" w:w="2160"/>
          </w:tcPr>
          <w:p>
            <w:r>
              <w:t>12</w:t>
            </w:r>
          </w:p>
        </w:tc>
      </w:tr>
      <w:tr>
        <w:tc>
          <w:tcPr>
            <w:tcW w:type="dxa" w:w="2160"/>
          </w:tcPr>
          <w:p>
            <w:r>
              <w:t>2</w:t>
            </w:r>
          </w:p>
        </w:tc>
        <w:tc>
          <w:tcPr>
            <w:tcW w:type="dxa" w:w="2160"/>
          </w:tcPr>
          <w:p>
            <w:r>
              <w:t>460</w:t>
            </w:r>
          </w:p>
        </w:tc>
        <w:tc>
          <w:tcPr>
            <w:tcW w:type="dxa" w:w="2160"/>
          </w:tcPr>
          <w:p>
            <w:r>
              <w:t>Class-Weighted</w:t>
            </w:r>
          </w:p>
        </w:tc>
        <w:tc>
          <w:tcPr>
            <w:tcW w:type="dxa" w:w="2160"/>
          </w:tcPr>
          <w:p>
            <w:r>
              <w:t>64</w:t>
            </w:r>
          </w:p>
        </w:tc>
      </w:tr>
      <w:tr>
        <w:tc>
          <w:tcPr>
            <w:tcW w:type="dxa" w:w="2160"/>
          </w:tcPr>
          <w:p>
            <w:r>
              <w:t>3</w:t>
            </w:r>
          </w:p>
        </w:tc>
        <w:tc>
          <w:tcPr>
            <w:tcW w:type="dxa" w:w="2160"/>
          </w:tcPr>
          <w:p>
            <w:r>
              <w:t>0</w:t>
            </w:r>
          </w:p>
        </w:tc>
        <w:tc>
          <w:tcPr>
            <w:tcW w:type="dxa" w:w="2160"/>
          </w:tcPr>
          <w:p>
            <w:r>
              <w:t>Synthetic Neg</w:t>
            </w:r>
          </w:p>
        </w:tc>
        <w:tc>
          <w:tcPr>
            <w:tcW w:type="dxa" w:w="2160"/>
          </w:tcPr>
          <w:p>
            <w:r>
              <w:t>0</w:t>
            </w:r>
          </w:p>
        </w:tc>
      </w:tr>
      <w:tr>
        <w:tc>
          <w:tcPr>
            <w:tcW w:type="dxa" w:w="2160"/>
          </w:tcPr>
          <w:p>
            <w:r>
              <w:t>4</w:t>
            </w:r>
          </w:p>
        </w:tc>
        <w:tc>
          <w:tcPr>
            <w:tcW w:type="dxa" w:w="2160"/>
          </w:tcPr>
          <w:p>
            <w:r>
              <w:t>120</w:t>
            </w:r>
          </w:p>
        </w:tc>
        <w:tc>
          <w:tcPr>
            <w:tcW w:type="dxa" w:w="2160"/>
          </w:tcPr>
          <w:p>
            <w:r>
              <w:t>Class-Weighted</w:t>
            </w:r>
          </w:p>
        </w:tc>
        <w:tc>
          <w:tcPr>
            <w:tcW w:type="dxa" w:w="2160"/>
          </w:tcPr>
          <w:p>
            <w:r>
              <w:t>27</w:t>
            </w:r>
          </w:p>
        </w:tc>
      </w:tr>
      <w:tr>
        <w:tc>
          <w:tcPr>
            <w:tcW w:type="dxa" w:w="2160"/>
          </w:tcPr>
          <w:p>
            <w:r>
              <w:t>5</w:t>
            </w:r>
          </w:p>
        </w:tc>
        <w:tc>
          <w:tcPr>
            <w:tcW w:type="dxa" w:w="2160"/>
          </w:tcPr>
          <w:p>
            <w:r>
              <w:t>0</w:t>
            </w:r>
          </w:p>
        </w:tc>
        <w:tc>
          <w:tcPr>
            <w:tcW w:type="dxa" w:w="2160"/>
          </w:tcPr>
          <w:p>
            <w:r>
              <w:t>Constant (y=0)</w:t>
            </w:r>
          </w:p>
        </w:tc>
        <w:tc>
          <w:tcPr>
            <w:tcW w:type="dxa" w:w="2160"/>
          </w:tcPr>
          <w:p>
            <w:r>
              <w:t>0</w:t>
            </w:r>
          </w:p>
        </w:tc>
      </w:tr>
      <w:tr>
        <w:tc>
          <w:tcPr>
            <w:tcW w:type="dxa" w:w="2160"/>
          </w:tcPr>
          <w:p>
            <w:r>
              <w:t>Total</w:t>
            </w:r>
          </w:p>
        </w:tc>
        <w:tc>
          <w:tcPr>
            <w:tcW w:type="dxa" w:w="2160"/>
          </w:tcPr>
          <w:p>
            <w:r>
              <w:t>1,012</w:t>
            </w:r>
          </w:p>
        </w:tc>
        <w:tc>
          <w:tcPr>
            <w:tcW w:type="dxa" w:w="2160"/>
          </w:tcPr>
          <w:p>
            <w:r>
              <w:t>-</w:t>
            </w:r>
          </w:p>
        </w:tc>
        <w:tc>
          <w:tcPr>
            <w:tcW w:type="dxa" w:w="2160"/>
          </w:tcPr>
          <w:p>
            <w:r>
              <w:t>103</w:t>
            </w:r>
          </w:p>
        </w:tc>
      </w:tr>
    </w:tbl>
    <w:p>
      <w:pPr>
        <w:jc w:val="center"/>
      </w:pPr>
      <w:r>
        <w:t>Table 13: Test Set Predictions Breakdown</w:t>
      </w:r>
    </w:p>
    <w:p>
      <w:r>
        <w:t>The model predicts a bankruptcy rate of 10.18% on the test set. Cluster 2 and Cluster 1 comprise the majority of test samples, similar to the training distribution. The absence of Cluster 3 in the test set further confirms that the training examples were extreme edge cases.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