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7D6" w:rsidRPr="006557D6" w:rsidRDefault="006557D6" w:rsidP="00A32386">
      <w:pPr>
        <w:spacing w:after="0" w:line="240" w:lineRule="auto"/>
      </w:pPr>
      <w:r w:rsidRPr="006557D6">
        <w:rPr>
          <w:b/>
          <w:bCs/>
        </w:rPr>
        <w:t>Task 5: Executive Business Analytics &amp; Strategic Market Report</w:t>
      </w:r>
    </w:p>
    <w:p w:rsidR="006557D6" w:rsidRPr="006557D6" w:rsidRDefault="006557D6" w:rsidP="00A32386">
      <w:pPr>
        <w:spacing w:after="0" w:line="240" w:lineRule="auto"/>
      </w:pPr>
      <w:r w:rsidRPr="006557D6">
        <w:rPr>
          <w:b/>
          <w:bCs/>
        </w:rPr>
        <w:t>Project:</w:t>
      </w:r>
      <w:r w:rsidRPr="006557D6">
        <w:t xml:space="preserve"> Food-Tech Ecosystem Economics &amp; Market Expansion Strategy (</w:t>
      </w:r>
      <w:proofErr w:type="spellStart"/>
      <w:r w:rsidRPr="006557D6">
        <w:t>Zomato</w:t>
      </w:r>
      <w:proofErr w:type="spellEnd"/>
      <w:r w:rsidRPr="006557D6">
        <w:t xml:space="preserve"> Bangalore Case Study) </w:t>
      </w:r>
    </w:p>
    <w:p w:rsidR="006557D6" w:rsidRPr="006557D6" w:rsidRDefault="006557D6" w:rsidP="00A32386">
      <w:pPr>
        <w:spacing w:after="0" w:line="240" w:lineRule="auto"/>
      </w:pPr>
      <w:r w:rsidRPr="006557D6">
        <w:rPr>
          <w:b/>
          <w:bCs/>
        </w:rPr>
        <w:t>Author:</w:t>
      </w:r>
      <w:r w:rsidRPr="006557D6">
        <w:t xml:space="preserve"> Pradeep Singh </w:t>
      </w:r>
    </w:p>
    <w:p w:rsidR="006557D6" w:rsidRPr="006557D6" w:rsidRDefault="006557D6" w:rsidP="00A32386">
      <w:pPr>
        <w:spacing w:after="0" w:line="240" w:lineRule="auto"/>
      </w:pPr>
      <w:r w:rsidRPr="006557D6">
        <w:rPr>
          <w:b/>
          <w:bCs/>
        </w:rPr>
        <w:t>Role:</w:t>
      </w:r>
      <w:r w:rsidRPr="006557D6">
        <w:t xml:space="preserve"> Data Analyst </w:t>
      </w:r>
    </w:p>
    <w:p w:rsidR="006557D6" w:rsidRPr="006557D6" w:rsidRDefault="006557D6" w:rsidP="00A32386">
      <w:pPr>
        <w:spacing w:after="0" w:line="240" w:lineRule="auto"/>
      </w:pPr>
      <w:r w:rsidRPr="006557D6">
        <w:rPr>
          <w:b/>
          <w:bCs/>
        </w:rPr>
        <w:t>GitHub Repository:</w:t>
      </w:r>
      <w:r w:rsidRPr="006557D6">
        <w:t xml:space="preserve"> </w:t>
      </w:r>
      <w:hyperlink r:id="rId5" w:history="1">
        <w:r w:rsidRPr="006557D6">
          <w:rPr>
            <w:rStyle w:val="Hyperlink"/>
            <w:i/>
            <w:iCs/>
          </w:rPr>
          <w:t>https://github.com/Pradeep-Singh-Gusain/Data-Science-Master-Portfolio.git</w:t>
        </w:r>
      </w:hyperlink>
    </w:p>
    <w:p w:rsidR="006557D6" w:rsidRPr="006557D6" w:rsidRDefault="006557D6" w:rsidP="00A32386">
      <w:pPr>
        <w:spacing w:after="0" w:line="240" w:lineRule="auto"/>
      </w:pPr>
      <w:r w:rsidRPr="006557D6">
        <w:rPr>
          <w:b/>
          <w:bCs/>
        </w:rPr>
        <w:t>Date:</w:t>
      </w:r>
      <w:r w:rsidRPr="006557D6">
        <w:t xml:space="preserve"> September 2026 </w:t>
      </w:r>
    </w:p>
    <w:p w:rsidR="006557D6" w:rsidRPr="006557D6" w:rsidRDefault="006557D6" w:rsidP="00A32386">
      <w:pPr>
        <w:spacing w:after="0" w:line="240" w:lineRule="auto"/>
      </w:pPr>
      <w:r w:rsidRPr="006557D6">
        <w:rPr>
          <w:b/>
          <w:bCs/>
        </w:rPr>
        <w:t>1. Executive Summary</w:t>
      </w:r>
    </w:p>
    <w:p w:rsidR="006557D6" w:rsidRPr="006557D6" w:rsidRDefault="006557D6" w:rsidP="00A32386">
      <w:pPr>
        <w:spacing w:after="0" w:line="240" w:lineRule="auto"/>
      </w:pPr>
      <w:r w:rsidRPr="006557D6">
        <w:t xml:space="preserve">Bangalore is the focal point of India's quick-commerce and restaurant industry. Analysis of 34,836 verified restaurant records shows that the market has bifurcated into high-velocity digital delivery and high-margin experiential dining. Online delivery is enabled across 59.5% of total food establishments, accounting for 78.5 lakh user reviews (62.8% of total customer engagement) with an average rating of 3.76 out of 5.0. </w:t>
      </w:r>
    </w:p>
    <w:p w:rsidR="006557D6" w:rsidRPr="006557D6" w:rsidRDefault="006557D6" w:rsidP="00A32386">
      <w:pPr>
        <w:spacing w:after="0" w:line="240" w:lineRule="auto"/>
      </w:pPr>
      <w:r w:rsidRPr="006557D6">
        <w:t>However, high competitive density in hubs like BTM (2,497 outlets) and Whitefield (1,954 outlets) limits organic visibility for standalone</w:t>
      </w:r>
      <w:bookmarkStart w:id="0" w:name="_GoBack"/>
      <w:bookmarkEnd w:id="0"/>
      <w:r w:rsidRPr="006557D6">
        <w:t xml:space="preserve"> businesses. Operational analysis reveals that Hybrid Full-Service restaurants (providing both online delivery and table reservation) achieve the highest brand equity with a 4.09 rating out of 5.0 and capture 34.6 lakh votes despite representing only 10.3% of total outlets. Additionally, kitchen specialization data indicates that restaurants offering 1 to 2 core cuisines achieve better rating stability and inventory control than multi-cuisine establishments. Strategic priorities must focus on </w:t>
      </w:r>
      <w:proofErr w:type="spellStart"/>
      <w:r w:rsidRPr="006557D6">
        <w:t>onboarding</w:t>
      </w:r>
      <w:proofErr w:type="spellEnd"/>
      <w:r w:rsidRPr="006557D6">
        <w:t xml:space="preserve"> the 14,115 offline restaurants, rationalizing menus for cloud kitchens, and expanding delivery reach in emerging commercial zones. </w:t>
      </w:r>
    </w:p>
    <w:p w:rsidR="006557D6" w:rsidRPr="006557D6" w:rsidRDefault="006557D6" w:rsidP="00A32386">
      <w:pPr>
        <w:spacing w:after="0" w:line="240" w:lineRule="auto"/>
      </w:pPr>
      <w:r w:rsidRPr="006557D6">
        <w:rPr>
          <w:b/>
          <w:bCs/>
        </w:rPr>
        <w:t>2. Business Objectives &amp; Analytical Questions</w:t>
      </w:r>
    </w:p>
    <w:p w:rsidR="006557D6" w:rsidRPr="006557D6" w:rsidRDefault="006557D6" w:rsidP="00A32386">
      <w:pPr>
        <w:spacing w:after="0" w:line="240" w:lineRule="auto"/>
      </w:pPr>
      <w:r w:rsidRPr="006557D6">
        <w:t xml:space="preserve">The analysis addresses six commercial questions for platform leadership and restaurant operators: </w:t>
      </w:r>
    </w:p>
    <w:p w:rsidR="006557D6" w:rsidRPr="006557D6" w:rsidRDefault="006557D6" w:rsidP="00A32386">
      <w:pPr>
        <w:numPr>
          <w:ilvl w:val="0"/>
          <w:numId w:val="1"/>
        </w:numPr>
        <w:spacing w:after="0" w:line="240" w:lineRule="auto"/>
      </w:pPr>
      <w:r w:rsidRPr="006557D6">
        <w:rPr>
          <w:b/>
          <w:bCs/>
        </w:rPr>
        <w:t>Operating Model Segmentation:</w:t>
      </w:r>
      <w:r w:rsidRPr="006557D6">
        <w:t xml:space="preserve"> What are the performance differences across Delivery-First, Traditional Offline, Premium Dine-in, and Hybrid models? </w:t>
      </w:r>
    </w:p>
    <w:p w:rsidR="006557D6" w:rsidRPr="006557D6" w:rsidRDefault="006557D6" w:rsidP="00A32386">
      <w:pPr>
        <w:numPr>
          <w:ilvl w:val="0"/>
          <w:numId w:val="1"/>
        </w:numPr>
        <w:spacing w:after="0" w:line="240" w:lineRule="auto"/>
      </w:pPr>
      <w:r w:rsidRPr="006557D6">
        <w:rPr>
          <w:b/>
          <w:bCs/>
        </w:rPr>
        <w:t>Locality Opportunity Mapping:</w:t>
      </w:r>
      <w:r w:rsidRPr="006557D6">
        <w:t xml:space="preserve"> Which </w:t>
      </w:r>
      <w:proofErr w:type="spellStart"/>
      <w:r w:rsidRPr="006557D6">
        <w:t>neighborhoods</w:t>
      </w:r>
      <w:proofErr w:type="spellEnd"/>
      <w:r w:rsidRPr="006557D6">
        <w:t xml:space="preserve"> have high spending power with manageable competition density? </w:t>
      </w:r>
    </w:p>
    <w:p w:rsidR="006557D6" w:rsidRPr="006557D6" w:rsidRDefault="006557D6" w:rsidP="00A32386">
      <w:pPr>
        <w:numPr>
          <w:ilvl w:val="0"/>
          <w:numId w:val="1"/>
        </w:numPr>
        <w:spacing w:after="0" w:line="240" w:lineRule="auto"/>
      </w:pPr>
      <w:r w:rsidRPr="006557D6">
        <w:rPr>
          <w:b/>
          <w:bCs/>
        </w:rPr>
        <w:t>Menu Complexity Impact:</w:t>
      </w:r>
      <w:r w:rsidRPr="006557D6">
        <w:t xml:space="preserve"> Does offering multiple cuisines increase sales, or does it reduce food preparation efficiency and customer ratings? </w:t>
      </w:r>
    </w:p>
    <w:p w:rsidR="006557D6" w:rsidRPr="006557D6" w:rsidRDefault="006557D6" w:rsidP="00A32386">
      <w:pPr>
        <w:numPr>
          <w:ilvl w:val="0"/>
          <w:numId w:val="1"/>
        </w:numPr>
        <w:spacing w:after="0" w:line="240" w:lineRule="auto"/>
      </w:pPr>
      <w:r w:rsidRPr="006557D6">
        <w:rPr>
          <w:b/>
          <w:bCs/>
        </w:rPr>
        <w:t>Delivery Adoption Disparities:</w:t>
      </w:r>
      <w:r w:rsidRPr="006557D6">
        <w:t xml:space="preserve"> Which Bangalore hubs lead in delivery adoption and where are the under-penetrated areas? </w:t>
      </w:r>
    </w:p>
    <w:p w:rsidR="006557D6" w:rsidRPr="006557D6" w:rsidRDefault="006557D6" w:rsidP="00A32386">
      <w:pPr>
        <w:numPr>
          <w:ilvl w:val="0"/>
          <w:numId w:val="1"/>
        </w:numPr>
        <w:spacing w:after="0" w:line="240" w:lineRule="auto"/>
      </w:pPr>
      <w:r w:rsidRPr="006557D6">
        <w:rPr>
          <w:b/>
          <w:bCs/>
        </w:rPr>
        <w:t>Format &amp; Cuisine Demand:</w:t>
      </w:r>
      <w:r w:rsidRPr="006557D6">
        <w:t xml:space="preserve"> Which meal formats and food categories generate everyday consumer volume? </w:t>
      </w:r>
    </w:p>
    <w:p w:rsidR="006557D6" w:rsidRPr="006557D6" w:rsidRDefault="006557D6" w:rsidP="00A32386">
      <w:pPr>
        <w:numPr>
          <w:ilvl w:val="0"/>
          <w:numId w:val="1"/>
        </w:numPr>
        <w:spacing w:after="0" w:line="240" w:lineRule="auto"/>
      </w:pPr>
      <w:r w:rsidRPr="006557D6">
        <w:rPr>
          <w:b/>
          <w:bCs/>
        </w:rPr>
        <w:t>Unit Economics by Channel:</w:t>
      </w:r>
      <w:r w:rsidRPr="006557D6">
        <w:t xml:space="preserve"> What is the average cost for two across different restaurant operational setups? </w:t>
      </w:r>
    </w:p>
    <w:p w:rsidR="006557D6" w:rsidRPr="006557D6" w:rsidRDefault="006557D6" w:rsidP="00A32386">
      <w:pPr>
        <w:spacing w:after="0" w:line="240" w:lineRule="auto"/>
      </w:pPr>
      <w:r w:rsidRPr="006557D6">
        <w:rPr>
          <w:b/>
          <w:bCs/>
        </w:rPr>
        <w:t>3. The 4-Quadrant Operating Model Analysis</w:t>
      </w:r>
    </w:p>
    <w:p w:rsidR="006557D6" w:rsidRPr="006557D6" w:rsidRDefault="006557D6" w:rsidP="00A32386">
      <w:pPr>
        <w:spacing w:after="0" w:line="240" w:lineRule="auto"/>
      </w:pPr>
      <w:r w:rsidRPr="006557D6">
        <w:t xml:space="preserve">Cross-referencing online delivery capability with table reservation availability produces four operating models: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445"/>
        <w:gridCol w:w="1429"/>
        <w:gridCol w:w="1868"/>
        <w:gridCol w:w="1889"/>
        <w:gridCol w:w="1966"/>
      </w:tblGrid>
      <w:tr w:rsidR="006557D6" w:rsidRPr="006557D6" w:rsidTr="006557D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rPr>
                <w:b/>
                <w:bCs/>
              </w:rPr>
              <w:t>Operating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rPr>
                <w:b/>
                <w:bCs/>
              </w:rPr>
              <w:t>Outlets 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rPr>
                <w:b/>
                <w:bCs/>
              </w:rPr>
              <w:t>Market Share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proofErr w:type="spellStart"/>
            <w:r w:rsidRPr="006557D6">
              <w:rPr>
                <w:b/>
                <w:bCs/>
              </w:rPr>
              <w:t>Avg</w:t>
            </w:r>
            <w:proofErr w:type="spellEnd"/>
            <w:r w:rsidRPr="006557D6">
              <w:rPr>
                <w:b/>
                <w:bCs/>
              </w:rPr>
              <w:t xml:space="preserve"> Rating (out of 5.0)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proofErr w:type="spellStart"/>
            <w:r w:rsidRPr="006557D6">
              <w:rPr>
                <w:b/>
                <w:bCs/>
              </w:rPr>
              <w:t>Avg</w:t>
            </w:r>
            <w:proofErr w:type="spellEnd"/>
            <w:r w:rsidRPr="006557D6">
              <w:rPr>
                <w:b/>
                <w:bCs/>
              </w:rPr>
              <w:t xml:space="preserve"> Cost for Two (</w:t>
            </w:r>
            <w:proofErr w:type="spellStart"/>
            <w:r w:rsidRPr="006557D6">
              <w:rPr>
                <w:b/>
                <w:bCs/>
              </w:rPr>
              <w:t>Rs</w:t>
            </w:r>
            <w:proofErr w:type="spellEnd"/>
            <w:r w:rsidRPr="006557D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rPr>
                <w:b/>
                <w:bCs/>
              </w:rPr>
              <w:t>Total Customer Votes</w:t>
            </w:r>
          </w:p>
        </w:tc>
      </w:tr>
      <w:tr w:rsidR="006557D6" w:rsidRPr="006557D6" w:rsidTr="006557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rPr>
                <w:b/>
                <w:bCs/>
              </w:rPr>
              <w:t>Hybrid Full-Service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t>3,595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t>10.32%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t>4.09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proofErr w:type="spellStart"/>
            <w:r w:rsidRPr="006557D6">
              <w:t>Rs</w:t>
            </w:r>
            <w:proofErr w:type="spellEnd"/>
            <w:r w:rsidRPr="006557D6">
              <w:t xml:space="preserve"> 1,170.80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t xml:space="preserve">3,460,820 </w:t>
            </w:r>
          </w:p>
        </w:tc>
      </w:tr>
      <w:tr w:rsidR="006557D6" w:rsidRPr="006557D6" w:rsidTr="006557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rPr>
                <w:b/>
                <w:bCs/>
              </w:rPr>
              <w:t>Delivery-First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t>17,126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t>49.16%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t>3.68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proofErr w:type="spellStart"/>
            <w:r w:rsidRPr="006557D6">
              <w:t>Rs</w:t>
            </w:r>
            <w:proofErr w:type="spellEnd"/>
            <w:r w:rsidRPr="006557D6">
              <w:t xml:space="preserve"> 425.90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t xml:space="preserve">4,391,365 </w:t>
            </w:r>
          </w:p>
        </w:tc>
      </w:tr>
      <w:tr w:rsidR="006557D6" w:rsidRPr="006557D6" w:rsidTr="006557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rPr>
                <w:b/>
                <w:bCs/>
              </w:rPr>
              <w:t>Premium Dine-in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t>1,739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t>4.99%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t>4.01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proofErr w:type="spellStart"/>
            <w:r w:rsidRPr="006557D6">
              <w:t>Rs</w:t>
            </w:r>
            <w:proofErr w:type="spellEnd"/>
            <w:r w:rsidRPr="006557D6">
              <w:t xml:space="preserve"> 1,415.50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t xml:space="preserve">1,452,470 </w:t>
            </w:r>
          </w:p>
        </w:tc>
      </w:tr>
      <w:tr w:rsidR="006557D6" w:rsidRPr="006557D6" w:rsidTr="006557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rPr>
                <w:b/>
                <w:bCs/>
              </w:rPr>
              <w:t>Traditional Offline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t>12,376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t>35.53%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t>3.68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proofErr w:type="spellStart"/>
            <w:r w:rsidRPr="006557D6">
              <w:t>Rs</w:t>
            </w:r>
            <w:proofErr w:type="spellEnd"/>
            <w:r w:rsidRPr="006557D6">
              <w:t xml:space="preserve"> 542.10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557D6" w:rsidRPr="006557D6" w:rsidRDefault="006557D6" w:rsidP="00A32386">
            <w:pPr>
              <w:spacing w:after="0" w:line="240" w:lineRule="auto"/>
            </w:pPr>
            <w:r w:rsidRPr="006557D6">
              <w:t xml:space="preserve">3,371,296 </w:t>
            </w:r>
          </w:p>
        </w:tc>
      </w:tr>
    </w:tbl>
    <w:p w:rsidR="006557D6" w:rsidRPr="006557D6" w:rsidRDefault="006557D6" w:rsidP="00A32386">
      <w:pPr>
        <w:spacing w:after="0" w:line="240" w:lineRule="auto"/>
      </w:pPr>
      <w:r w:rsidRPr="006557D6">
        <w:rPr>
          <w:b/>
          <w:bCs/>
        </w:rPr>
        <w:t>Core Takeaways:</w:t>
      </w:r>
    </w:p>
    <w:p w:rsidR="006557D6" w:rsidRPr="006557D6" w:rsidRDefault="006557D6" w:rsidP="00A32386">
      <w:pPr>
        <w:numPr>
          <w:ilvl w:val="0"/>
          <w:numId w:val="2"/>
        </w:numPr>
        <w:spacing w:after="0" w:line="240" w:lineRule="auto"/>
      </w:pPr>
      <w:r w:rsidRPr="006557D6">
        <w:rPr>
          <w:b/>
          <w:bCs/>
        </w:rPr>
        <w:t>Hybrid Model Strength:</w:t>
      </w:r>
      <w:r w:rsidRPr="006557D6">
        <w:t xml:space="preserve"> Hybrid restaurants hold a 4.09 rating out of 5.0, demonstrating that combining in-store dining with home delivery generates the strongest consumer loyalty. </w:t>
      </w:r>
    </w:p>
    <w:p w:rsidR="006557D6" w:rsidRPr="006557D6" w:rsidRDefault="006557D6" w:rsidP="00A32386">
      <w:pPr>
        <w:numPr>
          <w:ilvl w:val="0"/>
          <w:numId w:val="2"/>
        </w:numPr>
        <w:spacing w:after="0" w:line="240" w:lineRule="auto"/>
      </w:pPr>
      <w:r w:rsidRPr="006557D6">
        <w:rPr>
          <w:b/>
          <w:bCs/>
        </w:rPr>
        <w:t>Everyday Volume:</w:t>
      </w:r>
      <w:r w:rsidRPr="006557D6">
        <w:t xml:space="preserve"> Delivery-First outlets represent 49.16% of the market with an accessible ticket size of </w:t>
      </w:r>
      <w:proofErr w:type="spellStart"/>
      <w:r w:rsidRPr="006557D6">
        <w:t>Rs</w:t>
      </w:r>
      <w:proofErr w:type="spellEnd"/>
      <w:r w:rsidRPr="006557D6">
        <w:t xml:space="preserve"> 425.90 for two, serving regular lunch and dinner needs. </w:t>
      </w:r>
    </w:p>
    <w:p w:rsidR="006557D6" w:rsidRPr="006557D6" w:rsidRDefault="006557D6" w:rsidP="00A32386">
      <w:pPr>
        <w:numPr>
          <w:ilvl w:val="0"/>
          <w:numId w:val="2"/>
        </w:numPr>
        <w:spacing w:after="0" w:line="240" w:lineRule="auto"/>
      </w:pPr>
      <w:r w:rsidRPr="006557D6">
        <w:rPr>
          <w:b/>
          <w:bCs/>
        </w:rPr>
        <w:t>Offline Opportunity:</w:t>
      </w:r>
      <w:r w:rsidRPr="006557D6">
        <w:t xml:space="preserve"> The 12,376 traditional offline outlets represent the platform's primary </w:t>
      </w:r>
      <w:proofErr w:type="spellStart"/>
      <w:r w:rsidRPr="006557D6">
        <w:t>onboarding</w:t>
      </w:r>
      <w:proofErr w:type="spellEnd"/>
      <w:r w:rsidRPr="006557D6">
        <w:t xml:space="preserve"> target to expand delivery coverage. </w:t>
      </w:r>
    </w:p>
    <w:p w:rsidR="006557D6" w:rsidRPr="006557D6" w:rsidRDefault="006557D6" w:rsidP="00A32386">
      <w:pPr>
        <w:spacing w:after="0" w:line="240" w:lineRule="auto"/>
      </w:pPr>
      <w:r w:rsidRPr="006557D6">
        <w:rPr>
          <w:b/>
          <w:bCs/>
        </w:rPr>
        <w:t>4. Menu Specialization vs. Operational Consistency</w:t>
      </w:r>
    </w:p>
    <w:p w:rsidR="006557D6" w:rsidRPr="006557D6" w:rsidRDefault="006557D6" w:rsidP="00A32386">
      <w:pPr>
        <w:spacing w:after="0" w:line="240" w:lineRule="auto"/>
      </w:pPr>
      <w:r w:rsidRPr="006557D6">
        <w:t>Examining the number of cuisines offered shows a direct link between menu size and customer feedback:</w:t>
      </w:r>
    </w:p>
    <w:p w:rsidR="006557D6" w:rsidRPr="006557D6" w:rsidRDefault="006557D6" w:rsidP="00A32386">
      <w:pPr>
        <w:numPr>
          <w:ilvl w:val="0"/>
          <w:numId w:val="3"/>
        </w:numPr>
        <w:spacing w:after="0" w:line="240" w:lineRule="auto"/>
      </w:pPr>
      <w:r w:rsidRPr="006557D6">
        <w:rPr>
          <w:b/>
          <w:bCs/>
        </w:rPr>
        <w:lastRenderedPageBreak/>
        <w:t>Focused Kitchens (1–2 Cuisines):</w:t>
      </w:r>
      <w:r w:rsidRPr="006557D6">
        <w:t xml:space="preserve"> 20,442 outlets (58.7% share) average a 3.78 rating with an average cost of </w:t>
      </w:r>
      <w:proofErr w:type="spellStart"/>
      <w:r w:rsidRPr="006557D6">
        <w:t>Rs</w:t>
      </w:r>
      <w:proofErr w:type="spellEnd"/>
      <w:r w:rsidRPr="006557D6">
        <w:t xml:space="preserve"> 512.40 for two. Tighter menus reduce food waste and preparation delays. </w:t>
      </w:r>
    </w:p>
    <w:p w:rsidR="006557D6" w:rsidRPr="006557D6" w:rsidRDefault="006557D6" w:rsidP="00A32386">
      <w:pPr>
        <w:numPr>
          <w:ilvl w:val="0"/>
          <w:numId w:val="3"/>
        </w:numPr>
        <w:spacing w:after="0" w:line="240" w:lineRule="auto"/>
      </w:pPr>
      <w:r w:rsidRPr="006557D6">
        <w:rPr>
          <w:b/>
          <w:bCs/>
        </w:rPr>
        <w:t>Standard Kitchens (3–4 Cuisines):</w:t>
      </w:r>
      <w:r w:rsidRPr="006557D6">
        <w:t xml:space="preserve"> 12,185 outlets (35.0% share) average a 3.71 rating with an average cost of </w:t>
      </w:r>
      <w:proofErr w:type="spellStart"/>
      <w:r w:rsidRPr="006557D6">
        <w:t>Rs</w:t>
      </w:r>
      <w:proofErr w:type="spellEnd"/>
      <w:r w:rsidRPr="006557D6">
        <w:t xml:space="preserve"> 695.80.</w:t>
      </w:r>
    </w:p>
    <w:p w:rsidR="006557D6" w:rsidRPr="006557D6" w:rsidRDefault="006557D6" w:rsidP="00A32386">
      <w:pPr>
        <w:numPr>
          <w:ilvl w:val="0"/>
          <w:numId w:val="3"/>
        </w:numPr>
        <w:spacing w:after="0" w:line="240" w:lineRule="auto"/>
      </w:pPr>
      <w:r w:rsidRPr="006557D6">
        <w:rPr>
          <w:b/>
          <w:bCs/>
        </w:rPr>
        <w:t>Extensive Menus (5+ Cuisines):</w:t>
      </w:r>
      <w:r w:rsidRPr="006557D6">
        <w:t xml:space="preserve"> 2,209 outlets (6.3% share) drop to a 3.64 average rating despite charging higher prices (</w:t>
      </w:r>
      <w:proofErr w:type="spellStart"/>
      <w:r w:rsidRPr="006557D6">
        <w:t>Rs</w:t>
      </w:r>
      <w:proofErr w:type="spellEnd"/>
      <w:r w:rsidRPr="006557D6">
        <w:t xml:space="preserve"> 880.20 for two) due to operational complexity. </w:t>
      </w:r>
    </w:p>
    <w:p w:rsidR="006557D6" w:rsidRPr="006557D6" w:rsidRDefault="006557D6" w:rsidP="00A32386">
      <w:pPr>
        <w:spacing w:after="0" w:line="240" w:lineRule="auto"/>
      </w:pPr>
      <w:r w:rsidRPr="006557D6">
        <w:rPr>
          <w:b/>
          <w:bCs/>
        </w:rPr>
        <w:t>5. Comprehensive Dashboards Summary</w:t>
      </w:r>
    </w:p>
    <w:p w:rsidR="006557D6" w:rsidRPr="006557D6" w:rsidRDefault="006557D6" w:rsidP="00A32386">
      <w:pPr>
        <w:spacing w:after="0" w:line="240" w:lineRule="auto"/>
      </w:pPr>
      <w:r w:rsidRPr="006557D6">
        <w:rPr>
          <w:b/>
          <w:bCs/>
        </w:rPr>
        <w:t>Dashboard 1: Market Structure &amp; Geographic Strategy (zomato_analytics_dashboard_part1.png)</w:t>
      </w:r>
    </w:p>
    <w:p w:rsidR="006557D6" w:rsidRPr="006557D6" w:rsidRDefault="006557D6" w:rsidP="00A32386">
      <w:pPr>
        <w:numPr>
          <w:ilvl w:val="0"/>
          <w:numId w:val="4"/>
        </w:numPr>
        <w:spacing w:after="0" w:line="240" w:lineRule="auto"/>
      </w:pPr>
      <w:r w:rsidRPr="006557D6">
        <w:rPr>
          <w:b/>
          <w:bCs/>
        </w:rPr>
        <w:t>Locality Delivery Adoption:</w:t>
      </w:r>
      <w:r w:rsidRPr="006557D6">
        <w:t xml:space="preserve"> BTM (68%), HSR (65%), and </w:t>
      </w:r>
      <w:proofErr w:type="spellStart"/>
      <w:r w:rsidRPr="006557D6">
        <w:t>Koramangala</w:t>
      </w:r>
      <w:proofErr w:type="spellEnd"/>
      <w:r w:rsidRPr="006557D6">
        <w:t xml:space="preserve"> (64%) show the highest delivery penetration, while Whitefield (53%) has lower adoption relative to its corporate population, highlighting an expansion opportunity. </w:t>
      </w:r>
    </w:p>
    <w:p w:rsidR="006557D6" w:rsidRPr="006557D6" w:rsidRDefault="006557D6" w:rsidP="00A32386">
      <w:pPr>
        <w:numPr>
          <w:ilvl w:val="0"/>
          <w:numId w:val="4"/>
        </w:numPr>
        <w:spacing w:after="0" w:line="240" w:lineRule="auto"/>
      </w:pPr>
      <w:r w:rsidRPr="006557D6">
        <w:rPr>
          <w:b/>
          <w:bCs/>
        </w:rPr>
        <w:t>Format Footprint:</w:t>
      </w:r>
      <w:r w:rsidRPr="006557D6">
        <w:t xml:space="preserve"> Quick Bites (over 13,800 outlets) and Casual Dining (over 9,600 outlets) account for more than 67% of Bangalore's food landscape. </w:t>
      </w:r>
    </w:p>
    <w:p w:rsidR="006557D6" w:rsidRPr="006557D6" w:rsidRDefault="006557D6" w:rsidP="00A32386">
      <w:pPr>
        <w:numPr>
          <w:ilvl w:val="0"/>
          <w:numId w:val="4"/>
        </w:numPr>
        <w:spacing w:after="0" w:line="240" w:lineRule="auto"/>
      </w:pPr>
      <w:r w:rsidRPr="006557D6">
        <w:rPr>
          <w:b/>
          <w:bCs/>
        </w:rPr>
        <w:t>Operating Model Split:</w:t>
      </w:r>
      <w:r w:rsidRPr="006557D6">
        <w:t xml:space="preserve"> Delivery-First holds 49.2%, Traditional Offline represents 35.5%, and Hybrid/Premium models make up the remaining 15.3%. </w:t>
      </w:r>
    </w:p>
    <w:p w:rsidR="006557D6" w:rsidRPr="006557D6" w:rsidRDefault="006557D6" w:rsidP="00A32386">
      <w:pPr>
        <w:numPr>
          <w:ilvl w:val="0"/>
          <w:numId w:val="4"/>
        </w:numPr>
        <w:spacing w:after="0" w:line="240" w:lineRule="auto"/>
      </w:pPr>
      <w:r w:rsidRPr="006557D6">
        <w:rPr>
          <w:b/>
          <w:bCs/>
        </w:rPr>
        <w:t>Rating Spread:</w:t>
      </w:r>
      <w:r w:rsidRPr="006557D6">
        <w:t xml:space="preserve"> Boxplot analysis confirms that Focused menus maintain a tighter median rating with fewer low-rating outliers. </w:t>
      </w:r>
    </w:p>
    <w:p w:rsidR="006557D6" w:rsidRPr="006557D6" w:rsidRDefault="006557D6" w:rsidP="00A32386">
      <w:pPr>
        <w:spacing w:after="0" w:line="240" w:lineRule="auto"/>
      </w:pPr>
      <w:r w:rsidRPr="006557D6">
        <w:rPr>
          <w:b/>
          <w:bCs/>
        </w:rPr>
        <w:t>Dashboard 2: Economics &amp; Competitive Landscape (zomato_analytics_dashboard_part2.png)</w:t>
      </w:r>
    </w:p>
    <w:p w:rsidR="006557D6" w:rsidRPr="006557D6" w:rsidRDefault="006557D6" w:rsidP="00A32386">
      <w:pPr>
        <w:numPr>
          <w:ilvl w:val="0"/>
          <w:numId w:val="5"/>
        </w:numPr>
        <w:spacing w:after="0" w:line="240" w:lineRule="auto"/>
      </w:pPr>
      <w:r w:rsidRPr="006557D6">
        <w:rPr>
          <w:b/>
          <w:bCs/>
        </w:rPr>
        <w:t>Top Cuisines:</w:t>
      </w:r>
      <w:r w:rsidRPr="006557D6">
        <w:t xml:space="preserve"> North Indian (over 14,500 mentions), Chinese (over 10,500 mentions), and South Indian (over 5,600 mentions) represent the highest everyday volume. </w:t>
      </w:r>
    </w:p>
    <w:p w:rsidR="006557D6" w:rsidRPr="006557D6" w:rsidRDefault="006557D6" w:rsidP="00A32386">
      <w:pPr>
        <w:numPr>
          <w:ilvl w:val="0"/>
          <w:numId w:val="5"/>
        </w:numPr>
        <w:spacing w:after="0" w:line="240" w:lineRule="auto"/>
      </w:pPr>
      <w:r w:rsidRPr="006557D6">
        <w:rPr>
          <w:b/>
          <w:bCs/>
        </w:rPr>
        <w:t>Leading Brands:</w:t>
      </w:r>
      <w:r w:rsidRPr="006557D6">
        <w:t xml:space="preserve"> Cafe Coffee Day (96 branches), </w:t>
      </w:r>
      <w:proofErr w:type="spellStart"/>
      <w:r w:rsidRPr="006557D6">
        <w:t>Onesta</w:t>
      </w:r>
      <w:proofErr w:type="spellEnd"/>
      <w:r w:rsidRPr="006557D6">
        <w:t xml:space="preserve"> (85 branches), and Empire Restaurant (71 branches) maintain the largest branch footprint. </w:t>
      </w:r>
    </w:p>
    <w:p w:rsidR="006557D6" w:rsidRPr="006557D6" w:rsidRDefault="006557D6" w:rsidP="00A32386">
      <w:pPr>
        <w:numPr>
          <w:ilvl w:val="0"/>
          <w:numId w:val="5"/>
        </w:numPr>
        <w:spacing w:after="0" w:line="240" w:lineRule="auto"/>
      </w:pPr>
      <w:r w:rsidRPr="006557D6">
        <w:rPr>
          <w:b/>
          <w:bCs/>
        </w:rPr>
        <w:t>Ticket Size Disparity:</w:t>
      </w:r>
      <w:r w:rsidRPr="006557D6">
        <w:t xml:space="preserve"> Premium Dine-in averages </w:t>
      </w:r>
      <w:proofErr w:type="spellStart"/>
      <w:r w:rsidRPr="006557D6">
        <w:t>Rs</w:t>
      </w:r>
      <w:proofErr w:type="spellEnd"/>
      <w:r w:rsidRPr="006557D6">
        <w:t xml:space="preserve"> 1,415 for two, followed by Hybrid at </w:t>
      </w:r>
      <w:proofErr w:type="spellStart"/>
      <w:r w:rsidRPr="006557D6">
        <w:t>Rs</w:t>
      </w:r>
      <w:proofErr w:type="spellEnd"/>
      <w:r w:rsidRPr="006557D6">
        <w:t xml:space="preserve"> 1,170, Traditional Offline at </w:t>
      </w:r>
      <w:proofErr w:type="spellStart"/>
      <w:r w:rsidRPr="006557D6">
        <w:t>Rs</w:t>
      </w:r>
      <w:proofErr w:type="spellEnd"/>
      <w:r w:rsidRPr="006557D6">
        <w:t xml:space="preserve"> 542, and Delivery-First at </w:t>
      </w:r>
      <w:proofErr w:type="spellStart"/>
      <w:r w:rsidRPr="006557D6">
        <w:t>Rs</w:t>
      </w:r>
      <w:proofErr w:type="spellEnd"/>
      <w:r w:rsidRPr="006557D6">
        <w:t xml:space="preserve"> 426. </w:t>
      </w:r>
    </w:p>
    <w:p w:rsidR="006557D6" w:rsidRPr="006557D6" w:rsidRDefault="006557D6" w:rsidP="00A32386">
      <w:pPr>
        <w:numPr>
          <w:ilvl w:val="0"/>
          <w:numId w:val="5"/>
        </w:numPr>
        <w:spacing w:after="0" w:line="240" w:lineRule="auto"/>
      </w:pPr>
      <w:r w:rsidRPr="006557D6">
        <w:rPr>
          <w:b/>
          <w:bCs/>
        </w:rPr>
        <w:t>Density vs. Spend:</w:t>
      </w:r>
      <w:r w:rsidRPr="006557D6">
        <w:t xml:space="preserve"> </w:t>
      </w:r>
      <w:proofErr w:type="spellStart"/>
      <w:r w:rsidRPr="006557D6">
        <w:t>Indiranagar</w:t>
      </w:r>
      <w:proofErr w:type="spellEnd"/>
      <w:r w:rsidRPr="006557D6">
        <w:t xml:space="preserve"> and </w:t>
      </w:r>
      <w:proofErr w:type="spellStart"/>
      <w:r w:rsidRPr="006557D6">
        <w:t>Koramangala</w:t>
      </w:r>
      <w:proofErr w:type="spellEnd"/>
      <w:r w:rsidRPr="006557D6">
        <w:t xml:space="preserve"> represent High-Density, High-Spend areas (above </w:t>
      </w:r>
      <w:proofErr w:type="spellStart"/>
      <w:r w:rsidRPr="006557D6">
        <w:t>Rs</w:t>
      </w:r>
      <w:proofErr w:type="spellEnd"/>
      <w:r w:rsidRPr="006557D6">
        <w:t xml:space="preserve"> 700 for two), while BTM and </w:t>
      </w:r>
      <w:proofErr w:type="spellStart"/>
      <w:r w:rsidRPr="006557D6">
        <w:t>Marathahalli</w:t>
      </w:r>
      <w:proofErr w:type="spellEnd"/>
      <w:r w:rsidRPr="006557D6">
        <w:t xml:space="preserve"> are High-Density, Budget-Spend clusters (</w:t>
      </w:r>
      <w:proofErr w:type="spellStart"/>
      <w:r w:rsidRPr="006557D6">
        <w:t>Rs</w:t>
      </w:r>
      <w:proofErr w:type="spellEnd"/>
      <w:r w:rsidRPr="006557D6">
        <w:t xml:space="preserve"> 450 to </w:t>
      </w:r>
      <w:proofErr w:type="spellStart"/>
      <w:r w:rsidRPr="006557D6">
        <w:t>Rs</w:t>
      </w:r>
      <w:proofErr w:type="spellEnd"/>
      <w:r w:rsidRPr="006557D6">
        <w:t xml:space="preserve"> 500 for two). </w:t>
      </w:r>
    </w:p>
    <w:p w:rsidR="006557D6" w:rsidRPr="006557D6" w:rsidRDefault="006557D6" w:rsidP="00A32386">
      <w:pPr>
        <w:spacing w:after="0" w:line="240" w:lineRule="auto"/>
      </w:pPr>
      <w:r w:rsidRPr="006557D6">
        <w:rPr>
          <w:b/>
          <w:bCs/>
        </w:rPr>
        <w:t>6. Actionable Business Recommendations</w:t>
      </w:r>
    </w:p>
    <w:p w:rsidR="006557D6" w:rsidRPr="006557D6" w:rsidRDefault="006557D6" w:rsidP="00A32386">
      <w:pPr>
        <w:numPr>
          <w:ilvl w:val="0"/>
          <w:numId w:val="6"/>
        </w:numPr>
        <w:spacing w:after="0" w:line="240" w:lineRule="auto"/>
      </w:pPr>
      <w:r w:rsidRPr="006557D6">
        <w:rPr>
          <w:b/>
          <w:bCs/>
        </w:rPr>
        <w:t>Target Delivery Expansion in Corporate Zones (Priority: High):</w:t>
      </w:r>
      <w:r w:rsidRPr="006557D6">
        <w:t xml:space="preserve"> Deploy delivery-focused cloud kitchens in Whitefield and </w:t>
      </w:r>
      <w:proofErr w:type="spellStart"/>
      <w:r w:rsidRPr="006557D6">
        <w:t>Bellandur</w:t>
      </w:r>
      <w:proofErr w:type="spellEnd"/>
      <w:r w:rsidRPr="006557D6">
        <w:t xml:space="preserve"> with focused North Indian and Biryani menus to serve corporate lunch demand. </w:t>
      </w:r>
    </w:p>
    <w:p w:rsidR="006557D6" w:rsidRPr="006557D6" w:rsidRDefault="006557D6" w:rsidP="00A32386">
      <w:pPr>
        <w:numPr>
          <w:ilvl w:val="0"/>
          <w:numId w:val="6"/>
        </w:numPr>
        <w:spacing w:after="0" w:line="240" w:lineRule="auto"/>
      </w:pPr>
      <w:r w:rsidRPr="006557D6">
        <w:rPr>
          <w:b/>
          <w:bCs/>
        </w:rPr>
        <w:t>Menu Rationalization for Low-Rated Outlets (Priority: Medium):</w:t>
      </w:r>
      <w:r w:rsidRPr="006557D6">
        <w:t xml:space="preserve"> Encourage multi-cuisine restaurants with ratings below 3.5 to reduce their menus to their top 2 selling cuisines to improve kitchen speed and rating consistency. </w:t>
      </w:r>
    </w:p>
    <w:p w:rsidR="006557D6" w:rsidRPr="006557D6" w:rsidRDefault="006557D6" w:rsidP="00A32386">
      <w:pPr>
        <w:numPr>
          <w:ilvl w:val="0"/>
          <w:numId w:val="6"/>
        </w:numPr>
        <w:spacing w:after="0" w:line="240" w:lineRule="auto"/>
      </w:pPr>
      <w:r w:rsidRPr="006557D6">
        <w:rPr>
          <w:b/>
          <w:bCs/>
        </w:rPr>
        <w:t>Enable Delivery for Premium Dine-In Outlets (Priority: High):</w:t>
      </w:r>
      <w:r w:rsidRPr="006557D6">
        <w:t xml:space="preserve"> </w:t>
      </w:r>
      <w:proofErr w:type="spellStart"/>
      <w:r w:rsidRPr="006557D6">
        <w:t>Onboard</w:t>
      </w:r>
      <w:proofErr w:type="spellEnd"/>
      <w:r w:rsidRPr="006557D6">
        <w:t xml:space="preserve"> the 1,739 Premium Dine-in restaurants with premium packaging for home delivery to generate revenue during weekday non-peak hours.</w:t>
      </w:r>
    </w:p>
    <w:p w:rsidR="001E550D" w:rsidRDefault="001E550D" w:rsidP="00A32386">
      <w:pPr>
        <w:spacing w:after="0" w:line="240" w:lineRule="auto"/>
      </w:pPr>
    </w:p>
    <w:sectPr w:rsidR="001E550D" w:rsidSect="0069302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A538A"/>
    <w:multiLevelType w:val="multilevel"/>
    <w:tmpl w:val="3CAC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270DB"/>
    <w:multiLevelType w:val="multilevel"/>
    <w:tmpl w:val="9438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F1F12"/>
    <w:multiLevelType w:val="multilevel"/>
    <w:tmpl w:val="5C2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50A32"/>
    <w:multiLevelType w:val="multilevel"/>
    <w:tmpl w:val="B5C8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25AB3"/>
    <w:multiLevelType w:val="multilevel"/>
    <w:tmpl w:val="99B6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134AF"/>
    <w:multiLevelType w:val="multilevel"/>
    <w:tmpl w:val="CBD4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B7F"/>
    <w:rsid w:val="001E550D"/>
    <w:rsid w:val="006557D6"/>
    <w:rsid w:val="00693023"/>
    <w:rsid w:val="008D4B7F"/>
    <w:rsid w:val="00A3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DD3A9"/>
  <w15:chartTrackingRefBased/>
  <w15:docId w15:val="{31FD193F-1460-4DB1-A294-F5620AC62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7D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557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7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2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2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radeep-Singh-Gusain/Data-Science-Master-Portfoli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949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2026-09-12T09:18:00Z</dcterms:created>
  <dcterms:modified xsi:type="dcterms:W3CDTF">2026-09-12T09:21:00Z</dcterms:modified>
</cp:coreProperties>
</file>