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0E7C7B"/>
          <w:sz w:val="22"/>
          <w:szCs w:val="22"/>
        </w:rPr>
        <w:t xml:space="preserve">PROJECT REPORT</w:t>
      </w:r>
    </w:p>
    <w:p>
      <w:pPr>
        <w:spacing w:after="100" w:before="200"/>
        <w:jc w:val="center"/>
      </w:pPr>
      <w:r>
        <w:rPr>
          <w:b/>
          <w:bCs/>
          <w:color w:val="1F3864"/>
          <w:sz w:val="52"/>
          <w:szCs w:val="52"/>
        </w:rPr>
        <w:t xml:space="preserve">Genomic Alteration Prediction</w:t>
      </w:r>
    </w:p>
    <w:p>
      <w:pPr>
        <w:spacing w:after="400"/>
        <w:jc w:val="center"/>
      </w:pPr>
      <w:r>
        <w:rPr>
          <w:b/>
          <w:bCs/>
          <w:color w:val="1F3864"/>
          <w:sz w:val="52"/>
          <w:szCs w:val="52"/>
        </w:rPr>
        <w:t xml:space="preserve">using Histopathology Reports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An NLP + Machine Learning pipeline for predicting FDA-drug-targetable cancer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mutations directly from pathology report text — no genomic sequencing required.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520"/>
            <w:shd w:fill="EEF3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8,796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Patients Analyzed</w:t>
            </w:r>
          </w:p>
        </w:tc>
        <w:tc>
          <w:tcPr>
            <w:tcW w:type="dxa" w:w="2520"/>
            <w:shd w:fill="EEF3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3.5 GB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Mutation Data (MAF)</w:t>
            </w:r>
          </w:p>
        </w:tc>
        <w:tc>
          <w:tcPr>
            <w:tcW w:type="dxa" w:w="2520"/>
            <w:shd w:fill="EEF3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25,000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TF-IDF Features</w:t>
            </w:r>
          </w:p>
        </w:tc>
        <w:tc>
          <w:tcPr>
            <w:tcW w:type="dxa" w:w="2520"/>
            <w:shd w:fill="EEF3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0.86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Clinical AUC-ROC</w:t>
            </w:r>
          </w:p>
        </w:tc>
      </w:tr>
    </w:tbl>
    <w:p>
      <w:pPr>
        <w:spacing w:before="700"/>
        <w:jc w:val="center"/>
      </w:pPr>
      <w:r>
        <w:rPr>
          <w:color w:val="595959"/>
          <w:sz w:val="19"/>
          <w:szCs w:val="19"/>
        </w:rPr>
        <w:t xml:space="preserve">Dataset: TCGA MC3 Pan-Cancer Mutation Data + TCGA Pathology Reports (GDC Data Portal)</w:t>
      </w:r>
    </w:p>
    <w:p>
      <w:pPr>
        <w:spacing w:before="60"/>
        <w:jc w:val="center"/>
      </w:pPr>
      <w:r>
        <w:rPr>
          <w:color w:val="595959"/>
          <w:sz w:val="19"/>
          <w:szCs w:val="19"/>
        </w:rPr>
        <w:t xml:space="preserve">Models: Logistic Regression · Random Forest · SGD · Bio_ClinicalBERT Ensemble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 Executive Summary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Genomic sequencing is the gold-standard way to find cancer mutations that can be treated with an existing FDA-approved targeted drug — but it is slow and expensive. This project asks a simpler question: can we predict a patient's likely mutation status just from the pathology report a doctor already writes after every biopsy?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We built a full pipeline — from raw 3.5 GB genomic files down to a clinical decision report — that reads report text and predicts whether a patient likely carries a “Targetable” mutation (one with an approved drug), a “Non-Targetable” mutation, or no meaningful mutation at all. Two feature-extraction approaches were compared: classic TF-IDF word statistics, and Bio_ClinicalBERT, a deep learning model pre-trained on clinical text. Combining both in an ensemble gave the strongest result.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rPr>
          <w:tblHeader/>
        </w:trPr>
        <w:tc>
          <w:tcPr>
            <w:tcW w:type="dxa" w:w="7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Headline Result</w:t>
            </w:r>
          </w:p>
        </w:tc>
        <w:tc>
          <w:tcPr>
            <w:tcW w:type="dxa" w:w="3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Best held-out test AUC (TF-IDF, Logistic Regression)</w:t>
            </w:r>
          </w:p>
        </w:tc>
        <w:tc>
          <w:tcPr>
            <w:tcW w:type="dxa" w:w="3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0.7329</w:t>
            </w:r>
          </w:p>
        </w:tc>
      </w:tr>
      <w:tr>
        <w:tc>
          <w:tcPr>
            <w:tcW w:type="dxa" w:w="70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Ensemble AUC (TF-IDF + BERT combined)</w:t>
            </w:r>
          </w:p>
        </w:tc>
        <w:tc>
          <w:tcPr>
            <w:tcW w:type="dxa" w:w="30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0.7382</w:t>
            </w:r>
          </w:p>
        </w:tc>
      </w:tr>
      <w:tr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Full-cohort clinical AUC (final decision report)</w:t>
            </w:r>
          </w:p>
        </w:tc>
        <w:tc>
          <w:tcPr>
            <w:tcW w:type="dxa" w:w="3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0.8576</w:t>
            </w:r>
          </w:p>
        </w:tc>
      </w:tr>
      <w:tr>
        <w:tc>
          <w:tcPr>
            <w:tcW w:type="dxa" w:w="70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Best single-gene AUC (IDH1 → Ivosidenib)</w:t>
            </w:r>
          </w:p>
        </w:tc>
        <w:tc>
          <w:tcPr>
            <w:tcW w:type="dxa" w:w="30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0.9187</w:t>
            </w:r>
          </w:p>
        </w:tc>
      </w:tr>
      <w:tr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Patients with a targetable mutation</w:t>
            </w:r>
          </w:p>
        </w:tc>
        <w:tc>
          <w:tcPr>
            <w:tcW w:type="dxa" w:w="3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5,880 / 8,796  (66.8%)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1.1 — Key results at a glance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 Dataset Overview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Two public datasets from the GDC Data Portal (The Cancer Genome Atlas) were combined: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52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mc3.v0.2.8.PUBLIC.maf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~3.5 GB</w:t>
            </w:r>
          </w:p>
        </w:tc>
        <w:tc>
          <w:tcPr>
            <w:tcW w:type="dxa" w:w="5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Every mutated gene found via DNA sequencing, for every patient sample</w:t>
            </w:r>
          </w:p>
        </w:tc>
      </w:tr>
      <w:tr>
        <w:tc>
          <w:tcPr>
            <w:tcW w:type="dxa" w:w="32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TCGA_Reports.csv</w:t>
            </w:r>
          </w:p>
        </w:tc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~30 MB</w:t>
            </w:r>
          </w:p>
        </w:tc>
        <w:tc>
          <w:tcPr>
            <w:tcW w:type="dxa" w:w="5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Pathology report text written by doctors after each biopsy, per patient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2.1 — Raw input files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Patient Matching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Not every patient appears in both files. The pipeline keeps only patients present in both the mutation data and the reports — an inner join on Patient ID.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rPr>
          <w:tblHeader/>
        </w:trPr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Unique patients in mutation file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10,224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Unique patients in reports file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9,523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Final matched patients (used for ML)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8,796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Present only in mutation data (dropped)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1,428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Present only in reports (dropped)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727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Distinct cancer cohorts represented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76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2.2 — Phase 1 patient-overlap results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 Pipeline Architecture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project runs as six sequential phases, each script reading the previous phase's saved checkpoint — so the large 3.5 GB file is only ever read once.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4930"/>
        <w:gridCol w:w="13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493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1. Data Alignment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data_alignment.py</w:t>
            </w:r>
          </w:p>
        </w:tc>
        <w:tc>
          <w:tcPr>
            <w:tcW w:type="dxa" w:w="49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Chunk-reads the 3.5GB MAF file (50K rows/chunk); joins mutations with reports by Patient ID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~24s</w:t>
            </w:r>
          </w:p>
        </w:tc>
      </w:tr>
      <w:tr>
        <w:tc>
          <w:tcPr>
            <w:tcW w:type="dxa" w:w="17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2. Mutation Labeling</w:t>
            </w:r>
          </w:p>
        </w:tc>
        <w:tc>
          <w:tcPr>
            <w:tcW w:type="dxa" w:w="21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mutation_labeling.py</w:t>
            </w:r>
          </w:p>
        </w:tc>
        <w:tc>
          <w:tcPr>
            <w:tcW w:type="dxa" w:w="493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Filters biologically meaningful mutations; removes noise genes; labels each patient Targetable / Non-Targetable / None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~1s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3. Feature Engineering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feature_engineering.py</w:t>
            </w:r>
          </w:p>
        </w:tc>
        <w:tc>
          <w:tcPr>
            <w:tcW w:type="dxa" w:w="49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Cleans report text; builds 25,000-dim TF-IDF vectors; encodes labels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~25s</w:t>
            </w:r>
          </w:p>
        </w:tc>
      </w:tr>
      <w:tr>
        <w:tc>
          <w:tcPr>
            <w:tcW w:type="dxa" w:w="17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4. Model Training</w:t>
            </w:r>
          </w:p>
        </w:tc>
        <w:tc>
          <w:tcPr>
            <w:tcW w:type="dxa" w:w="21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model_training.py</w:t>
            </w:r>
          </w:p>
        </w:tc>
        <w:tc>
          <w:tcPr>
            <w:tcW w:type="dxa" w:w="493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Trains Logistic Regression, Random Forest, SGD on TF-IDF; picks best by AUC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~44s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5. Clinical Analysis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clinical_analysis.py</w:t>
            </w:r>
          </w:p>
        </w:tc>
        <w:tc>
          <w:tcPr>
            <w:tcW w:type="dxa" w:w="49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Generates per-patient predictions, drug mapping, cancer-type breakdown, error analysis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~5s</w:t>
            </w:r>
          </w:p>
        </w:tc>
      </w:tr>
      <w:tr>
        <w:tc>
          <w:tcPr>
            <w:tcW w:type="dxa" w:w="17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6. BERT + Ensemble</w:t>
            </w:r>
          </w:p>
        </w:tc>
        <w:tc>
          <w:tcPr>
            <w:tcW w:type="dxa" w:w="21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bert_embeddings.py / bert_training.py</w:t>
            </w:r>
          </w:p>
        </w:tc>
        <w:tc>
          <w:tcPr>
            <w:tcW w:type="dxa" w:w="493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Encodes reports with Bio_ClinicalBERT (GPU); retrains models; builds TF-IDF+BERT ensemble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~3.5 min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3.1 — Six-phase pipeline, run in order, ~5 minutes total end-to-end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 What the Data Actually Looks Like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 real pathology report before and after the text-cleaning step (lowercasing, medical abbreviation expansion, boilerplate removal):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350"/>
        <w:gridCol w:w="1150"/>
        <w:gridCol w:w="603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 ID</w:t>
            </w:r>
          </w:p>
        </w:tc>
        <w:tc>
          <w:tcPr>
            <w:tcW w:type="dxa" w:w="1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03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Report Text (truncated)</w:t>
            </w:r>
          </w:p>
        </w:tc>
      </w:tr>
      <w:tr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TCGA-29-1775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</w:t>
            </w:r>
          </w:p>
        </w:tc>
        <w:tc>
          <w:tcPr>
            <w:tcW w:type="dxa" w:w="1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Before</w:t>
            </w:r>
          </w:p>
        </w:tc>
        <w:tc>
          <w:tcPr>
            <w:tcW w:type="dxa" w:w="60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CLINICAL HISTORY: Malignant neoplasm of the ovary with. GROSS EXAMINATION: A. “Small nodule”…</w:t>
            </w:r>
          </w:p>
        </w:tc>
      </w:tr>
      <w:tr>
        <w:tc>
          <w:tcPr>
            <w:tcW w:type="dxa" w:w="15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TCGA-29-1775</w:t>
            </w:r>
          </w:p>
        </w:tc>
        <w:tc>
          <w:tcPr>
            <w:tcW w:type="dxa" w:w="13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</w:t>
            </w:r>
          </w:p>
        </w:tc>
        <w:tc>
          <w:tcPr>
            <w:tcW w:type="dxa" w:w="11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After</w:t>
            </w:r>
          </w:p>
        </w:tc>
        <w:tc>
          <w:tcPr>
            <w:tcW w:type="dxa" w:w="603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clinical history malignant neoplasm of the ovary with. gross examination a. small nodule…</w:t>
            </w:r>
          </w:p>
        </w:tc>
      </w:tr>
      <w:tr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TCGA-BJ-A28V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</w:t>
            </w:r>
          </w:p>
        </w:tc>
        <w:tc>
          <w:tcPr>
            <w:tcW w:type="dxa" w:w="1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Before</w:t>
            </w:r>
          </w:p>
        </w:tc>
        <w:tc>
          <w:tcPr>
            <w:tcW w:type="dxa" w:w="603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 HISTORY: CHIEF COMPLAINT/PRE-OP/POST-OP DIAGNOSIS: Thyroid cancer. PROCEDURE…</w:t>
            </w:r>
          </w:p>
        </w:tc>
      </w:tr>
      <w:tr>
        <w:tc>
          <w:tcPr>
            <w:tcW w:type="dxa" w:w="15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TCGA-BJ-A28V</w:t>
            </w:r>
          </w:p>
        </w:tc>
        <w:tc>
          <w:tcPr>
            <w:tcW w:type="dxa" w:w="13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</w:t>
            </w:r>
          </w:p>
        </w:tc>
        <w:tc>
          <w:tcPr>
            <w:tcW w:type="dxa" w:w="115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After</w:t>
            </w:r>
          </w:p>
        </w:tc>
        <w:tc>
          <w:tcPr>
            <w:tcW w:type="dxa" w:w="603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 history chief complaint pre-op post-op diagnosis thyroid cancer. procedure…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4.1 — Sample text cleaning (feature_engineering.py, Phase 3)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Sample Mutation Labels (patient_mutation_labels.tsv)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780"/>
        <w:gridCol w:w="2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Patient_ID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Mutation_Status</w:t>
            </w:r>
          </w:p>
        </w:tc>
        <w:tc>
          <w:tcPr>
            <w:tcW w:type="dxa" w:w="17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n_mutations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targetable_genes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TCGA-A5-A0G2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11,204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PIK3CA, PTEN… (51 genes)</w:t>
            </w:r>
          </w:p>
        </w:tc>
      </w:tr>
      <w:tr>
        <w:tc>
          <w:tcPr>
            <w:tcW w:type="dxa" w:w="24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TCGA-IB-7651</w:t>
            </w:r>
          </w:p>
        </w:tc>
        <w:tc>
          <w:tcPr>
            <w:tcW w:type="dxa" w:w="34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17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8,377</w:t>
            </w:r>
          </w:p>
        </w:tc>
        <w:tc>
          <w:tcPr>
            <w:tcW w:type="dxa" w:w="2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KRAS, BRAF… (44 genes)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TCGA-05-1234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Non_Targetable_Mutation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212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TCGA-XX-YYYY</w:t>
            </w:r>
          </w:p>
        </w:tc>
        <w:tc>
          <w:tcPr>
            <w:tcW w:type="dxa" w:w="34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No_Mutation</w:t>
            </w:r>
          </w:p>
        </w:tc>
        <w:tc>
          <w:tcPr>
            <w:tcW w:type="dxa" w:w="17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4.2 — Output of Phase 2 (illustrative rows from the pipeline)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Sample Final Predictions (final_patient_report.tsv)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900"/>
        <w:gridCol w:w="178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True Status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Predicted</w:t>
            </w:r>
          </w:p>
        </w:tc>
        <w:tc>
          <w:tcPr>
            <w:tcW w:type="dxa" w:w="17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TCGA-S9-A6TX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0.9477</w:t>
            </w:r>
          </w:p>
        </w:tc>
      </w:tr>
      <w:tr>
        <w:tc>
          <w:tcPr>
            <w:tcW w:type="dxa" w:w="2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TCGA-S9-A6TW</w:t>
            </w:r>
          </w:p>
        </w:tc>
        <w:tc>
          <w:tcPr>
            <w:tcW w:type="dxa" w:w="29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29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17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0.9452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TCGA-HT-7695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Targetable_Mutation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0.9324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4.3 — Output of Phase 5 (clinical_analysis.py)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 Feature Engineering &amp; Class Balance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Every cleaned report is converted into a 25,000-dimension TF-IDF vector (word/phrase importance scores, using 1-3 word combinations). The resulting feature matrix is 98.2% empty (sparse) — typical for text data, since each report only uses a small fraction of the full vocabulary.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rPr>
          <w:tblHeader/>
        </w:trPr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Patients in final dataset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8,792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TF-IDF vocabulary size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Feature matrix shape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8,792 × 25,000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Sparsity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98.16%</w:t>
            </w:r>
          </w:p>
        </w:tc>
      </w:tr>
      <w:tr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Binary class imbalance (Targetable vs Other)</w:t>
            </w:r>
          </w:p>
        </w:tc>
        <w:tc>
          <w:tcPr>
            <w:tcW w:type="dxa" w:w="3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2.0 : 1 (acceptable)</w:t>
            </w:r>
          </w:p>
        </w:tc>
      </w:tr>
      <w:tr>
        <w:tc>
          <w:tcPr>
            <w:tcW w:type="dxa" w:w="6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3-class imbalance (incl. rare No_Mutation class)</w:t>
            </w:r>
          </w:p>
        </w:tc>
        <w:tc>
          <w:tcPr>
            <w:tcW w:type="dxa" w:w="3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420 : 1 (severe)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5.1 — Feature matrix statistics (Phase 3)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Because the 3-class split is severely imbalanced (only 14 patients with “No Mutation”), the project focuses on the binary task — Targetable vs. Everything Else — where class_weight='balanced' is sufficient without needing synthetic oversampling (SMOTE).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 Baseline Models — TF-IDF Features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Three classic ML models were trained on an 80/20 stratified train/test split (7,033 train / 1,759 test patients) and compared with 5-fold cross-validation: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900"/>
        <w:gridCol w:w="1600"/>
        <w:gridCol w:w="1200"/>
        <w:gridCol w:w="138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AUC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AUC (5-fold)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 (Targetable)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Logistic Regression  ★ best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0.7329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0.7212 ± 0.018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0.7463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0.7939</w:t>
            </w:r>
          </w:p>
        </w:tc>
        <w:tc>
          <w:tcPr>
            <w:tcW w:type="dxa" w:w="1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0.7041</w:t>
            </w:r>
          </w:p>
        </w:tc>
      </w:tr>
      <w:tr>
        <w:tc>
          <w:tcPr>
            <w:tcW w:type="dxa" w:w="2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0.7179</w:t>
            </w:r>
          </w:p>
        </w:tc>
        <w:tc>
          <w:tcPr>
            <w:tcW w:type="dxa" w:w="19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0.7108 ± 0.018</w:t>
            </w:r>
          </w:p>
        </w:tc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0.7696</w:t>
            </w:r>
          </w:p>
        </w:tc>
        <w:tc>
          <w:tcPr>
            <w:tcW w:type="dxa" w:w="12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0.7518</w:t>
            </w:r>
          </w:p>
        </w:tc>
        <w:tc>
          <w:tcPr>
            <w:tcW w:type="dxa" w:w="13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0.7883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SGD Classifier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0.6928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0.6821 ± 0.012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0.7359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0.7628</w:t>
            </w:r>
          </w:p>
        </w:tc>
        <w:tc>
          <w:tcPr>
            <w:tcW w:type="dxa" w:w="1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0.7109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6.1 — Model comparison on held-out test set (Phase 4)</w:t>
      </w:r>
    </w:p>
    <w:p>
      <w:pPr>
        <w:spacing w:after="40" w:before="160"/>
        <w:jc w:val="center"/>
      </w:pPr>
      <w:r>
        <w:drawing>
          <wp:inline distT="0" distB="0" distL="0" distR="0">
            <wp:extent cx="4381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6.1 — ROC curves: Logistic Regression edges out Random Forest and SGD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6.2 — Confusion matrices for all three TF-IDF models on the test set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What the Model Actually Learned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Looking at the strongest predictive words gives a sanity check that the model is picking up genuine clinical signal, not noise: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Predicts TARGETABLE mutation</w:t>
            </w:r>
          </w:p>
        </w:tc>
        <w:tc>
          <w:tcPr>
            <w:tcW w:type="dxa" w:w="50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Predicts NON-TARGETABLE</w:t>
            </w:r>
          </w:p>
        </w:tc>
      </w:tr>
      <w:tr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oligodendroglioma, melanoma, endometrioid, brain, urothelial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thymoma, sarcoma, gleason score, serous adenocarcinoma</w:t>
            </w:r>
          </w:p>
        </w:tc>
      </w:tr>
      <w:tr>
        <w:tc>
          <w:tcPr>
            <w:tcW w:type="dxa" w:w="504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adenocarcinoma, astrocytoma, clear cell, grade II</w:t>
            </w:r>
          </w:p>
        </w:tc>
        <w:tc>
          <w:tcPr>
            <w:tcW w:type="dxa" w:w="504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leiomyosarcoma, chromophobe, paraganglioma, prostate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6.2 — Top TF-IDF terms driving each prediction (feature_importance.tsv)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 train-test AUC gap of 0.15 was observed for the best model, indicating mild overfitting typical of high-dimensional sparse text features — a known and expected trade-off with TF-IDF on a dataset of this size.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 Deep Learning Upgrade — Bio_ClinicalBERT + Ensemble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TF-IDF only counts words — it has no sense of medical context or negation. Bio_ClinicalBERT is a transformer model pre-trained on clinical text, used here to turn each report into a 768-dimension embedding that captures meaning, not just word frequency. Encoding all 8,792 reports took 3.2 minutes on an RTX 4050 GPU.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238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Model</w:t>
            </w:r>
          </w:p>
        </w:tc>
        <w:tc>
          <w:tcPr>
            <w:tcW w:type="dxa" w:w="23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AUC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TF-IDF (word counts)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0.7329</w:t>
            </w:r>
          </w:p>
        </w:tc>
      </w:tr>
      <w:tr>
        <w:tc>
          <w:tcPr>
            <w:tcW w:type="dxa" w:w="4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Bio_ClinicalBERT (contextual embeddings)</w:t>
            </w:r>
          </w:p>
        </w:tc>
        <w:tc>
          <w:tcPr>
            <w:tcW w:type="dxa" w:w="32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3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0.7098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Ensemble — average of both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TF-IDF LR + BERT LR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0.7382  ★ best overall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7.1 — TF-IDF vs. BERT vs. Ensemble (Phase 6)</w:t>
      </w:r>
    </w:p>
    <w:p>
      <w:pPr>
        <w:spacing w:after="40" w:before="160"/>
        <w:jc w:val="center"/>
      </w:pPr>
      <w:r>
        <w:drawing>
          <wp:inline distT="0" distB="0" distL="0" distR="0">
            <wp:extent cx="4191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7.1 — Ensemble ROC curve edges out both individual approaches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Interestingly, TF-IDF alone slightly outperformed BERT alone on this dataset — likely because pathology reports rely heavily on precise, rare medical vocabulary (exact gene/diagnosis names) that TF-IDF is naturally suited to catch. BERT's strength is context and phrasing, which adds complementary — not superior — signal. Averaging both, however, beat either one individually, confirming they capture partially different information.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Per-Gene Prediction (Top 10 Genes)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558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Gene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Patients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55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FDA-Approved Drug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IDH1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462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0.9187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Ivosidenib</w:t>
            </w:r>
          </w:p>
        </w:tc>
      </w:tr>
      <w:tr>
        <w:tc>
          <w:tcPr>
            <w:tcW w:type="dxa" w:w="1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KRAS</w:t>
            </w:r>
          </w:p>
        </w:tc>
        <w:tc>
          <w:tcPr>
            <w:tcW w:type="dxa" w:w="1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703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0.8649</w:t>
            </w:r>
          </w:p>
        </w:tc>
        <w:tc>
          <w:tcPr>
            <w:tcW w:type="dxa" w:w="5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Sotorasib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BRAF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544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0.8353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Vemurafenib</w:t>
            </w:r>
          </w:p>
        </w:tc>
      </w:tr>
      <w:tr>
        <w:tc>
          <w:tcPr>
            <w:tcW w:type="dxa" w:w="1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PIK3CA</w:t>
            </w:r>
          </w:p>
        </w:tc>
        <w:tc>
          <w:tcPr>
            <w:tcW w:type="dxa" w:w="1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1,281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0.7686</w:t>
            </w:r>
          </w:p>
        </w:tc>
        <w:tc>
          <w:tcPr>
            <w:tcW w:type="dxa" w:w="5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Alpelisib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PTEN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782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0.7559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Ipatasertib (investigational)</w:t>
            </w:r>
          </w:p>
        </w:tc>
      </w:tr>
      <w:tr>
        <w:tc>
          <w:tcPr>
            <w:tcW w:type="dxa" w:w="1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EGFR</w:t>
            </w:r>
          </w:p>
        </w:tc>
        <w:tc>
          <w:tcPr>
            <w:tcW w:type="dxa" w:w="1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320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0.7128</w:t>
            </w:r>
          </w:p>
        </w:tc>
        <w:tc>
          <w:tcPr>
            <w:tcW w:type="dxa" w:w="5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Osimertinib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ARID1A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733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0.7189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 FDA-approved therapy</w:t>
            </w:r>
          </w:p>
        </w:tc>
      </w:tr>
      <w:tr>
        <w:tc>
          <w:tcPr>
            <w:tcW w:type="dxa" w:w="1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ATM</w:t>
            </w:r>
          </w:p>
        </w:tc>
        <w:tc>
          <w:tcPr>
            <w:tcW w:type="dxa" w:w="1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496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0.6723</w:t>
            </w:r>
          </w:p>
        </w:tc>
        <w:tc>
          <w:tcPr>
            <w:tcW w:type="dxa" w:w="5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Olaparib (investigational)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NF1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515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0.6454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 FDA-approved therapy</w:t>
            </w:r>
          </w:p>
        </w:tc>
      </w:tr>
      <w:tr>
        <w:tc>
          <w:tcPr>
            <w:tcW w:type="dxa" w:w="15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BRCA2</w:t>
            </w:r>
          </w:p>
        </w:tc>
        <w:tc>
          <w:tcPr>
            <w:tcW w:type="dxa" w:w="17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375</w:t>
            </w:r>
          </w:p>
        </w:tc>
        <w:tc>
          <w:tcPr>
            <w:tcW w:type="dxa" w:w="1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0.6310</w:t>
            </w:r>
          </w:p>
        </w:tc>
        <w:tc>
          <w:tcPr>
            <w:tcW w:type="dxa" w:w="55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Olaparib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7.2 — Some genes (IDH1, KRAS, BRAF) are far easier to predict than others — likely due to distinctive language in their associated pathology reports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Cancer-Type Specific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2300"/>
        <w:gridCol w:w="228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Cancer Type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Patients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Targetable</w:t>
            </w:r>
          </w:p>
        </w:tc>
        <w:tc>
          <w:tcPr>
            <w:tcW w:type="dxa" w:w="22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LGG (Brain / Low-Grade Glioma)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103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92.2%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0.9474</w:t>
            </w:r>
          </w:p>
        </w:tc>
      </w:tr>
      <w:tr>
        <w:tc>
          <w:tcPr>
            <w:tcW w:type="dxa" w:w="3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COAD (Colon)</w:t>
            </w:r>
          </w:p>
        </w:tc>
        <w:tc>
          <w:tcPr>
            <w:tcW w:type="dxa" w:w="19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131</w:t>
            </w:r>
          </w:p>
        </w:tc>
        <w:tc>
          <w:tcPr>
            <w:tcW w:type="dxa" w:w="2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80.2%</w:t>
            </w:r>
          </w:p>
        </w:tc>
        <w:tc>
          <w:tcPr>
            <w:tcW w:type="dxa" w:w="2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0.7091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HNSC (Head &amp; Neck)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132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70.5%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0.5395</w:t>
            </w:r>
          </w:p>
        </w:tc>
      </w:tr>
      <w:tr>
        <w:tc>
          <w:tcPr>
            <w:tcW w:type="dxa" w:w="3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BRCA (Breast)</w:t>
            </w:r>
          </w:p>
        </w:tc>
        <w:tc>
          <w:tcPr>
            <w:tcW w:type="dxa" w:w="19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143</w:t>
            </w:r>
          </w:p>
        </w:tc>
        <w:tc>
          <w:tcPr>
            <w:tcW w:type="dxa" w:w="23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66.4%</w:t>
            </w:r>
          </w:p>
        </w:tc>
        <w:tc>
          <w:tcPr>
            <w:tcW w:type="dxa" w:w="2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0.4316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7.3 — Prediction difficulty varies substantially by cancer type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 Clinical Decision Report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final phase applies the trained model across the full 8,796-patient cohort and reframes the output as a clinical triage tool: which patients should be prioritized for confirmatory genomic testing and possible targeted therapy.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280"/>
      </w:tblGrid>
      <w:tr>
        <w:trPr>
          <w:tblHeader/>
        </w:trPr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Overall AUC-ROC (full cohort)</w:t>
            </w:r>
          </w:p>
        </w:tc>
        <w:tc>
          <w:tcPr>
            <w:tcW w:type="dxa" w:w="3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0.8576</w:t>
            </w:r>
          </w:p>
        </w:tc>
      </w:tr>
      <w:tr>
        <w:tc>
          <w:tcPr>
            <w:tcW w:type="dxa" w:w="68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Sensitivity (catches true Targetable cases)</w:t>
            </w:r>
          </w:p>
        </w:tc>
        <w:tc>
          <w:tcPr>
            <w:tcW w:type="dxa" w:w="3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78.7%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Specificity (correctly clears non-Targetable cases)</w:t>
            </w:r>
          </w:p>
        </w:tc>
        <w:tc>
          <w:tcPr>
            <w:tcW w:type="dxa" w:w="3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77.1%</w:t>
            </w:r>
          </w:p>
        </w:tc>
      </w:tr>
      <w:tr>
        <w:tc>
          <w:tcPr>
            <w:tcW w:type="dxa" w:w="68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Patients correctly flagged for targeted therapy</w:t>
            </w:r>
          </w:p>
        </w:tc>
        <w:tc>
          <w:tcPr>
            <w:tcW w:type="dxa" w:w="3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4,626 / 5,880  (78.7%)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Missed targetable patients (false negatives)</w:t>
            </w:r>
          </w:p>
        </w:tc>
        <w:tc>
          <w:tcPr>
            <w:tcW w:type="dxa" w:w="3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1,252  — requires attention</w:t>
            </w:r>
          </w:p>
        </w:tc>
      </w:tr>
      <w:tr>
        <w:tc>
          <w:tcPr>
            <w:tcW w:type="dxa" w:w="68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Unnecessary referrals (false positives)</w:t>
            </w:r>
          </w:p>
        </w:tc>
        <w:tc>
          <w:tcPr>
            <w:tcW w:type="dxa" w:w="32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668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Low-confidence predictions flagged for manual review</w:t>
            </w:r>
          </w:p>
        </w:tc>
        <w:tc>
          <w:tcPr>
            <w:tcW w:type="dxa" w:w="32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3,158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8.1 — Clinical performance summary (clinical_analysis.py)</w:t>
      </w:r>
    </w:p>
    <w:p>
      <w:pPr>
        <w:pStyle w:val="Heading2"/>
        <w:spacing w:after="120" w:before="260"/>
      </w:pPr>
      <w:r>
        <w:rPr>
          <w:b/>
          <w:bCs/>
          <w:color w:val="0E7C7B"/>
          <w:sz w:val="24"/>
          <w:szCs w:val="24"/>
        </w:rPr>
        <w:t xml:space="preserve">Top Actionable Genes in the Cohort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780"/>
        <w:gridCol w:w="5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Patients</w:t>
            </w:r>
          </w:p>
        </w:tc>
        <w:tc>
          <w:tcPr>
            <w:tcW w:type="dxa" w:w="17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Cohort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Targeted Drug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PIK3CA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1,281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14.6%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Alpelisib</w:t>
            </w:r>
          </w:p>
        </w:tc>
      </w:tr>
      <w:tr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PTEN</w:t>
            </w:r>
          </w:p>
        </w:tc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782</w:t>
            </w:r>
          </w:p>
        </w:tc>
        <w:tc>
          <w:tcPr>
            <w:tcW w:type="dxa" w:w="17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8.9%</w:t>
            </w:r>
          </w:p>
        </w:tc>
        <w:tc>
          <w:tcPr>
            <w:tcW w:type="dxa" w:w="51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Ipatasertib (investigational)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ARID1A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733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8.3%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 FDA-approved therapy</w:t>
            </w:r>
          </w:p>
        </w:tc>
      </w:tr>
      <w:tr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KRAS</w:t>
            </w:r>
          </w:p>
        </w:tc>
        <w:tc>
          <w:tcPr>
            <w:tcW w:type="dxa" w:w="16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703</w:t>
            </w:r>
          </w:p>
        </w:tc>
        <w:tc>
          <w:tcPr>
            <w:tcW w:type="dxa" w:w="17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8.0%</w:t>
            </w:r>
          </w:p>
        </w:tc>
        <w:tc>
          <w:tcPr>
            <w:tcW w:type="dxa" w:w="510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Sotorasib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BRAF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544</w:t>
            </w:r>
          </w:p>
        </w:tc>
        <w:tc>
          <w:tcPr>
            <w:tcW w:type="dxa" w:w="17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6.2%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Vemurafenib</w:t>
            </w:r>
          </w:p>
        </w:tc>
      </w:tr>
    </w:tbl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Table 8.2 — Most frequent targetable mutations and their approved therapies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Note: the 0.86 AUC above reflects the model's performance re-evaluated across the entire cohort (train + test combined) for the purpose of the clinical report, and is not directly comparable to the stricter 0.73 held-out test AUC from Phase 4 — that figure remains the honest measure of generalization to unseen patients.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 Honest Takeaways &amp; Limitations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62626"/>
          <w:sz w:val="21"/>
          <w:szCs w:val="21"/>
        </w:rPr>
        <w:t xml:space="preserve">Overall AUC (~0.73–0.74 on held-out data) is moderate, not clinical-grade — this is a strong portfolio/research result, not a diagnostic tool ready for real deployment.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62626"/>
          <w:sz w:val="21"/>
          <w:szCs w:val="21"/>
        </w:rPr>
        <w:t xml:space="preserve">Performance varies hugely by gene and cancer type: IDH1 (0.92 AUC) and KRAS (0.86 AUC) are predicted very well, likely because their associated cancers use distinctive language; other genes/cancer types (BRCA2, breast cancer) are much harder.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62626"/>
          <w:sz w:val="21"/>
          <w:szCs w:val="21"/>
        </w:rPr>
        <w:t xml:space="preserve">TF-IDF slightly outperformed BERT alone in this dataset, showing that simple, interpretable models can be very competitive on specialized medical vocabulary — bigger/more powerful isn't always better.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62626"/>
          <w:sz w:val="21"/>
          <w:szCs w:val="21"/>
        </w:rPr>
        <w:t xml:space="preserve">Mild overfitting was observed in the TF-IDF models (train-test AUC gap ~0.15), a known trade-off of high-dimensional sparse text features on a dataset of this size.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62626"/>
          <w:sz w:val="21"/>
          <w:szCs w:val="21"/>
        </w:rPr>
        <w:t xml:space="preserve">The 3-class task (including the rare 'No Mutation' class, only 14 patients) is severely imbalanced (420:1) and was set aside in favor of the more reliable binary task.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 Conclusion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This project demonstrates a complete, reproducible pipeline — from a 3.5GB raw genomic file to a clinical-style decision report — that shows pathology report text alone carries real, measurable signal about a patient's underlying mutation status. While not a replacement for genomic sequencing, a tool like this could serve as a fast, low-cost triage step: flagging patients most likely to benefit from confirmatory testing and targeted therapy, and helping prioritize limited sequencing resources toward the patients who need it most.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color w:val="595959"/>
        <w:sz w:val="16"/>
        <w:szCs w:val="16"/>
      </w:rPr>
      <w:t xml:space="preserve">Genomic Alteration Prediction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722b20fb2c26101f84edf36c7f3afb6cb48984.png"/><Relationship Id="rId10" Type="http://schemas.openxmlformats.org/officeDocument/2006/relationships/image" Target="media/1996eb83438204c67925f93624a4c9df3f56f728.png"/><Relationship Id="rId11" Type="http://schemas.openxmlformats.org/officeDocument/2006/relationships/image" Target="media/9a0965529dc0cd848d694105d873951bd55bdee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2026-07-16T02:04:26.205Z</dcterms:created>
  <dcterms:modified xsi:type="dcterms:W3CDTF">2026-07-16T02:04:26.218Z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