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B5789" w14:textId="77777777" w:rsidR="00A277D7" w:rsidRPr="003A3374" w:rsidRDefault="00A277D7" w:rsidP="00A277D7">
      <w:pPr>
        <w:pStyle w:val="1pt"/>
      </w:pPr>
    </w:p>
    <w:p w14:paraId="31DA041A" w14:textId="77777777" w:rsidR="00C43503" w:rsidRPr="003A3374" w:rsidRDefault="00C43503" w:rsidP="00C116FD">
      <w:pPr>
        <w:pStyle w:val="SECTIONChapter"/>
      </w:pPr>
    </w:p>
    <w:p w14:paraId="13DC316A" w14:textId="77777777" w:rsidR="00C2173D" w:rsidRPr="003A3374" w:rsidRDefault="00C2173D" w:rsidP="0093181E">
      <w:pPr>
        <w:pStyle w:val="1pt"/>
      </w:pPr>
    </w:p>
    <w:tbl>
      <w:tblPr>
        <w:tblStyle w:val="TableGrid"/>
        <w:tblW w:w="9639" w:type="dxa"/>
        <w:tblLayout w:type="fixed"/>
        <w:tblCellMar>
          <w:top w:w="227" w:type="dxa"/>
          <w:left w:w="0" w:type="dxa"/>
          <w:right w:w="0" w:type="dxa"/>
        </w:tblCellMar>
        <w:tblLook w:val="01E0" w:firstRow="1" w:lastRow="1" w:firstColumn="1" w:lastColumn="1" w:noHBand="0" w:noVBand="0"/>
      </w:tblPr>
      <w:tblGrid>
        <w:gridCol w:w="7655"/>
        <w:gridCol w:w="1984"/>
      </w:tblGrid>
      <w:tr w:rsidR="00905E20" w:rsidRPr="003A3374" w14:paraId="20426EF6" w14:textId="77777777" w:rsidTr="00117C65">
        <w:trPr>
          <w:cantSplit/>
          <w:trHeight w:hRule="exact" w:val="907"/>
        </w:trPr>
        <w:tc>
          <w:tcPr>
            <w:tcW w:w="7655" w:type="dxa"/>
          </w:tcPr>
          <w:p w14:paraId="01606C6E" w14:textId="6C2FB9B6" w:rsidR="00905E20" w:rsidRPr="003A3374" w:rsidRDefault="00B76039">
            <w:pPr>
              <w:pStyle w:val="MainAuthor"/>
            </w:pPr>
            <w:bookmarkStart w:id="0" w:name="InnerPageRatings" w:colFirst="1" w:colLast="1"/>
            <w:bookmarkStart w:id="1" w:name="MainAuthorContact"/>
            <w:r w:rsidRPr="003A3374">
              <w:t>Charlie Higgs | Charlie.Higgs@rothschildandco.com</w:t>
            </w:r>
          </w:p>
        </w:tc>
        <w:tc>
          <w:tcPr>
            <w:tcW w:w="1984" w:type="dxa"/>
          </w:tcPr>
          <w:p w14:paraId="6B2C5EEC" w14:textId="5E2EA19F" w:rsidR="00905E20" w:rsidRPr="003A3374" w:rsidRDefault="00B76039" w:rsidP="00253E9A">
            <w:pPr>
              <w:pStyle w:val="MainAuthor"/>
              <w:jc w:val="right"/>
            </w:pPr>
            <w:r w:rsidRPr="003A3374">
              <w:rPr>
                <w:noProof/>
              </w:rPr>
              <w:drawing>
                <wp:inline distT="0" distB="0" distL="0" distR="0" wp14:anchorId="3DFB2E0C" wp14:editId="69D571E8">
                  <wp:extent cx="393700" cy="393700"/>
                  <wp:effectExtent l="0" t="0" r="6350" b="6350"/>
                  <wp:docPr id="1216342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420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3700" cy="393700"/>
                          </a:xfrm>
                          <a:prstGeom prst="rect">
                            <a:avLst/>
                          </a:prstGeom>
                        </pic:spPr>
                      </pic:pic>
                    </a:graphicData>
                  </a:graphic>
                </wp:inline>
              </w:drawing>
            </w:r>
          </w:p>
        </w:tc>
      </w:tr>
      <w:bookmarkEnd w:id="0"/>
    </w:tbl>
    <w:p w14:paraId="2FA78FB0" w14:textId="77777777" w:rsidR="00971427" w:rsidRPr="003A3374" w:rsidRDefault="00971427" w:rsidP="00971427">
      <w:pPr>
        <w:pStyle w:val="1pt"/>
      </w:pPr>
    </w:p>
    <w:p w14:paraId="561FA719" w14:textId="0F3A5606" w:rsidR="00B76039" w:rsidRPr="003A3374" w:rsidRDefault="00B76039" w:rsidP="00AC1CA7">
      <w:pPr>
        <w:pStyle w:val="KeyDatatext"/>
        <w:framePr w:wrap="around"/>
      </w:pPr>
      <w:bookmarkStart w:id="2" w:name="CompanyOrSector"/>
      <w:bookmarkEnd w:id="1"/>
      <w:r w:rsidRPr="003A3374">
        <w:t xml:space="preserve">Ticker: </w:t>
      </w:r>
      <w:r w:rsidRPr="003A3374">
        <w:rPr>
          <w:rStyle w:val="KeyData"/>
        </w:rPr>
        <w:fldChar w:fldCharType="begin"/>
      </w:r>
      <w:r w:rsidRPr="003A3374">
        <w:rPr>
          <w:rStyle w:val="KeyData"/>
        </w:rPr>
        <w:instrText>DOCVARIABLE UserTicker</w:instrText>
      </w:r>
      <w:r w:rsidRPr="003A3374">
        <w:rPr>
          <w:rStyle w:val="KeyData"/>
        </w:rPr>
        <w:fldChar w:fldCharType="separate"/>
      </w:r>
      <w:r w:rsidR="006A4635" w:rsidRPr="003A3374">
        <w:rPr>
          <w:rStyle w:val="KeyData"/>
        </w:rPr>
        <w:t>CCEP US</w:t>
      </w:r>
      <w:r w:rsidRPr="003A3374">
        <w:rPr>
          <w:rStyle w:val="KeyData"/>
        </w:rPr>
        <w:fldChar w:fldCharType="end"/>
      </w:r>
    </w:p>
    <w:p w14:paraId="175A4160" w14:textId="2745951B" w:rsidR="00B76039" w:rsidRPr="003A3374" w:rsidRDefault="00B76039" w:rsidP="00B46CE3">
      <w:pPr>
        <w:pStyle w:val="KeyDatatext"/>
        <w:framePr w:wrap="around"/>
        <w:rPr>
          <w:rStyle w:val="Price"/>
          <w:b w:val="0"/>
        </w:rPr>
      </w:pPr>
      <w:r w:rsidRPr="003A3374">
        <w:t xml:space="preserve">Share price: </w:t>
      </w:r>
      <w:r w:rsidRPr="003A3374">
        <w:rPr>
          <w:rStyle w:val="KeyData"/>
        </w:rPr>
        <w:fldChar w:fldCharType="begin"/>
      </w:r>
      <w:r w:rsidRPr="003A3374">
        <w:rPr>
          <w:rStyle w:val="KeyData"/>
        </w:rPr>
        <w:instrText>DOCVARIABLE UserPriceDisplay</w:instrText>
      </w:r>
      <w:r w:rsidRPr="003A3374">
        <w:rPr>
          <w:rStyle w:val="KeyData"/>
        </w:rPr>
        <w:fldChar w:fldCharType="separate"/>
      </w:r>
      <w:r w:rsidR="006A4635" w:rsidRPr="003A3374">
        <w:rPr>
          <w:rStyle w:val="KeyData"/>
        </w:rPr>
        <w:t>USD89</w:t>
      </w:r>
      <w:r w:rsidRPr="003A3374">
        <w:rPr>
          <w:rStyle w:val="KeyData"/>
        </w:rPr>
        <w:fldChar w:fldCharType="end"/>
      </w:r>
    </w:p>
    <w:p w14:paraId="7C8ACACD" w14:textId="4F8B5B43" w:rsidR="00B76039" w:rsidRPr="003A3374" w:rsidRDefault="00B76039" w:rsidP="00B46CE3">
      <w:pPr>
        <w:pStyle w:val="KeyDatatext"/>
        <w:framePr w:wrap="around"/>
      </w:pPr>
      <w:r w:rsidRPr="003A3374">
        <w:t xml:space="preserve">Target price: </w:t>
      </w:r>
      <w:r w:rsidRPr="003A3374">
        <w:rPr>
          <w:rStyle w:val="KeyData"/>
        </w:rPr>
        <w:fldChar w:fldCharType="begin"/>
      </w:r>
      <w:r w:rsidRPr="003A3374">
        <w:rPr>
          <w:rStyle w:val="KeyData"/>
        </w:rPr>
        <w:instrText>DOCVARIABLE UserTargetPriceDisplay</w:instrText>
      </w:r>
      <w:r w:rsidRPr="003A3374">
        <w:rPr>
          <w:rStyle w:val="KeyData"/>
        </w:rPr>
        <w:fldChar w:fldCharType="separate"/>
      </w:r>
      <w:r w:rsidR="006A4635" w:rsidRPr="003A3374">
        <w:rPr>
          <w:rStyle w:val="KeyData"/>
        </w:rPr>
        <w:t>USD102</w:t>
      </w:r>
      <w:r w:rsidRPr="003A3374">
        <w:rPr>
          <w:rStyle w:val="KeyData"/>
        </w:rPr>
        <w:fldChar w:fldCharType="end"/>
      </w:r>
    </w:p>
    <w:p w14:paraId="73930CE3" w14:textId="1798F210" w:rsidR="00B76039" w:rsidRPr="003A3374" w:rsidRDefault="00B76039" w:rsidP="00B46CE3">
      <w:pPr>
        <w:pStyle w:val="KeyDatatext"/>
        <w:framePr w:wrap="around"/>
        <w:rPr>
          <w:rStyle w:val="KeyData"/>
        </w:rPr>
      </w:pPr>
      <w:r w:rsidRPr="003A3374">
        <w:t xml:space="preserve">Mkt cap: </w:t>
      </w:r>
      <w:r w:rsidRPr="003A3374">
        <w:rPr>
          <w:rStyle w:val="KeyData"/>
        </w:rPr>
        <w:fldChar w:fldCharType="begin"/>
      </w:r>
      <w:r w:rsidRPr="003A3374">
        <w:rPr>
          <w:rStyle w:val="KeyData"/>
        </w:rPr>
        <w:instrText>DOCVARIABLE UserMarketCapDisplay</w:instrText>
      </w:r>
      <w:r w:rsidRPr="003A3374">
        <w:rPr>
          <w:rStyle w:val="KeyData"/>
        </w:rPr>
        <w:fldChar w:fldCharType="separate"/>
      </w:r>
      <w:r w:rsidR="006A4635" w:rsidRPr="003A3374">
        <w:rPr>
          <w:rStyle w:val="KeyData"/>
        </w:rPr>
        <w:t>USD41bn</w:t>
      </w:r>
      <w:r w:rsidRPr="003A3374">
        <w:rPr>
          <w:rStyle w:val="KeyData"/>
        </w:rPr>
        <w:fldChar w:fldCharType="end"/>
      </w:r>
    </w:p>
    <w:p w14:paraId="6B624863" w14:textId="2D0CDF6D" w:rsidR="00B76039" w:rsidRPr="003A3374" w:rsidRDefault="00B76039" w:rsidP="003800A8">
      <w:pPr>
        <w:pStyle w:val="DateCompanyAggregates"/>
        <w:framePr w:wrap="around"/>
        <w:rPr>
          <w:rStyle w:val="KeyData"/>
          <w:b w:val="0"/>
        </w:rPr>
      </w:pPr>
      <w:r w:rsidRPr="003A3374">
        <w:fldChar w:fldCharType="begin"/>
      </w:r>
      <w:r w:rsidRPr="003A3374">
        <w:instrText xml:space="preserve"> DOCVARIABLE  UserDate </w:instrText>
      </w:r>
      <w:r w:rsidRPr="003A3374">
        <w:fldChar w:fldCharType="separate"/>
      </w:r>
      <w:r w:rsidR="006A4635" w:rsidRPr="003A3374">
        <w:t>21 November 2025</w:t>
      </w:r>
      <w:r w:rsidRPr="003A3374">
        <w:fldChar w:fldCharType="end"/>
      </w:r>
    </w:p>
    <w:p w14:paraId="347FFBC5" w14:textId="09C06C40" w:rsidR="00B76039" w:rsidRPr="003A3374" w:rsidRDefault="00B76039" w:rsidP="00DB659A">
      <w:pPr>
        <w:pStyle w:val="ReportTitleAggregates"/>
        <w:rPr>
          <w:rStyle w:val="Price"/>
        </w:rPr>
      </w:pPr>
      <w:r w:rsidRPr="003A3374">
        <w:fldChar w:fldCharType="begin"/>
      </w:r>
      <w:r w:rsidRPr="003A3374">
        <w:instrText xml:space="preserve"> DOCVARIABLE  UserCompanyName </w:instrText>
      </w:r>
      <w:r w:rsidRPr="003A3374">
        <w:fldChar w:fldCharType="separate"/>
      </w:r>
      <w:r w:rsidR="006A4635" w:rsidRPr="003A3374">
        <w:t>Coca-Cola Europacific Partners</w:t>
      </w:r>
      <w:r w:rsidRPr="003A3374">
        <w:fldChar w:fldCharType="end"/>
      </w:r>
    </w:p>
    <w:p w14:paraId="2CEA8D82" w14:textId="102A9B6C" w:rsidR="00B76039" w:rsidRPr="003A3374" w:rsidRDefault="00B76039" w:rsidP="00310E77">
      <w:pPr>
        <w:pStyle w:val="ReportSubTitle"/>
      </w:pPr>
      <w:r w:rsidRPr="003A3374">
        <w:fldChar w:fldCharType="begin"/>
      </w:r>
      <w:r w:rsidRPr="003A3374">
        <w:instrText xml:space="preserve"> DOCVARIABLE  UserTitle </w:instrText>
      </w:r>
      <w:r w:rsidRPr="003A3374">
        <w:fldChar w:fldCharType="separate"/>
      </w:r>
      <w:r w:rsidR="006A4635" w:rsidRPr="003A3374">
        <w:t>Pop Britain - Site Visit</w:t>
      </w:r>
      <w:r w:rsidRPr="003A3374">
        <w:fldChar w:fldCharType="end"/>
      </w:r>
    </w:p>
    <w:bookmarkEnd w:id="2"/>
    <w:p w14:paraId="07630E9E" w14:textId="72814BA6" w:rsidR="009D7119" w:rsidRPr="003A3374" w:rsidRDefault="001853E6" w:rsidP="009D7119">
      <w:pPr>
        <w:pStyle w:val="Thesis"/>
      </w:pPr>
      <w:r w:rsidRPr="003A3374">
        <w:t>CCEP hosted a site visit in Great Britain – its largest market for operating income. This reinforced our positive view on a business unit that has delivered outstanding c5% sales growth pa over the past decade despite the pandemic</w:t>
      </w:r>
      <w:r w:rsidR="0006009E" w:rsidRPr="003A3374">
        <w:t xml:space="preserve">, challenges in the away-from-home channel </w:t>
      </w:r>
      <w:r w:rsidRPr="003A3374">
        <w:t xml:space="preserve">and </w:t>
      </w:r>
      <w:r w:rsidR="0006009E" w:rsidRPr="003A3374">
        <w:t xml:space="preserve">the </w:t>
      </w:r>
      <w:r w:rsidRPr="003A3374">
        <w:t>introduction of a UK sugar tax.</w:t>
      </w:r>
      <w:r w:rsidR="001B7D21" w:rsidRPr="003A3374">
        <w:t xml:space="preserve"> CCEP trades on 17.6x forward P/E</w:t>
      </w:r>
      <w:r w:rsidR="002F7E39" w:rsidRPr="003A3374">
        <w:t>,</w:t>
      </w:r>
      <w:r w:rsidR="001B7D21" w:rsidRPr="003A3374">
        <w:t xml:space="preserve"> which is attractive for a stock that offers a c10% EPS </w:t>
      </w:r>
      <w:r w:rsidR="002F7E39" w:rsidRPr="003A3374">
        <w:t xml:space="preserve">CAGR </w:t>
      </w:r>
      <w:r w:rsidR="007113DF" w:rsidRPr="003A3374">
        <w:t>over</w:t>
      </w:r>
      <w:r w:rsidR="002F7E39" w:rsidRPr="003A3374">
        <w:t xml:space="preserve"> </w:t>
      </w:r>
      <w:r w:rsidR="001B7D21" w:rsidRPr="003A3374">
        <w:t xml:space="preserve">the next three years with </w:t>
      </w:r>
      <w:r w:rsidR="00456DFF" w:rsidRPr="003A3374">
        <w:t>easing commodity cost</w:t>
      </w:r>
      <w:r w:rsidR="002F7E39" w:rsidRPr="003A3374">
        <w:t xml:space="preserve">s </w:t>
      </w:r>
      <w:r w:rsidR="00456DFF" w:rsidRPr="003A3374">
        <w:t xml:space="preserve">and </w:t>
      </w:r>
      <w:r w:rsidR="001B7D21" w:rsidRPr="003A3374">
        <w:t xml:space="preserve">less downside risk </w:t>
      </w:r>
      <w:r w:rsidR="00456DFF" w:rsidRPr="003A3374">
        <w:t>versus</w:t>
      </w:r>
      <w:r w:rsidR="001B7D21" w:rsidRPr="003A3374">
        <w:t xml:space="preserve"> </w:t>
      </w:r>
      <w:r w:rsidR="007113DF" w:rsidRPr="003A3374">
        <w:t>staples peers</w:t>
      </w:r>
      <w:r w:rsidR="001B7D21" w:rsidRPr="003A3374">
        <w:t>.</w:t>
      </w:r>
    </w:p>
    <w:p w14:paraId="7E34839C" w14:textId="09EE4817" w:rsidR="009D7119" w:rsidRPr="003A3374" w:rsidRDefault="008A6980" w:rsidP="009D7119">
      <w:pPr>
        <w:pStyle w:val="BodyText"/>
      </w:pPr>
      <w:r w:rsidRPr="003A3374">
        <w:t xml:space="preserve">Great Britain is </w:t>
      </w:r>
      <w:r w:rsidR="002736E3" w:rsidRPr="003A3374">
        <w:t xml:space="preserve">16% of </w:t>
      </w:r>
      <w:r w:rsidRPr="003A3374">
        <w:t>CCEP’s</w:t>
      </w:r>
      <w:r w:rsidR="002736E3" w:rsidRPr="003A3374">
        <w:t xml:space="preserve"> </w:t>
      </w:r>
      <w:r w:rsidR="00BC2582" w:rsidRPr="003A3374">
        <w:t xml:space="preserve">sales </w:t>
      </w:r>
      <w:r w:rsidR="002736E3" w:rsidRPr="003A3374">
        <w:t>and</w:t>
      </w:r>
      <w:r w:rsidR="00BC2582" w:rsidRPr="003A3374">
        <w:t>,</w:t>
      </w:r>
      <w:r w:rsidR="002736E3" w:rsidRPr="003A3374">
        <w:t xml:space="preserve"> we </w:t>
      </w:r>
      <w:r w:rsidR="00BC2582" w:rsidRPr="003A3374">
        <w:t>estimate, the</w:t>
      </w:r>
      <w:r w:rsidRPr="003A3374">
        <w:t xml:space="preserve"> largest </w:t>
      </w:r>
      <w:r w:rsidR="00BC2582" w:rsidRPr="003A3374">
        <w:t xml:space="preserve">contributor to operating at </w:t>
      </w:r>
      <w:r w:rsidRPr="003A3374">
        <w:t xml:space="preserve">c21% of </w:t>
      </w:r>
      <w:r w:rsidR="00BC2582" w:rsidRPr="003A3374">
        <w:t>the total</w:t>
      </w:r>
      <w:r w:rsidRPr="003A3374">
        <w:t>.</w:t>
      </w:r>
      <w:r w:rsidR="00677B62" w:rsidRPr="003A3374">
        <w:t xml:space="preserve"> </w:t>
      </w:r>
      <w:r w:rsidR="009169AA" w:rsidRPr="003A3374">
        <w:t>CCEP</w:t>
      </w:r>
      <w:r w:rsidR="00677B62" w:rsidRPr="003A3374">
        <w:t xml:space="preserve"> hosted an excellent site visit to its Wakefield production plant (the largest soft drinks plant in Europe) and a market visit to at-home and away-from-home (AFH) outlets to witness the improved execution.</w:t>
      </w:r>
    </w:p>
    <w:p w14:paraId="2A983BAB" w14:textId="0ED84E95" w:rsidR="008A6980" w:rsidRPr="003A3374" w:rsidRDefault="001A1DC0" w:rsidP="001D09A9">
      <w:pPr>
        <w:pStyle w:val="BodyText"/>
      </w:pPr>
      <w:r w:rsidRPr="003A3374">
        <w:t xml:space="preserve">In this report we discuss our key learnings, such as the investment made at Wakefield to </w:t>
      </w:r>
      <w:r w:rsidR="00D87AE9" w:rsidRPr="003A3374">
        <w:t xml:space="preserve">boost </w:t>
      </w:r>
      <w:r w:rsidRPr="003A3374">
        <w:t xml:space="preserve">efficiency and </w:t>
      </w:r>
      <w:r w:rsidR="00D87AE9" w:rsidRPr="003A3374">
        <w:t xml:space="preserve">improve </w:t>
      </w:r>
      <w:r w:rsidRPr="003A3374">
        <w:t xml:space="preserve">margins. </w:t>
      </w:r>
      <w:r w:rsidR="00925821" w:rsidRPr="003A3374">
        <w:t>Capacity is being added</w:t>
      </w:r>
      <w:r w:rsidR="0033339B" w:rsidRPr="003A3374">
        <w:t>:</w:t>
      </w:r>
      <w:r w:rsidRPr="003A3374">
        <w:t xml:space="preserve"> necessary given the British soft drinks market has grown at c4% pa over the </w:t>
      </w:r>
      <w:r w:rsidR="0033339B" w:rsidRPr="003A3374">
        <w:t>past</w:t>
      </w:r>
      <w:r w:rsidRPr="003A3374">
        <w:t xml:space="preserve"> decade</w:t>
      </w:r>
      <w:r w:rsidR="00D92BB0" w:rsidRPr="003A3374">
        <w:t xml:space="preserve"> and Coca-Cola Great Britain</w:t>
      </w:r>
      <w:r w:rsidR="00925821" w:rsidRPr="003A3374">
        <w:t>’s</w:t>
      </w:r>
      <w:r w:rsidR="00D92BB0" w:rsidRPr="003A3374">
        <w:t xml:space="preserve"> (CCGB)</w:t>
      </w:r>
      <w:r w:rsidR="00925821" w:rsidRPr="003A3374">
        <w:t xml:space="preserve"> sales</w:t>
      </w:r>
      <w:r w:rsidR="00D92BB0" w:rsidRPr="003A3374">
        <w:t xml:space="preserve"> gr</w:t>
      </w:r>
      <w:r w:rsidR="00925821" w:rsidRPr="003A3374">
        <w:t>ew</w:t>
      </w:r>
      <w:r w:rsidR="00D92BB0" w:rsidRPr="003A3374">
        <w:t xml:space="preserve"> even faster at 5.2% pa, on our estimates.</w:t>
      </w:r>
      <w:r w:rsidR="001D09A9" w:rsidRPr="003A3374">
        <w:t xml:space="preserve"> </w:t>
      </w:r>
      <w:r w:rsidR="00D92BB0" w:rsidRPr="003A3374">
        <w:t xml:space="preserve">The highlight of the </w:t>
      </w:r>
      <w:r w:rsidR="00DA3D50" w:rsidRPr="003A3374">
        <w:t xml:space="preserve">market </w:t>
      </w:r>
      <w:r w:rsidR="00D92BB0" w:rsidRPr="003A3374">
        <w:t>tour for us was a visit to a wholesaler</w:t>
      </w:r>
      <w:r w:rsidR="001D09A9" w:rsidRPr="003A3374">
        <w:t xml:space="preserve">, </w:t>
      </w:r>
      <w:r w:rsidR="00D92BB0" w:rsidRPr="003A3374">
        <w:t xml:space="preserve">which </w:t>
      </w:r>
      <w:r w:rsidR="001D09A9" w:rsidRPr="003A3374">
        <w:t>demonstrated</w:t>
      </w:r>
      <w:r w:rsidR="00D92BB0" w:rsidRPr="003A3374">
        <w:t xml:space="preserve"> how CCGB</w:t>
      </w:r>
      <w:r w:rsidR="00FF1BB4" w:rsidRPr="003A3374">
        <w:t>’s field sales team</w:t>
      </w:r>
      <w:r w:rsidR="00D92BB0" w:rsidRPr="003A3374">
        <w:t xml:space="preserve"> drive</w:t>
      </w:r>
      <w:r w:rsidR="00FF1BB4" w:rsidRPr="003A3374">
        <w:t xml:space="preserve"> </w:t>
      </w:r>
      <w:r w:rsidR="001D09A9" w:rsidRPr="003A3374">
        <w:t>sales growth</w:t>
      </w:r>
      <w:r w:rsidR="00D92BB0" w:rsidRPr="003A3374">
        <w:t xml:space="preserve"> with a</w:t>
      </w:r>
      <w:r w:rsidR="00FF1BB4" w:rsidRPr="003A3374">
        <w:t xml:space="preserve"> highly</w:t>
      </w:r>
      <w:r w:rsidR="00D92BB0" w:rsidRPr="003A3374">
        <w:t xml:space="preserve"> fragmented end-customer base, </w:t>
      </w:r>
      <w:r w:rsidR="00DA3D50" w:rsidRPr="003A3374">
        <w:t xml:space="preserve">as well as how wholesalers support </w:t>
      </w:r>
      <w:r w:rsidR="00D92BB0" w:rsidRPr="003A3374">
        <w:t xml:space="preserve">CCEP’s </w:t>
      </w:r>
      <w:r w:rsidR="0030630A" w:rsidRPr="003A3374">
        <w:t>ambition</w:t>
      </w:r>
      <w:r w:rsidR="00D92BB0" w:rsidRPr="003A3374">
        <w:t xml:space="preserve"> to </w:t>
      </w:r>
      <w:r w:rsidR="00083201" w:rsidRPr="003A3374">
        <w:t xml:space="preserve">place </w:t>
      </w:r>
      <w:r w:rsidR="00D92BB0" w:rsidRPr="003A3374">
        <w:t>c100,000 coolers in the AFH channel across its markets, which should lead to faster sales growth of the higher margin single-serve packs.</w:t>
      </w:r>
    </w:p>
    <w:p w14:paraId="73590A93" w14:textId="0B700ECE" w:rsidR="008A6980" w:rsidRPr="003A3374" w:rsidRDefault="0095247F" w:rsidP="009D7119">
      <w:pPr>
        <w:pStyle w:val="BodyText"/>
      </w:pPr>
      <w:r w:rsidRPr="003A3374">
        <w:t xml:space="preserve">We also discuss the evolving landscape of the British soft drinks market, namely Britvic’s acquisition by Carlsberg (Buy rated) and the onslaught of regulation that, while burdensome, </w:t>
      </w:r>
      <w:r w:rsidR="00DA3D50" w:rsidRPr="003A3374">
        <w:t>could</w:t>
      </w:r>
      <w:r w:rsidRPr="003A3374">
        <w:t xml:space="preserve"> cement the position of the large incumbents.</w:t>
      </w:r>
      <w:r w:rsidR="00C76AFC" w:rsidRPr="003A3374">
        <w:t xml:space="preserve"> Britvic’s key products were deeply </w:t>
      </w:r>
      <w:r w:rsidR="00DA3D50" w:rsidRPr="003A3374">
        <w:t>discounted</w:t>
      </w:r>
      <w:r w:rsidR="00C76AFC" w:rsidRPr="003A3374">
        <w:t xml:space="preserve"> ahead of the acquisition, but </w:t>
      </w:r>
      <w:r w:rsidR="00DA3D50" w:rsidRPr="003A3374">
        <w:t xml:space="preserve">the </w:t>
      </w:r>
      <w:r w:rsidR="00C76AFC" w:rsidRPr="003A3374">
        <w:t>innovation launche</w:t>
      </w:r>
      <w:r w:rsidR="00DA3D50" w:rsidRPr="003A3374">
        <w:t>s</w:t>
      </w:r>
      <w:r w:rsidR="00C76AFC" w:rsidRPr="003A3374">
        <w:t xml:space="preserve"> in 2025 </w:t>
      </w:r>
      <w:r w:rsidR="00DA3D50" w:rsidRPr="003A3374">
        <w:t>are</w:t>
      </w:r>
      <w:r w:rsidR="00C76AFC" w:rsidRPr="003A3374">
        <w:t xml:space="preserve"> encouraging and should </w:t>
      </w:r>
      <w:r w:rsidR="00F05693" w:rsidRPr="003A3374">
        <w:t>expand the industry’s profit pool. Meanwhile, the upcoming UK deposit return scheme (DRS) in October 2027 could pose challenges to multipacks of cans, requiring both CCGB and Carlsberg-Britvic to reassess their respective price/pack architecture.</w:t>
      </w:r>
    </w:p>
    <w:p w14:paraId="3FA9F690" w14:textId="1EA1B107" w:rsidR="009D7119" w:rsidRPr="003A3374" w:rsidRDefault="00674334" w:rsidP="0089312D">
      <w:pPr>
        <w:pStyle w:val="BodyText"/>
      </w:pPr>
      <w:r w:rsidRPr="003A3374">
        <w:t xml:space="preserve">Our CCEP estimates are unchanged and we continue to forecast a c10% EPS CAGR over the next three years with a c3% dividend yield. </w:t>
      </w:r>
      <w:r w:rsidR="007B305B" w:rsidRPr="003A3374">
        <w:t>This is broadly in</w:t>
      </w:r>
      <w:r w:rsidR="00F91ED6" w:rsidRPr="003A3374">
        <w:t xml:space="preserve"> </w:t>
      </w:r>
      <w:r w:rsidR="007B305B" w:rsidRPr="003A3374">
        <w:t>line with consensus. CCEP trades on 17.6x one-year forward P/E; a 5% discount to its pre-pandemic average, despite offering faster top- and bottom-line growth today, with high free cash flow delivery.</w:t>
      </w:r>
      <w:r w:rsidR="00901E47" w:rsidRPr="003A3374">
        <w:t xml:space="preserve"> With potential margin upside </w:t>
      </w:r>
      <w:r w:rsidR="00736194" w:rsidRPr="003A3374">
        <w:t xml:space="preserve">in 2026/27 </w:t>
      </w:r>
      <w:r w:rsidR="00901E47" w:rsidRPr="003A3374">
        <w:t>from falling sugar and plastic costs</w:t>
      </w:r>
      <w:r w:rsidR="0089312D" w:rsidRPr="003A3374">
        <w:t>,</w:t>
      </w:r>
      <w:r w:rsidR="00901E47" w:rsidRPr="003A3374">
        <w:t xml:space="preserve"> and less downside risk versus the broader sector, we maintain </w:t>
      </w:r>
      <w:r w:rsidR="007B305B" w:rsidRPr="003A3374">
        <w:t xml:space="preserve">our Buy rating </w:t>
      </w:r>
      <w:r w:rsidR="00901E47" w:rsidRPr="003A3374">
        <w:t xml:space="preserve">on CCEP </w:t>
      </w:r>
      <w:r w:rsidR="007B305B" w:rsidRPr="003A3374">
        <w:t>with an unchanged $10</w:t>
      </w:r>
      <w:r w:rsidR="00B76039" w:rsidRPr="003A3374">
        <w:t>2</w:t>
      </w:r>
      <w:r w:rsidR="007B305B" w:rsidRPr="003A3374">
        <w:t>/share target price.</w:t>
      </w:r>
    </w:p>
    <w:p w14:paraId="7664D058" w14:textId="77777777" w:rsidR="00D37EB6" w:rsidRPr="003A3374" w:rsidRDefault="00D37EB6" w:rsidP="00445CAA">
      <w:pPr>
        <w:pStyle w:val="1pt"/>
      </w:pPr>
    </w:p>
    <w:tbl>
      <w:tblPr>
        <w:tblStyle w:val="TableGrid"/>
        <w:tblW w:w="9639" w:type="dxa"/>
        <w:tblLayout w:type="fixed"/>
        <w:tblCellMar>
          <w:left w:w="0" w:type="dxa"/>
          <w:right w:w="0" w:type="dxa"/>
        </w:tblCellMar>
        <w:tblLook w:val="04A0" w:firstRow="1" w:lastRow="0" w:firstColumn="1" w:lastColumn="0" w:noHBand="0" w:noVBand="1"/>
      </w:tblPr>
      <w:tblGrid>
        <w:gridCol w:w="9639"/>
      </w:tblGrid>
      <w:tr w:rsidR="00445CAA" w:rsidRPr="003A3374" w14:paraId="56AE4043" w14:textId="77777777" w:rsidTr="00445CAA">
        <w:tc>
          <w:tcPr>
            <w:tcW w:w="7653" w:type="dxa"/>
          </w:tcPr>
          <w:bookmarkStart w:id="3" w:name="IdeasPage" w:displacedByCustomXml="next"/>
          <w:bookmarkEnd w:id="3" w:displacedByCustomXml="next"/>
          <w:sdt>
            <w:sdtPr>
              <w:rPr>
                <w:rFonts w:asciiTheme="minorHAnsi" w:hAnsiTheme="minorHAnsi"/>
                <w:b w:val="0"/>
                <w:color w:val="000000" w:themeColor="text1"/>
                <w:sz w:val="22"/>
              </w:rPr>
              <w:tag w:val="IDEAS"/>
              <w:id w:val="-207721961"/>
              <w:placeholder>
                <w:docPart w:val="376AA20496DA48A99736F93414EBF768"/>
              </w:placeholder>
            </w:sdtPr>
            <w:sdtContent>
              <w:p w14:paraId="010A7B57" w14:textId="77777777" w:rsidR="006B2C62" w:rsidRPr="003A3374" w:rsidRDefault="006B2C62" w:rsidP="006B2C62">
                <w:pPr>
                  <w:pStyle w:val="Heading1nonTOC"/>
                  <w:rPr>
                    <w:rFonts w:ascii="Calluna" w:hAnsi="Calluna"/>
                    <w:color w:val="1C355E"/>
                  </w:rPr>
                </w:pPr>
                <w:r w:rsidRPr="003A3374">
                  <w:rPr>
                    <w:rFonts w:ascii="Calluna" w:hAnsi="Calluna"/>
                    <w:color w:val="1C355E"/>
                  </w:rPr>
                  <w:t>Systematic View – IDEAS and Technical Analysis</w:t>
                </w:r>
              </w:p>
              <w:p w14:paraId="0A2A6F62" w14:textId="77777777" w:rsidR="006B2C62" w:rsidRPr="003A3374" w:rsidRDefault="006B2C62" w:rsidP="006B2C62">
                <w:pPr>
                  <w:pStyle w:val="Tablespaceafter"/>
                </w:pPr>
              </w:p>
              <w:tbl>
                <w:tblPr>
                  <w:tblStyle w:val="TableGrid"/>
                  <w:tblW w:w="9581" w:type="dxa"/>
                  <w:tblLayout w:type="fixed"/>
                  <w:tblCellMar>
                    <w:left w:w="0" w:type="dxa"/>
                    <w:right w:w="0" w:type="dxa"/>
                  </w:tblCellMar>
                  <w:tblLook w:val="04A0" w:firstRow="1" w:lastRow="0" w:firstColumn="1" w:lastColumn="0" w:noHBand="0" w:noVBand="1"/>
                </w:tblPr>
                <w:tblGrid>
                  <w:gridCol w:w="4663"/>
                  <w:gridCol w:w="255"/>
                  <w:gridCol w:w="4663"/>
                </w:tblGrid>
                <w:tr w:rsidR="006B2C62" w:rsidRPr="003A3374" w14:paraId="4670814B" w14:textId="77777777" w:rsidTr="006D2966">
                  <w:trPr>
                    <w:cantSplit/>
                    <w:trHeight w:val="287"/>
                    <w:tblHeader/>
                  </w:trPr>
                  <w:tc>
                    <w:tcPr>
                      <w:tcW w:w="4663" w:type="dxa"/>
                      <w:tcBorders>
                        <w:bottom w:val="single" w:sz="8" w:space="0" w:color="000000" w:themeColor="text1"/>
                      </w:tcBorders>
                      <w:vAlign w:val="bottom"/>
                    </w:tcPr>
                    <w:p w14:paraId="18FFAD9D" w14:textId="77777777" w:rsidR="006B2C62" w:rsidRPr="003A3374" w:rsidRDefault="006B2C62" w:rsidP="006B2C62">
                      <w:pPr>
                        <w:pStyle w:val="TableTitle"/>
                        <w:rPr>
                          <w:rFonts w:ascii="Source Sans Pro" w:hAnsi="Source Sans Pro"/>
                        </w:rPr>
                      </w:pPr>
                      <w:r w:rsidRPr="003A3374">
                        <w:rPr>
                          <w:rFonts w:ascii="Source Sans Pro" w:hAnsi="Source Sans Pro"/>
                        </w:rPr>
                        <w:t>CCEP: Factor Scores</w:t>
                      </w:r>
                    </w:p>
                  </w:tc>
                  <w:tc>
                    <w:tcPr>
                      <w:tcW w:w="255" w:type="dxa"/>
                    </w:tcPr>
                    <w:p w14:paraId="23B4290E" w14:textId="77777777" w:rsidR="006B2C62" w:rsidRPr="003A3374" w:rsidRDefault="006B2C62" w:rsidP="006B2C62">
                      <w:pPr>
                        <w:pStyle w:val="Normal0"/>
                      </w:pPr>
                    </w:p>
                  </w:tc>
                  <w:tc>
                    <w:tcPr>
                      <w:tcW w:w="4663" w:type="dxa"/>
                      <w:tcBorders>
                        <w:bottom w:val="single" w:sz="8" w:space="0" w:color="000000" w:themeColor="text1"/>
                      </w:tcBorders>
                      <w:vAlign w:val="bottom"/>
                    </w:tcPr>
                    <w:p w14:paraId="5197C514" w14:textId="77777777" w:rsidR="006B2C62" w:rsidRPr="003A3374" w:rsidRDefault="006B2C62" w:rsidP="006B2C62">
                      <w:pPr>
                        <w:pStyle w:val="TableTitle"/>
                        <w:rPr>
                          <w:rFonts w:ascii="Source Sans Pro" w:hAnsi="Source Sans Pro"/>
                        </w:rPr>
                      </w:pPr>
                      <w:r w:rsidRPr="003A3374">
                        <w:rPr>
                          <w:rFonts w:ascii="Source Sans Pro" w:hAnsi="Source Sans Pro"/>
                        </w:rPr>
                        <w:t>Soft drinks: Factor Scores</w:t>
                      </w:r>
                    </w:p>
                  </w:tc>
                </w:tr>
                <w:tr w:rsidR="006B2C62" w:rsidRPr="003A3374" w14:paraId="038F4427" w14:textId="77777777" w:rsidTr="006D2966">
                  <w:trPr>
                    <w:cantSplit/>
                    <w:trHeight w:val="1304"/>
                  </w:trPr>
                  <w:tc>
                    <w:tcPr>
                      <w:tcW w:w="4663" w:type="dxa"/>
                      <w:tcBorders>
                        <w:top w:val="single" w:sz="8" w:space="0" w:color="000000" w:themeColor="text1"/>
                      </w:tcBorders>
                    </w:tcPr>
                    <w:p w14:paraId="651D077D" w14:textId="77777777" w:rsidR="006B2C62" w:rsidRPr="003A3374" w:rsidRDefault="006B2C62" w:rsidP="006B2C62">
                      <w:pPr>
                        <w:pStyle w:val="1pt"/>
                      </w:pPr>
                    </w:p>
                    <w:tbl>
                      <w:tblPr>
                        <w:tblStyle w:val="Dataholder"/>
                        <w:tblW w:w="4565" w:type="dxa"/>
                        <w:tblLayout w:type="fixed"/>
                        <w:tblLook w:val="0680" w:firstRow="0" w:lastRow="0" w:firstColumn="1" w:lastColumn="0" w:noHBand="1" w:noVBand="1"/>
                      </w:tblPr>
                      <w:tblGrid>
                        <w:gridCol w:w="1966"/>
                        <w:gridCol w:w="55"/>
                        <w:gridCol w:w="2544"/>
                      </w:tblGrid>
                      <w:tr w:rsidR="006B2C62" w:rsidRPr="003A3374" w14:paraId="6076403E" w14:textId="77777777" w:rsidTr="006D2966">
                        <w:trPr>
                          <w:trHeight w:val="1304"/>
                        </w:trPr>
                        <w:tc>
                          <w:tcPr>
                            <w:cnfStyle w:val="001000000000" w:firstRow="0" w:lastRow="0" w:firstColumn="1" w:lastColumn="0" w:oddVBand="0" w:evenVBand="0" w:oddHBand="0" w:evenHBand="0" w:firstRowFirstColumn="0" w:firstRowLastColumn="0" w:lastRowFirstColumn="0" w:lastRowLastColumn="0"/>
                            <w:tcW w:w="1966" w:type="dxa"/>
                          </w:tcPr>
                          <w:tbl>
                            <w:tblPr>
                              <w:tblStyle w:val="Dataholder"/>
                              <w:tblW w:w="2078" w:type="dxa"/>
                              <w:tblInd w:w="3" w:type="dxa"/>
                              <w:tblLayout w:type="fixed"/>
                              <w:tblCellMar>
                                <w:top w:w="28" w:type="dxa"/>
                                <w:right w:w="85" w:type="dxa"/>
                              </w:tblCellMar>
                              <w:tblLook w:val="0680" w:firstRow="0" w:lastRow="0" w:firstColumn="1" w:lastColumn="0" w:noHBand="1" w:noVBand="1"/>
                            </w:tblPr>
                            <w:tblGrid>
                              <w:gridCol w:w="2078"/>
                            </w:tblGrid>
                            <w:tr w:rsidR="006B2C62" w:rsidRPr="003A3374" w14:paraId="356B91D4" w14:textId="77777777" w:rsidTr="006D2966">
                              <w:trPr>
                                <w:trHeight w:val="283"/>
                              </w:trPr>
                              <w:tc>
                                <w:tcPr>
                                  <w:cnfStyle w:val="001000000000" w:firstRow="0" w:lastRow="0" w:firstColumn="1" w:lastColumn="0" w:oddVBand="0" w:evenVBand="0" w:oddHBand="0" w:evenHBand="0" w:firstRowFirstColumn="0" w:firstRowLastColumn="0" w:lastRowFirstColumn="0" w:lastRowLastColumn="0"/>
                                  <w:tcW w:w="2078" w:type="dxa"/>
                                  <w:shd w:val="clear" w:color="auto" w:fill="000000" w:themeFill="text1"/>
                                </w:tcPr>
                                <w:p w14:paraId="25B5402C" w14:textId="77777777" w:rsidR="006B2C62" w:rsidRPr="003A3374" w:rsidRDefault="006B2C62" w:rsidP="006B2C62">
                                  <w:pPr>
                                    <w:pStyle w:val="3DTableHeading"/>
                                    <w:rPr>
                                      <w:rFonts w:ascii="Source Sans Pro" w:hAnsi="Source Sans Pro"/>
                                    </w:rPr>
                                  </w:pPr>
                                  <w:r w:rsidRPr="003A3374">
                                    <w:rPr>
                                      <w:rFonts w:ascii="Source Sans Pro" w:hAnsi="Source Sans Pro"/>
                                    </w:rPr>
                                    <w:t>IDEAS Score: 17</w:t>
                                  </w:r>
                                  <w:r w:rsidRPr="003A3374">
                                    <w:rPr>
                                      <w:rFonts w:ascii="Source Sans Pro" w:hAnsi="Source Sans Pro"/>
                                      <w:color w:val="A6A6A6"/>
                                    </w:rPr>
                                    <w:t>/100</w:t>
                                  </w:r>
                                </w:p>
                              </w:tc>
                            </w:tr>
                            <w:tr w:rsidR="006B2C62" w:rsidRPr="003A3374" w14:paraId="25A6533B" w14:textId="77777777" w:rsidTr="006D2966">
                              <w:trPr>
                                <w:trHeight w:val="964"/>
                              </w:trPr>
                              <w:tc>
                                <w:tcPr>
                                  <w:cnfStyle w:val="001000000000" w:firstRow="0" w:lastRow="0" w:firstColumn="1" w:lastColumn="0" w:oddVBand="0" w:evenVBand="0" w:oddHBand="0" w:evenHBand="0" w:firstRowFirstColumn="0" w:firstRowLastColumn="0" w:lastRowFirstColumn="0" w:lastRowLastColumn="0"/>
                                  <w:tcW w:w="2078" w:type="dxa"/>
                                </w:tcPr>
                                <w:p w14:paraId="7AC6548B" w14:textId="77777777" w:rsidR="006B2C62" w:rsidRPr="003A3374" w:rsidRDefault="006B2C62" w:rsidP="006B2C62">
                                  <w:pPr>
                                    <w:pStyle w:val="TableText0"/>
                                    <w:rPr>
                                      <w:rFonts w:ascii="Source Sans Pro" w:hAnsi="Source Sans Pro"/>
                                    </w:rPr>
                                  </w:pPr>
                                  <w:r w:rsidRPr="003A3374">
                                    <w:rPr>
                                      <w:noProof/>
                                    </w:rPr>
                                    <w:drawing>
                                      <wp:anchor distT="0" distB="0" distL="0" distR="0" simplePos="0" relativeHeight="251658240" behindDoc="1" locked="0" layoutInCell="1" allowOverlap="1" wp14:anchorId="1EBEE6CE" wp14:editId="1CA939CA">
                                        <wp:simplePos x="0" y="0"/>
                                        <wp:positionH relativeFrom="page">
                                          <wp:posOffset>0</wp:posOffset>
                                        </wp:positionH>
                                        <wp:positionV relativeFrom="page">
                                          <wp:posOffset>0</wp:posOffset>
                                        </wp:positionV>
                                        <wp:extent cx="1245600" cy="550800"/>
                                        <wp:effectExtent l="0" t="0" r="0" b="0"/>
                                        <wp:wrapNone/>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wave - Bad EMC dot.svg"/>
                                                <pic:cNvPicPr/>
                                              </pic:nvPicPr>
                                              <pic:blipFill>
                                                <a:blip r:embed="rId13">
                                                  <a:extLst>
                                                    <a:ext uri="{96DAC541-7B7A-43D3-8B79-37D633B846F1}">
                                                      <asvg:svgBlip xmlns:asvg="http://schemas.microsoft.com/office/drawing/2016/SVG/main" r:embed="rId14"/>
                                                    </a:ext>
                                                  </a:extLst>
                                                </a:blip>
                                                <a:stretch>
                                                  <a:fillRect/>
                                                </a:stretch>
                                              </pic:blipFill>
                                              <pic:spPr>
                                                <a:xfrm>
                                                  <a:off x="0" y="0"/>
                                                  <a:ext cx="1245600" cy="550800"/>
                                                </a:xfrm>
                                                <a:prstGeom prst="rect">
                                                  <a:avLst/>
                                                </a:prstGeom>
                                              </pic:spPr>
                                            </pic:pic>
                                          </a:graphicData>
                                        </a:graphic>
                                      </wp:anchor>
                                    </w:drawing>
                                  </w:r>
                                </w:p>
                              </w:tc>
                            </w:tr>
                          </w:tbl>
                          <w:p w14:paraId="78D3C649" w14:textId="77777777" w:rsidR="006B2C62" w:rsidRPr="003A3374" w:rsidRDefault="006B2C62" w:rsidP="006B2C62">
                            <w:pPr>
                              <w:pStyle w:val="TableText0"/>
                              <w:rPr>
                                <w:rFonts w:ascii="Source Sans Pro" w:hAnsi="Source Sans Pro"/>
                              </w:rPr>
                            </w:pPr>
                          </w:p>
                        </w:tc>
                        <w:tc>
                          <w:tcPr>
                            <w:tcW w:w="55" w:type="dxa"/>
                          </w:tcPr>
                          <w:p w14:paraId="6F6AE623"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p>
                        </w:tc>
                        <w:tc>
                          <w:tcPr>
                            <w:tcW w:w="2544" w:type="dxa"/>
                          </w:tcPr>
                          <w:tbl>
                            <w:tblPr>
                              <w:tblStyle w:val="Dataholder"/>
                              <w:tblW w:w="2573" w:type="dxa"/>
                              <w:tblInd w:w="1" w:type="dxa"/>
                              <w:tblLayout w:type="fixed"/>
                              <w:tblCellMar>
                                <w:left w:w="28" w:type="dxa"/>
                                <w:right w:w="17" w:type="dxa"/>
                              </w:tblCellMar>
                              <w:tblLook w:val="0680" w:firstRow="0" w:lastRow="0" w:firstColumn="1" w:lastColumn="0" w:noHBand="1" w:noVBand="1"/>
                            </w:tblPr>
                            <w:tblGrid>
                              <w:gridCol w:w="1949"/>
                              <w:gridCol w:w="624"/>
                            </w:tblGrid>
                            <w:tr w:rsidR="006B2C62" w:rsidRPr="003A3374" w14:paraId="62D1D503" w14:textId="77777777" w:rsidTr="006D2966">
                              <w:trPr>
                                <w:cantSplit/>
                                <w:trHeight w:hRule="exact" w:val="250"/>
                              </w:trPr>
                              <w:tc>
                                <w:tcPr>
                                  <w:cnfStyle w:val="001000000000" w:firstRow="0" w:lastRow="0" w:firstColumn="1" w:lastColumn="0" w:oddVBand="0" w:evenVBand="0" w:oddHBand="0" w:evenHBand="0" w:firstRowFirstColumn="0" w:firstRowLastColumn="0" w:lastRowFirstColumn="0" w:lastRowLastColumn="0"/>
                                  <w:tcW w:w="1949" w:type="dxa"/>
                                  <w:noWrap/>
                                  <w:tcMar>
                                    <w:left w:w="113" w:type="dxa"/>
                                  </w:tcMar>
                                  <w:hideMark/>
                                </w:tcPr>
                                <w:p w14:paraId="730BC439" w14:textId="77777777" w:rsidR="006B2C62" w:rsidRPr="003A3374" w:rsidRDefault="006B2C62" w:rsidP="006B2C62">
                                  <w:pPr>
                                    <w:pStyle w:val="TableText0"/>
                                    <w:rPr>
                                      <w:rFonts w:ascii="Source Sans Pro" w:hAnsi="Source Sans Pro"/>
                                    </w:rPr>
                                  </w:pPr>
                                  <w:r w:rsidRPr="003A3374">
                                    <w:rPr>
                                      <w:rFonts w:ascii="Source Sans Pro" w:hAnsi="Source Sans Pro"/>
                                    </w:rPr>
                                    <w:t>Value (implied change)</w:t>
                                  </w:r>
                                </w:p>
                              </w:tc>
                              <w:tc>
                                <w:tcPr>
                                  <w:tcW w:w="624" w:type="dxa"/>
                                </w:tcPr>
                                <w:p w14:paraId="2573B41F"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40</w:t>
                                  </w:r>
                                </w:p>
                              </w:tc>
                            </w:tr>
                            <w:tr w:rsidR="006B2C62" w:rsidRPr="003A3374" w14:paraId="381614FD" w14:textId="77777777" w:rsidTr="006D2966">
                              <w:trPr>
                                <w:cantSplit/>
                                <w:trHeight w:hRule="exact" w:val="250"/>
                              </w:trPr>
                              <w:tc>
                                <w:tcPr>
                                  <w:cnfStyle w:val="001000000000" w:firstRow="0" w:lastRow="0" w:firstColumn="1" w:lastColumn="0" w:oddVBand="0" w:evenVBand="0" w:oddHBand="0" w:evenHBand="0" w:firstRowFirstColumn="0" w:firstRowLastColumn="0" w:lastRowFirstColumn="0" w:lastRowLastColumn="0"/>
                                  <w:tcW w:w="1949" w:type="dxa"/>
                                  <w:noWrap/>
                                  <w:tcMar>
                                    <w:left w:w="113" w:type="dxa"/>
                                  </w:tcMar>
                                  <w:hideMark/>
                                </w:tcPr>
                                <w:p w14:paraId="26E5C66F" w14:textId="77777777" w:rsidR="006B2C62" w:rsidRPr="003A3374" w:rsidRDefault="006B2C62" w:rsidP="006B2C62">
                                  <w:pPr>
                                    <w:pStyle w:val="TableText0"/>
                                    <w:rPr>
                                      <w:rFonts w:ascii="Source Sans Pro" w:hAnsi="Source Sans Pro"/>
                                    </w:rPr>
                                  </w:pPr>
                                  <w:r w:rsidRPr="003A3374">
                                    <w:rPr>
                                      <w:rFonts w:ascii="Source Sans Pro" w:hAnsi="Source Sans Pro"/>
                                    </w:rPr>
                                    <w:t>Growth</w:t>
                                  </w:r>
                                </w:p>
                              </w:tc>
                              <w:tc>
                                <w:tcPr>
                                  <w:tcW w:w="624" w:type="dxa"/>
                                </w:tcPr>
                                <w:p w14:paraId="57FA4AD8"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31</w:t>
                                  </w:r>
                                </w:p>
                              </w:tc>
                            </w:tr>
                            <w:tr w:rsidR="006B2C62" w:rsidRPr="003A3374" w14:paraId="2C1C38C0" w14:textId="77777777" w:rsidTr="006D2966">
                              <w:trPr>
                                <w:cantSplit/>
                                <w:trHeight w:hRule="exact" w:val="250"/>
                              </w:trPr>
                              <w:tc>
                                <w:tcPr>
                                  <w:cnfStyle w:val="001000000000" w:firstRow="0" w:lastRow="0" w:firstColumn="1" w:lastColumn="0" w:oddVBand="0" w:evenVBand="0" w:oddHBand="0" w:evenHBand="0" w:firstRowFirstColumn="0" w:firstRowLastColumn="0" w:lastRowFirstColumn="0" w:lastRowLastColumn="0"/>
                                  <w:tcW w:w="1949" w:type="dxa"/>
                                  <w:noWrap/>
                                  <w:tcMar>
                                    <w:left w:w="113" w:type="dxa"/>
                                  </w:tcMar>
                                  <w:hideMark/>
                                </w:tcPr>
                                <w:p w14:paraId="4230038E" w14:textId="77777777" w:rsidR="006B2C62" w:rsidRPr="003A3374" w:rsidRDefault="006B2C62" w:rsidP="006B2C62">
                                  <w:pPr>
                                    <w:pStyle w:val="TableText0"/>
                                    <w:rPr>
                                      <w:rFonts w:ascii="Source Sans Pro" w:hAnsi="Source Sans Pro"/>
                                    </w:rPr>
                                  </w:pPr>
                                  <w:r w:rsidRPr="003A3374">
                                    <w:rPr>
                                      <w:rFonts w:ascii="Source Sans Pro" w:hAnsi="Source Sans Pro"/>
                                    </w:rPr>
                                    <w:t>Ests Mom (EPS)</w:t>
                                  </w:r>
                                </w:p>
                              </w:tc>
                              <w:tc>
                                <w:tcPr>
                                  <w:tcW w:w="624" w:type="dxa"/>
                                </w:tcPr>
                                <w:p w14:paraId="470529AA"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40</w:t>
                                  </w:r>
                                </w:p>
                              </w:tc>
                            </w:tr>
                            <w:tr w:rsidR="006B2C62" w:rsidRPr="003A3374" w14:paraId="17A57EFF" w14:textId="77777777" w:rsidTr="006D2966">
                              <w:trPr>
                                <w:cantSplit/>
                                <w:trHeight w:hRule="exact" w:val="250"/>
                              </w:trPr>
                              <w:tc>
                                <w:tcPr>
                                  <w:cnfStyle w:val="001000000000" w:firstRow="0" w:lastRow="0" w:firstColumn="1" w:lastColumn="0" w:oddVBand="0" w:evenVBand="0" w:oddHBand="0" w:evenHBand="0" w:firstRowFirstColumn="0" w:firstRowLastColumn="0" w:lastRowFirstColumn="0" w:lastRowLastColumn="0"/>
                                  <w:tcW w:w="1949" w:type="dxa"/>
                                  <w:noWrap/>
                                  <w:tcMar>
                                    <w:left w:w="113" w:type="dxa"/>
                                  </w:tcMar>
                                  <w:hideMark/>
                                </w:tcPr>
                                <w:p w14:paraId="51B9D6FF" w14:textId="77777777" w:rsidR="006B2C62" w:rsidRPr="003A3374" w:rsidRDefault="006B2C62" w:rsidP="006B2C62">
                                  <w:pPr>
                                    <w:pStyle w:val="TableText0"/>
                                    <w:rPr>
                                      <w:rFonts w:ascii="Source Sans Pro" w:hAnsi="Source Sans Pro"/>
                                    </w:rPr>
                                  </w:pPr>
                                  <w:r w:rsidRPr="003A3374">
                                    <w:rPr>
                                      <w:rFonts w:ascii="Source Sans Pro" w:hAnsi="Source Sans Pro"/>
                                    </w:rPr>
                                    <w:t>Ests Mom change (3m)</w:t>
                                  </w:r>
                                </w:p>
                              </w:tc>
                              <w:tc>
                                <w:tcPr>
                                  <w:tcW w:w="624" w:type="dxa"/>
                                </w:tcPr>
                                <w:p w14:paraId="6179C5C8"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+1</w:t>
                                  </w:r>
                                </w:p>
                              </w:tc>
                            </w:tr>
                            <w:tr w:rsidR="006B2C62" w:rsidRPr="003A3374" w14:paraId="32375F7F" w14:textId="77777777" w:rsidTr="006D2966">
                              <w:trPr>
                                <w:cantSplit/>
                                <w:trHeight w:hRule="exact" w:val="250"/>
                              </w:trPr>
                              <w:tc>
                                <w:tcPr>
                                  <w:cnfStyle w:val="001000000000" w:firstRow="0" w:lastRow="0" w:firstColumn="1" w:lastColumn="0" w:oddVBand="0" w:evenVBand="0" w:oddHBand="0" w:evenHBand="0" w:firstRowFirstColumn="0" w:firstRowLastColumn="0" w:lastRowFirstColumn="0" w:lastRowLastColumn="0"/>
                                  <w:tcW w:w="1949" w:type="dxa"/>
                                  <w:noWrap/>
                                  <w:tcMar>
                                    <w:left w:w="113" w:type="dxa"/>
                                  </w:tcMar>
                                  <w:hideMark/>
                                </w:tcPr>
                                <w:p w14:paraId="4305C159" w14:textId="77777777" w:rsidR="006B2C62" w:rsidRPr="003A3374" w:rsidRDefault="006B2C62" w:rsidP="006B2C62">
                                  <w:pPr>
                                    <w:pStyle w:val="TableText0"/>
                                    <w:rPr>
                                      <w:rFonts w:ascii="Source Sans Pro" w:hAnsi="Source Sans Pro"/>
                                    </w:rPr>
                                  </w:pPr>
                                  <w:r w:rsidRPr="003A3374">
                                    <w:rPr>
                                      <w:rFonts w:ascii="Source Sans Pro" w:hAnsi="Source Sans Pro"/>
                                    </w:rPr>
                                    <w:t>Quality (returns)</w:t>
                                  </w:r>
                                </w:p>
                              </w:tc>
                              <w:tc>
                                <w:tcPr>
                                  <w:tcW w:w="624" w:type="dxa"/>
                                </w:tcPr>
                                <w:p w14:paraId="4ED73C76"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47</w:t>
                                  </w:r>
                                </w:p>
                              </w:tc>
                            </w:tr>
                          </w:tbl>
                          <w:p w14:paraId="115762CE" w14:textId="77777777" w:rsidR="006B2C62" w:rsidRPr="003A3374" w:rsidRDefault="006B2C62" w:rsidP="006B2C62">
                            <w:pPr>
                              <w:pStyle w:val="TableText0"/>
                              <w:jc w:val="left"/>
                              <w:cnfStyle w:val="000000000000" w:firstRow="0" w:lastRow="0" w:firstColumn="0" w:lastColumn="0" w:oddVBand="0" w:evenVBand="0" w:oddHBand="0" w:evenHBand="0" w:firstRowFirstColumn="0" w:firstRowLastColumn="0" w:lastRowFirstColumn="0" w:lastRowLastColumn="0"/>
                              <w:rPr>
                                <w:rFonts w:ascii="Source Sans Pro" w:hAnsi="Source Sans Pro"/>
                              </w:rPr>
                            </w:pPr>
                          </w:p>
                        </w:tc>
                      </w:tr>
                    </w:tbl>
                    <w:p w14:paraId="338B6856" w14:textId="77777777" w:rsidR="006B2C62" w:rsidRPr="003A3374" w:rsidRDefault="006B2C62" w:rsidP="006B2C62">
                      <w:pPr>
                        <w:pStyle w:val="Tableplaceholder"/>
                      </w:pPr>
                    </w:p>
                  </w:tc>
                  <w:tc>
                    <w:tcPr>
                      <w:tcW w:w="255" w:type="dxa"/>
                    </w:tcPr>
                    <w:p w14:paraId="062E6E9B" w14:textId="77777777" w:rsidR="006B2C62" w:rsidRPr="003A3374" w:rsidRDefault="006B2C62" w:rsidP="006B2C62">
                      <w:pPr>
                        <w:pStyle w:val="Normal0"/>
                      </w:pPr>
                    </w:p>
                  </w:tc>
                  <w:tc>
                    <w:tcPr>
                      <w:tcW w:w="4663" w:type="dxa"/>
                      <w:tcBorders>
                        <w:top w:val="single" w:sz="8" w:space="0" w:color="000000" w:themeColor="text1"/>
                      </w:tcBorders>
                    </w:tcPr>
                    <w:p w14:paraId="3E55EF19" w14:textId="77777777" w:rsidR="006B2C62" w:rsidRPr="003A3374" w:rsidRDefault="006B2C62" w:rsidP="006B2C62">
                      <w:pPr>
                        <w:pStyle w:val="1pt"/>
                      </w:pPr>
                      <w:r w:rsidRPr="003A3374">
                        <w:t xml:space="preserve"> </w:t>
                      </w:r>
                    </w:p>
                    <w:tbl>
                      <w:tblPr>
                        <w:tblStyle w:val="Dataholder"/>
                        <w:tblW w:w="4565" w:type="dxa"/>
                        <w:tblLayout w:type="fixed"/>
                        <w:tblLook w:val="0680" w:firstRow="0" w:lastRow="0" w:firstColumn="1" w:lastColumn="0" w:noHBand="1" w:noVBand="1"/>
                      </w:tblPr>
                      <w:tblGrid>
                        <w:gridCol w:w="1966"/>
                        <w:gridCol w:w="55"/>
                        <w:gridCol w:w="2544"/>
                      </w:tblGrid>
                      <w:tr w:rsidR="006B2C62" w:rsidRPr="003A3374" w14:paraId="03B42CB0" w14:textId="77777777" w:rsidTr="006D2966">
                        <w:trPr>
                          <w:trHeight w:val="1304"/>
                        </w:trPr>
                        <w:tc>
                          <w:tcPr>
                            <w:cnfStyle w:val="001000000000" w:firstRow="0" w:lastRow="0" w:firstColumn="1" w:lastColumn="0" w:oddVBand="0" w:evenVBand="0" w:oddHBand="0" w:evenHBand="0" w:firstRowFirstColumn="0" w:firstRowLastColumn="0" w:lastRowFirstColumn="0" w:lastRowLastColumn="0"/>
                            <w:tcW w:w="1966" w:type="dxa"/>
                          </w:tcPr>
                          <w:tbl>
                            <w:tblPr>
                              <w:tblStyle w:val="Dataholder"/>
                              <w:tblW w:w="2078" w:type="dxa"/>
                              <w:tblInd w:w="3" w:type="dxa"/>
                              <w:tblLayout w:type="fixed"/>
                              <w:tblCellMar>
                                <w:top w:w="28" w:type="dxa"/>
                                <w:right w:w="85" w:type="dxa"/>
                              </w:tblCellMar>
                              <w:tblLook w:val="0680" w:firstRow="0" w:lastRow="0" w:firstColumn="1" w:lastColumn="0" w:noHBand="1" w:noVBand="1"/>
                            </w:tblPr>
                            <w:tblGrid>
                              <w:gridCol w:w="2078"/>
                            </w:tblGrid>
                            <w:tr w:rsidR="006B2C62" w:rsidRPr="003A3374" w14:paraId="1BEF402F" w14:textId="77777777" w:rsidTr="006D2966">
                              <w:trPr>
                                <w:trHeight w:val="283"/>
                              </w:trPr>
                              <w:tc>
                                <w:tcPr>
                                  <w:cnfStyle w:val="001000000000" w:firstRow="0" w:lastRow="0" w:firstColumn="1" w:lastColumn="0" w:oddVBand="0" w:evenVBand="0" w:oddHBand="0" w:evenHBand="0" w:firstRowFirstColumn="0" w:firstRowLastColumn="0" w:lastRowFirstColumn="0" w:lastRowLastColumn="0"/>
                                  <w:tcW w:w="2078" w:type="dxa"/>
                                  <w:shd w:val="clear" w:color="auto" w:fill="000000" w:themeFill="text1"/>
                                </w:tcPr>
                                <w:p w14:paraId="01C2742B" w14:textId="77777777" w:rsidR="006B2C62" w:rsidRPr="003A3374" w:rsidRDefault="006B2C62" w:rsidP="006B2C62">
                                  <w:pPr>
                                    <w:pStyle w:val="3DTableHeading"/>
                                    <w:rPr>
                                      <w:rFonts w:ascii="Source Sans Pro" w:hAnsi="Source Sans Pro"/>
                                    </w:rPr>
                                  </w:pPr>
                                  <w:r w:rsidRPr="003A3374">
                                    <w:rPr>
                                      <w:rFonts w:ascii="Source Sans Pro" w:hAnsi="Source Sans Pro"/>
                                    </w:rPr>
                                    <w:t>IDEAS Score: 21</w:t>
                                  </w:r>
                                  <w:r w:rsidRPr="003A3374">
                                    <w:rPr>
                                      <w:rFonts w:ascii="Source Sans Pro" w:hAnsi="Source Sans Pro"/>
                                      <w:color w:val="A6A6A6"/>
                                    </w:rPr>
                                    <w:t>/100</w:t>
                                  </w:r>
                                </w:p>
                              </w:tc>
                            </w:tr>
                            <w:tr w:rsidR="006B2C62" w:rsidRPr="003A3374" w14:paraId="31984485" w14:textId="77777777" w:rsidTr="006D2966">
                              <w:trPr>
                                <w:trHeight w:val="964"/>
                              </w:trPr>
                              <w:tc>
                                <w:tcPr>
                                  <w:cnfStyle w:val="001000000000" w:firstRow="0" w:lastRow="0" w:firstColumn="1" w:lastColumn="0" w:oddVBand="0" w:evenVBand="0" w:oddHBand="0" w:evenHBand="0" w:firstRowFirstColumn="0" w:firstRowLastColumn="0" w:lastRowFirstColumn="0" w:lastRowLastColumn="0"/>
                                  <w:tcW w:w="2078" w:type="dxa"/>
                                </w:tcPr>
                                <w:p w14:paraId="447E0525" w14:textId="77777777" w:rsidR="006B2C62" w:rsidRPr="003A3374" w:rsidRDefault="006B2C62" w:rsidP="006B2C62">
                                  <w:pPr>
                                    <w:pStyle w:val="TableText0"/>
                                    <w:rPr>
                                      <w:rFonts w:ascii="Source Sans Pro" w:hAnsi="Source Sans Pro"/>
                                    </w:rPr>
                                  </w:pPr>
                                  <w:r w:rsidRPr="003A3374">
                                    <w:rPr>
                                      <w:noProof/>
                                    </w:rPr>
                                    <w:drawing>
                                      <wp:anchor distT="0" distB="0" distL="0" distR="0" simplePos="0" relativeHeight="251658241" behindDoc="1" locked="0" layoutInCell="1" allowOverlap="1" wp14:anchorId="231AC2C4" wp14:editId="54AE9E83">
                                        <wp:simplePos x="0" y="0"/>
                                        <wp:positionH relativeFrom="page">
                                          <wp:posOffset>0</wp:posOffset>
                                        </wp:positionH>
                                        <wp:positionV relativeFrom="page">
                                          <wp:posOffset>0</wp:posOffset>
                                        </wp:positionV>
                                        <wp:extent cx="1245600" cy="550800"/>
                                        <wp:effectExtent l="0" t="0" r="0" b="0"/>
                                        <wp:wrapNone/>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wave - Watch Minus EMC dot.svg"/>
                                                <pic:cNvPicPr/>
                                              </pic:nvPicPr>
                                              <pic:blipFill>
                                                <a:blip r:embed="rId15">
                                                  <a:extLst>
                                                    <a:ext uri="{96DAC541-7B7A-43D3-8B79-37D633B846F1}">
                                                      <asvg:svgBlip xmlns:asvg="http://schemas.microsoft.com/office/drawing/2016/SVG/main" r:embed="rId16"/>
                                                    </a:ext>
                                                  </a:extLst>
                                                </a:blip>
                                                <a:stretch>
                                                  <a:fillRect/>
                                                </a:stretch>
                                              </pic:blipFill>
                                              <pic:spPr>
                                                <a:xfrm>
                                                  <a:off x="0" y="0"/>
                                                  <a:ext cx="1245600" cy="550800"/>
                                                </a:xfrm>
                                                <a:prstGeom prst="rect">
                                                  <a:avLst/>
                                                </a:prstGeom>
                                              </pic:spPr>
                                            </pic:pic>
                                          </a:graphicData>
                                        </a:graphic>
                                      </wp:anchor>
                                    </w:drawing>
                                  </w:r>
                                </w:p>
                              </w:tc>
                            </w:tr>
                          </w:tbl>
                          <w:p w14:paraId="39896142" w14:textId="77777777" w:rsidR="006B2C62" w:rsidRPr="003A3374" w:rsidRDefault="006B2C62" w:rsidP="006B2C62">
                            <w:pPr>
                              <w:pStyle w:val="TableText0"/>
                              <w:rPr>
                                <w:rFonts w:ascii="Source Sans Pro" w:hAnsi="Source Sans Pro"/>
                              </w:rPr>
                            </w:pPr>
                          </w:p>
                        </w:tc>
                        <w:tc>
                          <w:tcPr>
                            <w:tcW w:w="55" w:type="dxa"/>
                          </w:tcPr>
                          <w:p w14:paraId="6664EAA1"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p>
                        </w:tc>
                        <w:tc>
                          <w:tcPr>
                            <w:tcW w:w="2544" w:type="dxa"/>
                          </w:tcPr>
                          <w:tbl>
                            <w:tblPr>
                              <w:tblStyle w:val="Dataholder"/>
                              <w:tblW w:w="2569" w:type="dxa"/>
                              <w:tblInd w:w="1" w:type="dxa"/>
                              <w:tblLayout w:type="fixed"/>
                              <w:tblCellMar>
                                <w:left w:w="28" w:type="dxa"/>
                                <w:right w:w="17" w:type="dxa"/>
                              </w:tblCellMar>
                              <w:tblLook w:val="0680" w:firstRow="0" w:lastRow="0" w:firstColumn="1" w:lastColumn="0" w:noHBand="1" w:noVBand="1"/>
                            </w:tblPr>
                            <w:tblGrid>
                              <w:gridCol w:w="1946"/>
                              <w:gridCol w:w="623"/>
                            </w:tblGrid>
                            <w:tr w:rsidR="006B2C62" w:rsidRPr="003A3374" w14:paraId="77F8BDE2" w14:textId="77777777" w:rsidTr="006D2966">
                              <w:trPr>
                                <w:trHeight w:hRule="exact" w:val="250"/>
                              </w:trPr>
                              <w:tc>
                                <w:tcPr>
                                  <w:cnfStyle w:val="001000000000" w:firstRow="0" w:lastRow="0" w:firstColumn="1" w:lastColumn="0" w:oddVBand="0" w:evenVBand="0" w:oddHBand="0" w:evenHBand="0" w:firstRowFirstColumn="0" w:firstRowLastColumn="0" w:lastRowFirstColumn="0" w:lastRowLastColumn="0"/>
                                  <w:tcW w:w="1946" w:type="dxa"/>
                                  <w:noWrap/>
                                  <w:tcMar>
                                    <w:left w:w="113" w:type="dxa"/>
                                  </w:tcMar>
                                  <w:hideMark/>
                                </w:tcPr>
                                <w:p w14:paraId="488A1188" w14:textId="77777777" w:rsidR="006B2C62" w:rsidRPr="003A3374" w:rsidRDefault="006B2C62" w:rsidP="006B2C62">
                                  <w:pPr>
                                    <w:pStyle w:val="TableText0"/>
                                    <w:rPr>
                                      <w:rFonts w:ascii="Source Sans Pro" w:hAnsi="Source Sans Pro"/>
                                    </w:rPr>
                                  </w:pPr>
                                  <w:r w:rsidRPr="003A3374">
                                    <w:rPr>
                                      <w:rFonts w:ascii="Source Sans Pro" w:hAnsi="Source Sans Pro"/>
                                    </w:rPr>
                                    <w:t>Value (implied change)</w:t>
                                  </w:r>
                                </w:p>
                              </w:tc>
                              <w:tc>
                                <w:tcPr>
                                  <w:tcW w:w="623" w:type="dxa"/>
                                </w:tcPr>
                                <w:p w14:paraId="73CF6F96"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44</w:t>
                                  </w:r>
                                </w:p>
                              </w:tc>
                            </w:tr>
                            <w:tr w:rsidR="006B2C62" w:rsidRPr="003A3374" w14:paraId="388F152A" w14:textId="77777777" w:rsidTr="006D2966">
                              <w:trPr>
                                <w:trHeight w:hRule="exact" w:val="250"/>
                              </w:trPr>
                              <w:tc>
                                <w:tcPr>
                                  <w:cnfStyle w:val="001000000000" w:firstRow="0" w:lastRow="0" w:firstColumn="1" w:lastColumn="0" w:oddVBand="0" w:evenVBand="0" w:oddHBand="0" w:evenHBand="0" w:firstRowFirstColumn="0" w:firstRowLastColumn="0" w:lastRowFirstColumn="0" w:lastRowLastColumn="0"/>
                                  <w:tcW w:w="1946" w:type="dxa"/>
                                  <w:noWrap/>
                                  <w:tcMar>
                                    <w:left w:w="113" w:type="dxa"/>
                                  </w:tcMar>
                                  <w:hideMark/>
                                </w:tcPr>
                                <w:p w14:paraId="1C9972A0" w14:textId="77777777" w:rsidR="006B2C62" w:rsidRPr="003A3374" w:rsidRDefault="006B2C62" w:rsidP="006B2C62">
                                  <w:pPr>
                                    <w:pStyle w:val="TableText0"/>
                                    <w:rPr>
                                      <w:rFonts w:ascii="Source Sans Pro" w:hAnsi="Source Sans Pro"/>
                                    </w:rPr>
                                  </w:pPr>
                                  <w:r w:rsidRPr="003A3374">
                                    <w:rPr>
                                      <w:rFonts w:ascii="Source Sans Pro" w:hAnsi="Source Sans Pro"/>
                                    </w:rPr>
                                    <w:t>Growth</w:t>
                                  </w:r>
                                </w:p>
                              </w:tc>
                              <w:tc>
                                <w:tcPr>
                                  <w:tcW w:w="623" w:type="dxa"/>
                                </w:tcPr>
                                <w:p w14:paraId="45CF30C7"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20</w:t>
                                  </w:r>
                                </w:p>
                              </w:tc>
                            </w:tr>
                            <w:tr w:rsidR="006B2C62" w:rsidRPr="003A3374" w14:paraId="54403568" w14:textId="77777777" w:rsidTr="006D2966">
                              <w:trPr>
                                <w:trHeight w:hRule="exact" w:val="250"/>
                              </w:trPr>
                              <w:tc>
                                <w:tcPr>
                                  <w:cnfStyle w:val="001000000000" w:firstRow="0" w:lastRow="0" w:firstColumn="1" w:lastColumn="0" w:oddVBand="0" w:evenVBand="0" w:oddHBand="0" w:evenHBand="0" w:firstRowFirstColumn="0" w:firstRowLastColumn="0" w:lastRowFirstColumn="0" w:lastRowLastColumn="0"/>
                                  <w:tcW w:w="1946" w:type="dxa"/>
                                  <w:noWrap/>
                                  <w:tcMar>
                                    <w:left w:w="113" w:type="dxa"/>
                                  </w:tcMar>
                                  <w:hideMark/>
                                </w:tcPr>
                                <w:p w14:paraId="642BC20C" w14:textId="77777777" w:rsidR="006B2C62" w:rsidRPr="003A3374" w:rsidRDefault="006B2C62" w:rsidP="006B2C62">
                                  <w:pPr>
                                    <w:pStyle w:val="TableText0"/>
                                    <w:rPr>
                                      <w:rFonts w:ascii="Source Sans Pro" w:hAnsi="Source Sans Pro"/>
                                    </w:rPr>
                                  </w:pPr>
                                  <w:r w:rsidRPr="003A3374">
                                    <w:rPr>
                                      <w:rFonts w:ascii="Source Sans Pro" w:hAnsi="Source Sans Pro"/>
                                    </w:rPr>
                                    <w:t>Ests Mom (EPS)</w:t>
                                  </w:r>
                                </w:p>
                              </w:tc>
                              <w:tc>
                                <w:tcPr>
                                  <w:tcW w:w="623" w:type="dxa"/>
                                </w:tcPr>
                                <w:p w14:paraId="7DC045BC"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52</w:t>
                                  </w:r>
                                </w:p>
                              </w:tc>
                            </w:tr>
                            <w:tr w:rsidR="006B2C62" w:rsidRPr="003A3374" w14:paraId="660F0317" w14:textId="77777777" w:rsidTr="006D2966">
                              <w:trPr>
                                <w:trHeight w:hRule="exact" w:val="250"/>
                              </w:trPr>
                              <w:tc>
                                <w:tcPr>
                                  <w:cnfStyle w:val="001000000000" w:firstRow="0" w:lastRow="0" w:firstColumn="1" w:lastColumn="0" w:oddVBand="0" w:evenVBand="0" w:oddHBand="0" w:evenHBand="0" w:firstRowFirstColumn="0" w:firstRowLastColumn="0" w:lastRowFirstColumn="0" w:lastRowLastColumn="0"/>
                                  <w:tcW w:w="1946" w:type="dxa"/>
                                  <w:noWrap/>
                                  <w:tcMar>
                                    <w:left w:w="113" w:type="dxa"/>
                                  </w:tcMar>
                                  <w:hideMark/>
                                </w:tcPr>
                                <w:p w14:paraId="3E4DB737" w14:textId="77777777" w:rsidR="006B2C62" w:rsidRPr="003A3374" w:rsidRDefault="006B2C62" w:rsidP="006B2C62">
                                  <w:pPr>
                                    <w:pStyle w:val="TableText0"/>
                                    <w:rPr>
                                      <w:rFonts w:ascii="Source Sans Pro" w:hAnsi="Source Sans Pro"/>
                                    </w:rPr>
                                  </w:pPr>
                                  <w:r w:rsidRPr="003A3374">
                                    <w:rPr>
                                      <w:rFonts w:ascii="Source Sans Pro" w:hAnsi="Source Sans Pro"/>
                                    </w:rPr>
                                    <w:t>Ests Mom change (3m)</w:t>
                                  </w:r>
                                </w:p>
                              </w:tc>
                              <w:tc>
                                <w:tcPr>
                                  <w:tcW w:w="623" w:type="dxa"/>
                                </w:tcPr>
                                <w:p w14:paraId="467A8A0E"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-1</w:t>
                                  </w:r>
                                </w:p>
                              </w:tc>
                            </w:tr>
                            <w:tr w:rsidR="006B2C62" w:rsidRPr="003A3374" w14:paraId="67363BF8" w14:textId="77777777" w:rsidTr="006D2966">
                              <w:trPr>
                                <w:trHeight w:hRule="exact" w:val="250"/>
                              </w:trPr>
                              <w:tc>
                                <w:tcPr>
                                  <w:cnfStyle w:val="001000000000" w:firstRow="0" w:lastRow="0" w:firstColumn="1" w:lastColumn="0" w:oddVBand="0" w:evenVBand="0" w:oddHBand="0" w:evenHBand="0" w:firstRowFirstColumn="0" w:firstRowLastColumn="0" w:lastRowFirstColumn="0" w:lastRowLastColumn="0"/>
                                  <w:tcW w:w="1946" w:type="dxa"/>
                                  <w:noWrap/>
                                  <w:tcMar>
                                    <w:left w:w="113" w:type="dxa"/>
                                  </w:tcMar>
                                  <w:hideMark/>
                                </w:tcPr>
                                <w:p w14:paraId="68F6788C" w14:textId="77777777" w:rsidR="006B2C62" w:rsidRPr="003A3374" w:rsidRDefault="006B2C62" w:rsidP="006B2C62">
                                  <w:pPr>
                                    <w:pStyle w:val="TableText0"/>
                                    <w:rPr>
                                      <w:rFonts w:ascii="Source Sans Pro" w:hAnsi="Source Sans Pro"/>
                                    </w:rPr>
                                  </w:pPr>
                                  <w:r w:rsidRPr="003A3374">
                                    <w:rPr>
                                      <w:rFonts w:ascii="Source Sans Pro" w:hAnsi="Source Sans Pro"/>
                                    </w:rPr>
                                    <w:t>Quality (returns)</w:t>
                                  </w:r>
                                </w:p>
                              </w:tc>
                              <w:tc>
                                <w:tcPr>
                                  <w:tcW w:w="623" w:type="dxa"/>
                                </w:tcPr>
                                <w:p w14:paraId="527B81FA"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79</w:t>
                                  </w:r>
                                </w:p>
                              </w:tc>
                            </w:tr>
                          </w:tbl>
                          <w:p w14:paraId="26A7855E" w14:textId="77777777" w:rsidR="006B2C62" w:rsidRPr="003A3374" w:rsidRDefault="006B2C62" w:rsidP="006B2C62">
                            <w:pPr>
                              <w:pStyle w:val="TableText0"/>
                              <w:jc w:val="left"/>
                              <w:cnfStyle w:val="000000000000" w:firstRow="0" w:lastRow="0" w:firstColumn="0" w:lastColumn="0" w:oddVBand="0" w:evenVBand="0" w:oddHBand="0" w:evenHBand="0" w:firstRowFirstColumn="0" w:firstRowLastColumn="0" w:lastRowFirstColumn="0" w:lastRowLastColumn="0"/>
                              <w:rPr>
                                <w:rFonts w:ascii="Source Sans Pro" w:hAnsi="Source Sans Pro"/>
                              </w:rPr>
                            </w:pPr>
                          </w:p>
                        </w:tc>
                      </w:tr>
                    </w:tbl>
                    <w:p w14:paraId="3222FEA1" w14:textId="77777777" w:rsidR="006B2C62" w:rsidRPr="003A3374" w:rsidRDefault="006B2C62" w:rsidP="006B2C62"/>
                  </w:tc>
                </w:tr>
                <w:tr w:rsidR="006B2C62" w:rsidRPr="003A3374" w14:paraId="11B4872C" w14:textId="77777777" w:rsidTr="006D2966">
                  <w:trPr>
                    <w:cantSplit/>
                    <w:trHeight w:hRule="exact" w:val="20"/>
                  </w:trPr>
                  <w:tc>
                    <w:tcPr>
                      <w:tcW w:w="4663" w:type="dxa"/>
                    </w:tcPr>
                    <w:p w14:paraId="2A364198" w14:textId="77777777" w:rsidR="006B2C62" w:rsidRPr="003A3374" w:rsidRDefault="006B2C62" w:rsidP="006B2C62">
                      <w:pPr>
                        <w:pStyle w:val="Tableplaceholder"/>
                        <w:jc w:val="left"/>
                        <w:rPr>
                          <w:rFonts w:ascii="Source Sans Pro" w:hAnsi="Source Sans Pro"/>
                          <w:b/>
                          <w:bCs/>
                          <w:sz w:val="20"/>
                        </w:rPr>
                      </w:pPr>
                    </w:p>
                  </w:tc>
                  <w:tc>
                    <w:tcPr>
                      <w:tcW w:w="255" w:type="dxa"/>
                    </w:tcPr>
                    <w:p w14:paraId="7E7F2B3F" w14:textId="77777777" w:rsidR="006B2C62" w:rsidRPr="003A3374" w:rsidRDefault="006B2C62" w:rsidP="006B2C62">
                      <w:pPr>
                        <w:pStyle w:val="Normal0"/>
                        <w:rPr>
                          <w:b/>
                          <w:bCs/>
                          <w:sz w:val="18"/>
                          <w:szCs w:val="18"/>
                        </w:rPr>
                      </w:pPr>
                    </w:p>
                  </w:tc>
                  <w:tc>
                    <w:tcPr>
                      <w:tcW w:w="4663" w:type="dxa"/>
                    </w:tcPr>
                    <w:p w14:paraId="6FAB1794" w14:textId="77777777" w:rsidR="006B2C62" w:rsidRPr="003A3374" w:rsidRDefault="006B2C62" w:rsidP="006B2C62">
                      <w:pPr>
                        <w:pStyle w:val="Tableplaceholder"/>
                        <w:jc w:val="left"/>
                        <w:rPr>
                          <w:rFonts w:ascii="Source Sans Pro" w:hAnsi="Source Sans Pro"/>
                          <w:b/>
                          <w:bCs/>
                          <w:szCs w:val="18"/>
                        </w:rPr>
                      </w:pPr>
                    </w:p>
                  </w:tc>
                </w:tr>
                <w:tr w:rsidR="006B2C62" w:rsidRPr="003A3374" w14:paraId="770C0883" w14:textId="77777777" w:rsidTr="006D2966">
                  <w:trPr>
                    <w:cantSplit/>
                    <w:trHeight w:val="328"/>
                  </w:trPr>
                  <w:tc>
                    <w:tcPr>
                      <w:tcW w:w="4663" w:type="dxa"/>
                      <w:tcBorders>
                        <w:bottom w:val="single" w:sz="4" w:space="0" w:color="auto"/>
                      </w:tcBorders>
                      <w:vAlign w:val="bottom"/>
                    </w:tcPr>
                    <w:p w14:paraId="55B266F1" w14:textId="77777777" w:rsidR="006B2C62" w:rsidRPr="003A3374" w:rsidRDefault="006B2C62" w:rsidP="006B2C62">
                      <w:pPr>
                        <w:pStyle w:val="Tableplaceholder"/>
                        <w:jc w:val="left"/>
                        <w:rPr>
                          <w:rFonts w:ascii="Source Sans Pro" w:hAnsi="Source Sans Pro"/>
                          <w:b/>
                          <w:bCs/>
                          <w:sz w:val="20"/>
                        </w:rPr>
                      </w:pPr>
                      <w:r w:rsidRPr="003A3374">
                        <w:rPr>
                          <w:rFonts w:ascii="Source Sans Pro" w:hAnsi="Source Sans Pro"/>
                          <w:b/>
                          <w:bCs/>
                          <w:sz w:val="20"/>
                        </w:rPr>
                        <w:t>CCEP: Estimates Momentum</w:t>
                      </w:r>
                    </w:p>
                  </w:tc>
                  <w:tc>
                    <w:tcPr>
                      <w:tcW w:w="255" w:type="dxa"/>
                    </w:tcPr>
                    <w:p w14:paraId="38242217" w14:textId="77777777" w:rsidR="006B2C62" w:rsidRPr="003A3374" w:rsidRDefault="006B2C62" w:rsidP="006B2C62">
                      <w:pPr>
                        <w:pStyle w:val="Normal0"/>
                        <w:rPr>
                          <w:b/>
                          <w:bCs/>
                          <w:szCs w:val="20"/>
                        </w:rPr>
                      </w:pPr>
                    </w:p>
                  </w:tc>
                  <w:tc>
                    <w:tcPr>
                      <w:tcW w:w="4663" w:type="dxa"/>
                      <w:tcBorders>
                        <w:bottom w:val="single" w:sz="4" w:space="0" w:color="auto"/>
                      </w:tcBorders>
                      <w:vAlign w:val="bottom"/>
                    </w:tcPr>
                    <w:p w14:paraId="5D3C8D77" w14:textId="77777777" w:rsidR="006B2C62" w:rsidRPr="003A3374" w:rsidRDefault="006B2C62" w:rsidP="006B2C62">
                      <w:pPr>
                        <w:pStyle w:val="Tableplaceholder"/>
                        <w:jc w:val="left"/>
                        <w:rPr>
                          <w:rFonts w:ascii="Source Sans Pro" w:hAnsi="Source Sans Pro"/>
                          <w:b/>
                          <w:bCs/>
                          <w:sz w:val="20"/>
                        </w:rPr>
                      </w:pPr>
                      <w:r w:rsidRPr="003A3374">
                        <w:rPr>
                          <w:rFonts w:ascii="Source Sans Pro" w:hAnsi="Source Sans Pro"/>
                          <w:b/>
                          <w:bCs/>
                          <w:sz w:val="20"/>
                        </w:rPr>
                        <w:t>Soft drinks: Estimates Momentum</w:t>
                      </w:r>
                    </w:p>
                  </w:tc>
                </w:tr>
                <w:tr w:rsidR="006B2C62" w:rsidRPr="003A3374" w14:paraId="7AFEB40E" w14:textId="77777777" w:rsidTr="006D2966">
                  <w:trPr>
                    <w:cantSplit/>
                    <w:trHeight w:val="2451"/>
                  </w:trPr>
                  <w:tc>
                    <w:tcPr>
                      <w:tcW w:w="4663" w:type="dxa"/>
                      <w:tcBorders>
                        <w:top w:val="single" w:sz="4" w:space="0" w:color="auto"/>
                        <w:bottom w:val="single" w:sz="4" w:space="0" w:color="auto"/>
                      </w:tcBorders>
                    </w:tcPr>
                    <w:p w14:paraId="23AF7437" w14:textId="77777777" w:rsidR="006B2C62" w:rsidRPr="003A3374" w:rsidRDefault="006B2C62" w:rsidP="006B2C62">
                      <w:pPr>
                        <w:pStyle w:val="Tableplaceholder"/>
                        <w:rPr>
                          <w:rFonts w:ascii="Source Sans Pro" w:hAnsi="Source Sans Pro"/>
                        </w:rPr>
                      </w:pPr>
                      <w:r w:rsidRPr="003A3374">
                        <w:rPr>
                          <w:noProof/>
                        </w:rPr>
                        <w:drawing>
                          <wp:inline distT="0" distB="0" distL="0" distR="0" wp14:anchorId="4A03E21A" wp14:editId="1205E979">
                            <wp:extent cx="2995200" cy="19008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hs_R0013J11.svg"/>
                                    <pic:cNvPicPr/>
                                  </pic:nvPicPr>
                                  <pic:blipFill>
                                    <a:blip r:embed="rId17">
                                      <a:extLst>
                                        <a:ext uri="{96DAC541-7B7A-43D3-8B79-37D633B846F1}">
                                          <asvg:svgBlip xmlns:asvg="http://schemas.microsoft.com/office/drawing/2016/SVG/main" r:embed="rId18"/>
                                        </a:ext>
                                      </a:extLst>
                                    </a:blip>
                                    <a:stretch>
                                      <a:fillRect/>
                                    </a:stretch>
                                  </pic:blipFill>
                                  <pic:spPr>
                                    <a:xfrm>
                                      <a:off x="0" y="0"/>
                                      <a:ext cx="2995200" cy="1900800"/>
                                    </a:xfrm>
                                    <a:prstGeom prst="rect">
                                      <a:avLst/>
                                    </a:prstGeom>
                                  </pic:spPr>
                                </pic:pic>
                              </a:graphicData>
                            </a:graphic>
                          </wp:inline>
                        </w:drawing>
                      </w:r>
                    </w:p>
                  </w:tc>
                  <w:tc>
                    <w:tcPr>
                      <w:tcW w:w="255" w:type="dxa"/>
                    </w:tcPr>
                    <w:p w14:paraId="1D0A27BE" w14:textId="77777777" w:rsidR="006B2C62" w:rsidRPr="003A3374" w:rsidRDefault="006B2C62" w:rsidP="006B2C62">
                      <w:pPr>
                        <w:pStyle w:val="Normal0"/>
                      </w:pPr>
                    </w:p>
                  </w:tc>
                  <w:tc>
                    <w:tcPr>
                      <w:tcW w:w="4663" w:type="dxa"/>
                      <w:tcBorders>
                        <w:top w:val="single" w:sz="4" w:space="0" w:color="auto"/>
                        <w:bottom w:val="single" w:sz="4" w:space="0" w:color="auto"/>
                      </w:tcBorders>
                    </w:tcPr>
                    <w:p w14:paraId="29A35B9F" w14:textId="77777777" w:rsidR="006B2C62" w:rsidRPr="003A3374" w:rsidRDefault="006B2C62" w:rsidP="006B2C62">
                      <w:pPr>
                        <w:pStyle w:val="Tableplaceholder"/>
                        <w:rPr>
                          <w:rFonts w:ascii="Source Sans Pro" w:hAnsi="Source Sans Pro"/>
                        </w:rPr>
                      </w:pPr>
                      <w:r w:rsidRPr="003A3374">
                        <w:rPr>
                          <w:noProof/>
                        </w:rPr>
                        <w:drawing>
                          <wp:inline distT="0" distB="0" distL="0" distR="0" wp14:anchorId="07DA7B43" wp14:editId="63B76492">
                            <wp:extent cx="2995200" cy="1900800"/>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hs_LVL90001_597.svg"/>
                                    <pic:cNvPicPr/>
                                  </pic:nvPicPr>
                                  <pic:blipFill>
                                    <a:blip r:embed="rId19">
                                      <a:extLst>
                                        <a:ext uri="{96DAC541-7B7A-43D3-8B79-37D633B846F1}">
                                          <asvg:svgBlip xmlns:asvg="http://schemas.microsoft.com/office/drawing/2016/SVG/main" r:embed="rId20"/>
                                        </a:ext>
                                      </a:extLst>
                                    </a:blip>
                                    <a:stretch>
                                      <a:fillRect/>
                                    </a:stretch>
                                  </pic:blipFill>
                                  <pic:spPr>
                                    <a:xfrm>
                                      <a:off x="0" y="0"/>
                                      <a:ext cx="2995200" cy="1900800"/>
                                    </a:xfrm>
                                    <a:prstGeom prst="rect">
                                      <a:avLst/>
                                    </a:prstGeom>
                                  </pic:spPr>
                                </pic:pic>
                              </a:graphicData>
                            </a:graphic>
                          </wp:inline>
                        </w:drawing>
                      </w:r>
                    </w:p>
                  </w:tc>
                </w:tr>
                <w:tr w:rsidR="006B2C62" w:rsidRPr="003A3374" w14:paraId="64CE565B" w14:textId="77777777" w:rsidTr="006D2966">
                  <w:trPr>
                    <w:cantSplit/>
                    <w:trHeight w:val="261"/>
                  </w:trPr>
                  <w:tc>
                    <w:tcPr>
                      <w:tcW w:w="4663" w:type="dxa"/>
                      <w:tcBorders>
                        <w:top w:val="single" w:sz="4" w:space="0" w:color="auto"/>
                      </w:tcBorders>
                    </w:tcPr>
                    <w:p w14:paraId="184E805D" w14:textId="77777777" w:rsidR="006B2C62" w:rsidRPr="003A3374" w:rsidRDefault="006B2C62" w:rsidP="006B2C62">
                      <w:pPr>
                        <w:pStyle w:val="TableSource"/>
                        <w:rPr>
                          <w:rFonts w:ascii="Source Sans Pro" w:hAnsi="Source Sans Pro"/>
                        </w:rPr>
                      </w:pPr>
                      <w:r w:rsidRPr="003A3374">
                        <w:rPr>
                          <w:rFonts w:ascii="Source Sans Pro" w:hAnsi="Source Sans Pro"/>
                        </w:rPr>
                        <w:t>Source: Rothschild &amp; Co Redburn IDEAS</w:t>
                      </w:r>
                    </w:p>
                  </w:tc>
                  <w:tc>
                    <w:tcPr>
                      <w:tcW w:w="255" w:type="dxa"/>
                    </w:tcPr>
                    <w:p w14:paraId="169F2C41" w14:textId="77777777" w:rsidR="006B2C62" w:rsidRPr="003A3374" w:rsidRDefault="006B2C62" w:rsidP="006B2C62">
                      <w:pPr>
                        <w:pStyle w:val="Normal0"/>
                      </w:pPr>
                    </w:p>
                  </w:tc>
                  <w:tc>
                    <w:tcPr>
                      <w:tcW w:w="4663" w:type="dxa"/>
                      <w:tcBorders>
                        <w:top w:val="single" w:sz="4" w:space="0" w:color="auto"/>
                      </w:tcBorders>
                    </w:tcPr>
                    <w:p w14:paraId="7371837D" w14:textId="77777777" w:rsidR="006B2C62" w:rsidRPr="003A3374" w:rsidRDefault="006B2C62" w:rsidP="006B2C62">
                      <w:pPr>
                        <w:pStyle w:val="TableSource"/>
                        <w:rPr>
                          <w:rFonts w:ascii="Source Sans Pro" w:hAnsi="Source Sans Pro"/>
                        </w:rPr>
                      </w:pPr>
                      <w:r w:rsidRPr="003A3374">
                        <w:rPr>
                          <w:rFonts w:ascii="Source Sans Pro" w:hAnsi="Source Sans Pro"/>
                        </w:rPr>
                        <w:t>Source: Rothschild &amp; Co Redburn IDEAS</w:t>
                      </w:r>
                    </w:p>
                  </w:tc>
                </w:tr>
              </w:tbl>
              <w:p w14:paraId="5AD3DC50" w14:textId="77777777" w:rsidR="006B2C62" w:rsidRPr="003A3374" w:rsidRDefault="006B2C62" w:rsidP="006B2C62">
                <w:pPr>
                  <w:pStyle w:val="TableTitle"/>
                  <w:rPr>
                    <w:rFonts w:ascii="Source Sans Pro" w:hAnsi="Source Sans Pro"/>
                  </w:rPr>
                </w:pPr>
                <w:r w:rsidRPr="003A3374">
                  <w:rPr>
                    <w:rFonts w:ascii="Source Sans Pro" w:hAnsi="Source Sans Pro"/>
                    <w:szCs w:val="20"/>
                  </w:rPr>
                  <w:t>Soft drinks</w:t>
                </w:r>
                <w:r w:rsidRPr="003A3374">
                  <w:rPr>
                    <w:rFonts w:ascii="Source Sans Pro" w:hAnsi="Source Sans Pro"/>
                  </w:rPr>
                  <w:t>: IDEAS and Technical Analysis data</w:t>
                </w:r>
              </w:p>
              <w:tbl>
                <w:tblPr>
                  <w:tblStyle w:val="TableGrid"/>
                  <w:tblW w:w="9557" w:type="dxa"/>
                  <w:tblLayout w:type="fixed"/>
                  <w:tblCellMar>
                    <w:left w:w="0" w:type="dxa"/>
                    <w:right w:w="0" w:type="dxa"/>
                  </w:tblCellMar>
                  <w:tblLook w:val="04A0" w:firstRow="1" w:lastRow="0" w:firstColumn="1" w:lastColumn="0" w:noHBand="0" w:noVBand="1"/>
                </w:tblPr>
                <w:tblGrid>
                  <w:gridCol w:w="9557"/>
                </w:tblGrid>
                <w:tr w:rsidR="006B2C62" w:rsidRPr="003A3374" w14:paraId="055494B3" w14:textId="77777777" w:rsidTr="006D2966">
                  <w:trPr>
                    <w:cantSplit/>
                    <w:trHeight w:val="12"/>
                    <w:tblHeader/>
                  </w:trPr>
                  <w:tc>
                    <w:tcPr>
                      <w:tcW w:w="9557" w:type="dxa"/>
                      <w:tcBorders>
                        <w:bottom w:val="single" w:sz="8" w:space="0" w:color="000000" w:themeColor="text1"/>
                      </w:tcBorders>
                    </w:tcPr>
                    <w:p w14:paraId="0CB7E18D" w14:textId="77777777" w:rsidR="006B2C62" w:rsidRPr="003A3374" w:rsidRDefault="006B2C62" w:rsidP="006B2C62">
                      <w:pPr>
                        <w:pStyle w:val="1pt"/>
                      </w:pPr>
                    </w:p>
                  </w:tc>
                </w:tr>
                <w:tr w:rsidR="006B2C62" w:rsidRPr="003A3374" w14:paraId="6D53D6A6" w14:textId="77777777" w:rsidTr="006D2966">
                  <w:trPr>
                    <w:cantSplit/>
                    <w:trHeight w:val="1310"/>
                  </w:trPr>
                  <w:tc>
                    <w:tcPr>
                      <w:tcW w:w="9557" w:type="dxa"/>
                      <w:tcBorders>
                        <w:top w:val="single" w:sz="8" w:space="0" w:color="000000" w:themeColor="text1"/>
                        <w:bottom w:val="single" w:sz="8" w:space="0" w:color="000000" w:themeColor="text1"/>
                      </w:tcBorders>
                    </w:tcPr>
                    <w:tbl>
                      <w:tblPr>
                        <w:tblStyle w:val="Dataholder"/>
                        <w:tblW w:w="9567" w:type="dxa"/>
                        <w:tblLayout w:type="fixed"/>
                        <w:tblLook w:val="06A0" w:firstRow="1" w:lastRow="0" w:firstColumn="1" w:lastColumn="0" w:noHBand="1" w:noVBand="1"/>
                      </w:tblPr>
                      <w:tblGrid>
                        <w:gridCol w:w="2108"/>
                        <w:gridCol w:w="1009"/>
                        <w:gridCol w:w="954"/>
                        <w:gridCol w:w="954"/>
                        <w:gridCol w:w="897"/>
                        <w:gridCol w:w="954"/>
                        <w:gridCol w:w="897"/>
                        <w:gridCol w:w="897"/>
                        <w:gridCol w:w="897"/>
                      </w:tblGrid>
                      <w:tr w:rsidR="006B2C62" w:rsidRPr="003A3374" w14:paraId="4E54FFD9" w14:textId="77777777" w:rsidTr="006D2966">
                        <w:trPr>
                          <w:cnfStyle w:val="100000000000" w:firstRow="1" w:lastRow="0" w:firstColumn="0" w:lastColumn="0" w:oddVBand="0" w:evenVBand="0" w:oddHBand="0"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2108" w:type="dxa"/>
                            <w:tcBorders>
                              <w:bottom w:val="single" w:sz="8" w:space="0" w:color="000000" w:themeColor="text1"/>
                            </w:tcBorders>
                          </w:tcPr>
                          <w:p w14:paraId="18D94C87" w14:textId="77777777" w:rsidR="006B2C62" w:rsidRPr="003A3374" w:rsidRDefault="006B2C62" w:rsidP="006B2C62">
                            <w:pPr>
                              <w:pStyle w:val="TableText0"/>
                              <w:rPr>
                                <w:rFonts w:ascii="Source Sans Pro" w:hAnsi="Source Sans Pro"/>
                                <w:b w:val="0"/>
                              </w:rPr>
                            </w:pPr>
                          </w:p>
                        </w:tc>
                        <w:tc>
                          <w:tcPr>
                            <w:tcW w:w="1009" w:type="dxa"/>
                            <w:tcBorders>
                              <w:bottom w:val="single" w:sz="8" w:space="0" w:color="000000" w:themeColor="text1"/>
                            </w:tcBorders>
                            <w:vAlign w:val="bottom"/>
                          </w:tcPr>
                          <w:p w14:paraId="6359A50B" w14:textId="77777777" w:rsidR="006B2C62" w:rsidRPr="003A3374" w:rsidRDefault="006B2C62" w:rsidP="006B2C62">
                            <w:pPr>
                              <w:pStyle w:val="TableText0"/>
                              <w:cnfStyle w:val="100000000000" w:firstRow="1" w:lastRow="0" w:firstColumn="0" w:lastColumn="0" w:oddVBand="0" w:evenVBand="0" w:oddHBand="0" w:evenHBand="0" w:firstRowFirstColumn="0" w:firstRowLastColumn="0" w:lastRowFirstColumn="0" w:lastRowLastColumn="0"/>
                              <w:rPr>
                                <w:rFonts w:ascii="Source Sans Pro" w:hAnsi="Source Sans Pro"/>
                                <w:b w:val="0"/>
                              </w:rPr>
                            </w:pPr>
                            <w:r w:rsidRPr="003A3374">
                              <w:rPr>
                                <w:rFonts w:ascii="Source Sans Pro" w:hAnsi="Source Sans Pro"/>
                              </w:rPr>
                              <w:t>IDEAS Score (/100)</w:t>
                            </w:r>
                          </w:p>
                        </w:tc>
                        <w:tc>
                          <w:tcPr>
                            <w:tcW w:w="954" w:type="dxa"/>
                            <w:tcBorders>
                              <w:bottom w:val="single" w:sz="8" w:space="0" w:color="000000" w:themeColor="text1"/>
                            </w:tcBorders>
                            <w:vAlign w:val="bottom"/>
                          </w:tcPr>
                          <w:p w14:paraId="011D7436" w14:textId="77777777" w:rsidR="006B2C62" w:rsidRPr="003A3374" w:rsidRDefault="006B2C62" w:rsidP="006B2C62">
                            <w:pPr>
                              <w:pStyle w:val="TableText0"/>
                              <w:cnfStyle w:val="100000000000" w:firstRow="1" w:lastRow="0" w:firstColumn="0" w:lastColumn="0" w:oddVBand="0" w:evenVBand="0" w:oddHBand="0" w:evenHBand="0" w:firstRowFirstColumn="0" w:firstRowLastColumn="0" w:lastRowFirstColumn="0" w:lastRowLastColumn="0"/>
                              <w:rPr>
                                <w:rFonts w:ascii="Source Sans Pro" w:hAnsi="Source Sans Pro"/>
                                <w:b w:val="0"/>
                                <w:spacing w:val="-5"/>
                              </w:rPr>
                            </w:pPr>
                            <w:r w:rsidRPr="003A3374">
                              <w:rPr>
                                <w:rFonts w:ascii="Source Sans Pro" w:hAnsi="Source Sans Pro"/>
                                <w:spacing w:val="-5"/>
                              </w:rPr>
                              <w:t>Ests Mom –  EPS</w:t>
                            </w:r>
                          </w:p>
                        </w:tc>
                        <w:tc>
                          <w:tcPr>
                            <w:tcW w:w="954" w:type="dxa"/>
                            <w:tcBorders>
                              <w:bottom w:val="single" w:sz="8" w:space="0" w:color="000000" w:themeColor="text1"/>
                            </w:tcBorders>
                            <w:vAlign w:val="bottom"/>
                          </w:tcPr>
                          <w:p w14:paraId="61FFED98" w14:textId="77777777" w:rsidR="006B2C62" w:rsidRPr="003A3374" w:rsidRDefault="006B2C62" w:rsidP="006B2C62">
                            <w:pPr>
                              <w:pStyle w:val="TableText0"/>
                              <w:cnfStyle w:val="100000000000" w:firstRow="1" w:lastRow="0" w:firstColumn="0" w:lastColumn="0" w:oddVBand="0" w:evenVBand="0" w:oddHBand="0" w:evenHBand="0" w:firstRowFirstColumn="0" w:firstRowLastColumn="0" w:lastRowFirstColumn="0" w:lastRowLastColumn="0"/>
                              <w:rPr>
                                <w:rFonts w:ascii="Source Sans Pro" w:hAnsi="Source Sans Pro"/>
                                <w:b w:val="0"/>
                              </w:rPr>
                            </w:pPr>
                            <w:r w:rsidRPr="003A3374">
                              <w:rPr>
                                <w:rFonts w:ascii="Source Sans Pro" w:hAnsi="Source Sans Pro"/>
                              </w:rPr>
                              <w:t xml:space="preserve">Ests Mom change (3m) </w:t>
                            </w:r>
                            <w:r w:rsidRPr="003A3374">
                              <w:rPr>
                                <w:rFonts w:ascii="Source Sans Pro" w:hAnsi="Source Sans Pro"/>
                                <w:spacing w:val="-5"/>
                              </w:rPr>
                              <w:t xml:space="preserve">– </w:t>
                            </w:r>
                            <w:r w:rsidRPr="003A3374">
                              <w:rPr>
                                <w:rFonts w:ascii="Source Sans Pro" w:hAnsi="Source Sans Pro"/>
                              </w:rPr>
                              <w:t>EPS</w:t>
                            </w:r>
                          </w:p>
                        </w:tc>
                        <w:tc>
                          <w:tcPr>
                            <w:tcW w:w="897" w:type="dxa"/>
                            <w:tcBorders>
                              <w:bottom w:val="single" w:sz="8" w:space="0" w:color="000000" w:themeColor="text1"/>
                            </w:tcBorders>
                            <w:vAlign w:val="bottom"/>
                          </w:tcPr>
                          <w:p w14:paraId="324ABFFB" w14:textId="77777777" w:rsidR="006B2C62" w:rsidRPr="003A3374" w:rsidRDefault="006B2C62" w:rsidP="006B2C62">
                            <w:pPr>
                              <w:pStyle w:val="TableText0"/>
                              <w:cnfStyle w:val="100000000000" w:firstRow="1" w:lastRow="0" w:firstColumn="0" w:lastColumn="0" w:oddVBand="0" w:evenVBand="0" w:oddHBand="0" w:evenHBand="0" w:firstRowFirstColumn="0" w:firstRowLastColumn="0" w:lastRowFirstColumn="0" w:lastRowLastColumn="0"/>
                              <w:rPr>
                                <w:rFonts w:ascii="Source Sans Pro" w:hAnsi="Source Sans Pro"/>
                                <w:b w:val="0"/>
                              </w:rPr>
                            </w:pPr>
                            <w:r w:rsidRPr="003A3374">
                              <w:rPr>
                                <w:rFonts w:ascii="Source Sans Pro" w:hAnsi="Source Sans Pro"/>
                              </w:rPr>
                              <w:t>Wave column</w:t>
                            </w:r>
                          </w:p>
                        </w:tc>
                        <w:tc>
                          <w:tcPr>
                            <w:tcW w:w="954" w:type="dxa"/>
                            <w:tcBorders>
                              <w:bottom w:val="single" w:sz="8" w:space="0" w:color="000000" w:themeColor="text1"/>
                            </w:tcBorders>
                            <w:vAlign w:val="bottom"/>
                          </w:tcPr>
                          <w:p w14:paraId="78B3C45D" w14:textId="77777777" w:rsidR="006B2C62" w:rsidRPr="003A3374" w:rsidRDefault="006B2C62" w:rsidP="006B2C62">
                            <w:pPr>
                              <w:pStyle w:val="TableText0"/>
                              <w:cnfStyle w:val="100000000000" w:firstRow="1"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Technical Score (/10)</w:t>
                            </w:r>
                          </w:p>
                        </w:tc>
                        <w:tc>
                          <w:tcPr>
                            <w:tcW w:w="897" w:type="dxa"/>
                            <w:tcBorders>
                              <w:bottom w:val="single" w:sz="8" w:space="0" w:color="000000" w:themeColor="text1"/>
                            </w:tcBorders>
                            <w:vAlign w:val="bottom"/>
                          </w:tcPr>
                          <w:p w14:paraId="23812F3B" w14:textId="77777777" w:rsidR="006B2C62" w:rsidRPr="003A3374" w:rsidRDefault="006B2C62" w:rsidP="006B2C62">
                            <w:pPr>
                              <w:pStyle w:val="TableText0"/>
                              <w:cnfStyle w:val="100000000000" w:firstRow="1"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Relative perf. 3m</w:t>
                            </w:r>
                          </w:p>
                        </w:tc>
                        <w:tc>
                          <w:tcPr>
                            <w:tcW w:w="897" w:type="dxa"/>
                            <w:tcBorders>
                              <w:bottom w:val="single" w:sz="8" w:space="0" w:color="000000" w:themeColor="text1"/>
                            </w:tcBorders>
                            <w:vAlign w:val="bottom"/>
                          </w:tcPr>
                          <w:p w14:paraId="2DFD9F42" w14:textId="77777777" w:rsidR="006B2C62" w:rsidRPr="003A3374" w:rsidRDefault="006B2C62" w:rsidP="006B2C62">
                            <w:pPr>
                              <w:pStyle w:val="TableText0"/>
                              <w:cnfStyle w:val="100000000000" w:firstRow="1"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Relative perf. 12m</w:t>
                            </w:r>
                          </w:p>
                        </w:tc>
                        <w:tc>
                          <w:tcPr>
                            <w:tcW w:w="897" w:type="dxa"/>
                            <w:tcBorders>
                              <w:bottom w:val="single" w:sz="8" w:space="0" w:color="000000" w:themeColor="text1"/>
                            </w:tcBorders>
                            <w:vAlign w:val="bottom"/>
                          </w:tcPr>
                          <w:p w14:paraId="75D382FC" w14:textId="77777777" w:rsidR="006B2C62" w:rsidRPr="003A3374" w:rsidRDefault="006B2C62" w:rsidP="006B2C62">
                            <w:pPr>
                              <w:pStyle w:val="TableText0"/>
                              <w:cnfStyle w:val="100000000000" w:firstRow="1"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Relative high/low</w:t>
                            </w:r>
                          </w:p>
                        </w:tc>
                      </w:tr>
                      <w:tr w:rsidR="006B2C62" w:rsidRPr="003A3374" w14:paraId="76B53187" w14:textId="77777777" w:rsidTr="006D2966">
                        <w:trPr>
                          <w:trHeight w:val="246"/>
                        </w:trPr>
                        <w:tc>
                          <w:tcPr>
                            <w:cnfStyle w:val="001000000000" w:firstRow="0" w:lastRow="0" w:firstColumn="1" w:lastColumn="0" w:oddVBand="0" w:evenVBand="0" w:oddHBand="0" w:evenHBand="0" w:firstRowFirstColumn="0" w:firstRowLastColumn="0" w:lastRowFirstColumn="0" w:lastRowLastColumn="0"/>
                            <w:tcW w:w="2108" w:type="dxa"/>
                          </w:tcPr>
                          <w:p w14:paraId="2DE7FCE1" w14:textId="77777777" w:rsidR="006B2C62" w:rsidRPr="003A3374" w:rsidRDefault="006B2C62" w:rsidP="006B2C62">
                            <w:pPr>
                              <w:pStyle w:val="TableText0"/>
                              <w:rPr>
                                <w:rFonts w:ascii="Source Sans Pro" w:hAnsi="Source Sans Pro"/>
                              </w:rPr>
                            </w:pPr>
                            <w:r w:rsidRPr="003A3374">
                              <w:rPr>
                                <w:rFonts w:ascii="Source Sans Pro" w:hAnsi="Source Sans Pro"/>
                              </w:rPr>
                              <w:t>Coca-Cola</w:t>
                            </w:r>
                          </w:p>
                        </w:tc>
                        <w:tc>
                          <w:tcPr>
                            <w:tcW w:w="1009" w:type="dxa"/>
                          </w:tcPr>
                          <w:p w14:paraId="37DCFD6F"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7.0</w:t>
                            </w:r>
                          </w:p>
                        </w:tc>
                        <w:tc>
                          <w:tcPr>
                            <w:tcW w:w="954" w:type="dxa"/>
                          </w:tcPr>
                          <w:p w14:paraId="33F35FEB"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50.6</w:t>
                            </w:r>
                          </w:p>
                        </w:tc>
                        <w:tc>
                          <w:tcPr>
                            <w:tcW w:w="954" w:type="dxa"/>
                          </w:tcPr>
                          <w:p w14:paraId="1AB396FC"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-5.8</w:t>
                            </w:r>
                          </w:p>
                        </w:tc>
                        <w:tc>
                          <w:tcPr>
                            <w:tcW w:w="897" w:type="dxa"/>
                          </w:tcPr>
                          <w:p w14:paraId="76B40880"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6. Watch-</w:t>
                            </w:r>
                          </w:p>
                        </w:tc>
                        <w:tc>
                          <w:tcPr>
                            <w:tcW w:w="954" w:type="dxa"/>
                          </w:tcPr>
                          <w:p w14:paraId="73B71739"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pPr>
                            <w:r w:rsidRPr="003A3374">
                              <w:rPr>
                                <w:rFonts w:ascii="Source Sans Pro" w:hAnsi="Source Sans Pro"/>
                              </w:rPr>
                              <w:t>4.1</w:t>
                            </w:r>
                          </w:p>
                        </w:tc>
                        <w:tc>
                          <w:tcPr>
                            <w:tcW w:w="897" w:type="dxa"/>
                          </w:tcPr>
                          <w:p w14:paraId="5202E84E"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pPr>
                            <w:r w:rsidRPr="003A3374">
                              <w:rPr>
                                <w:rFonts w:ascii="Source Sans Pro" w:hAnsi="Source Sans Pro"/>
                              </w:rPr>
                              <w:t>-5.1%</w:t>
                            </w:r>
                          </w:p>
                        </w:tc>
                        <w:tc>
                          <w:tcPr>
                            <w:tcW w:w="897" w:type="dxa"/>
                          </w:tcPr>
                          <w:p w14:paraId="5496E940"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pPr>
                            <w:r w:rsidRPr="003A3374">
                              <w:rPr>
                                <w:rFonts w:ascii="Source Sans Pro" w:hAnsi="Source Sans Pro"/>
                              </w:rPr>
                              <w:t>-3.8%</w:t>
                            </w:r>
                          </w:p>
                        </w:tc>
                        <w:tc>
                          <w:tcPr>
                            <w:tcW w:w="897" w:type="dxa"/>
                          </w:tcPr>
                          <w:p w14:paraId="3C7F3230"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Wingdings" w:hAnsi="Wingdings"/>
                              </w:rPr>
                            </w:pPr>
                          </w:p>
                        </w:tc>
                      </w:tr>
                      <w:tr w:rsidR="006B2C62" w:rsidRPr="003A3374" w14:paraId="431EF82A" w14:textId="77777777" w:rsidTr="006D2966">
                        <w:trPr>
                          <w:trHeight w:val="246"/>
                        </w:trPr>
                        <w:tc>
                          <w:tcPr>
                            <w:cnfStyle w:val="001000000000" w:firstRow="0" w:lastRow="0" w:firstColumn="1" w:lastColumn="0" w:oddVBand="0" w:evenVBand="0" w:oddHBand="0" w:evenHBand="0" w:firstRowFirstColumn="0" w:firstRowLastColumn="0" w:lastRowFirstColumn="0" w:lastRowLastColumn="0"/>
                            <w:tcW w:w="2108" w:type="dxa"/>
                          </w:tcPr>
                          <w:p w14:paraId="2039FCEF" w14:textId="77777777" w:rsidR="006B2C62" w:rsidRPr="003A3374" w:rsidRDefault="006B2C62" w:rsidP="006B2C62">
                            <w:pPr>
                              <w:pStyle w:val="TableText0"/>
                              <w:rPr>
                                <w:rFonts w:ascii="Source Sans Pro" w:hAnsi="Source Sans Pro"/>
                              </w:rPr>
                            </w:pPr>
                            <w:r w:rsidRPr="003A3374">
                              <w:rPr>
                                <w:rFonts w:ascii="Source Sans Pro" w:hAnsi="Source Sans Pro"/>
                              </w:rPr>
                              <w:t>Coca-Cola HBC</w:t>
                            </w:r>
                          </w:p>
                        </w:tc>
                        <w:tc>
                          <w:tcPr>
                            <w:tcW w:w="1009" w:type="dxa"/>
                          </w:tcPr>
                          <w:p w14:paraId="6BA91E16"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56.3</w:t>
                            </w:r>
                          </w:p>
                        </w:tc>
                        <w:tc>
                          <w:tcPr>
                            <w:tcW w:w="954" w:type="dxa"/>
                          </w:tcPr>
                          <w:p w14:paraId="51F413D9"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64.7</w:t>
                            </w:r>
                          </w:p>
                        </w:tc>
                        <w:tc>
                          <w:tcPr>
                            <w:tcW w:w="954" w:type="dxa"/>
                          </w:tcPr>
                          <w:p w14:paraId="1BAA4E5E"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0.1</w:t>
                            </w:r>
                          </w:p>
                        </w:tc>
                        <w:tc>
                          <w:tcPr>
                            <w:tcW w:w="897" w:type="dxa"/>
                          </w:tcPr>
                          <w:p w14:paraId="6F8D1A27"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5. Hold</w:t>
                            </w:r>
                          </w:p>
                        </w:tc>
                        <w:tc>
                          <w:tcPr>
                            <w:tcW w:w="954" w:type="dxa"/>
                          </w:tcPr>
                          <w:p w14:paraId="1331383E"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pPr>
                            <w:r w:rsidRPr="003A3374">
                              <w:rPr>
                                <w:rFonts w:ascii="Source Sans Pro" w:hAnsi="Source Sans Pro"/>
                              </w:rPr>
                              <w:t>5.8</w:t>
                            </w:r>
                          </w:p>
                        </w:tc>
                        <w:tc>
                          <w:tcPr>
                            <w:tcW w:w="897" w:type="dxa"/>
                          </w:tcPr>
                          <w:p w14:paraId="62474F8E"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pPr>
                            <w:r w:rsidRPr="003A3374">
                              <w:rPr>
                                <w:rFonts w:ascii="Source Sans Pro" w:hAnsi="Source Sans Pro"/>
                              </w:rPr>
                              <w:t>-10.3%</w:t>
                            </w:r>
                          </w:p>
                        </w:tc>
                        <w:tc>
                          <w:tcPr>
                            <w:tcW w:w="897" w:type="dxa"/>
                          </w:tcPr>
                          <w:p w14:paraId="64C3DACB"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pPr>
                            <w:r w:rsidRPr="003A3374">
                              <w:rPr>
                                <w:rFonts w:ascii="Source Sans Pro" w:hAnsi="Source Sans Pro"/>
                              </w:rPr>
                              <w:t>11.3%</w:t>
                            </w:r>
                          </w:p>
                        </w:tc>
                        <w:tc>
                          <w:tcPr>
                            <w:tcW w:w="897" w:type="dxa"/>
                          </w:tcPr>
                          <w:p w14:paraId="48AD8047"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Wingdings" w:hAnsi="Wingdings"/>
                              </w:rPr>
                            </w:pPr>
                          </w:p>
                        </w:tc>
                      </w:tr>
                      <w:tr w:rsidR="006B2C62" w:rsidRPr="003A3374" w14:paraId="07A5B6D6" w14:textId="77777777" w:rsidTr="006D2966">
                        <w:trPr>
                          <w:trHeight w:val="246"/>
                        </w:trPr>
                        <w:tc>
                          <w:tcPr>
                            <w:cnfStyle w:val="001000000000" w:firstRow="0" w:lastRow="0" w:firstColumn="1" w:lastColumn="0" w:oddVBand="0" w:evenVBand="0" w:oddHBand="0" w:evenHBand="0" w:firstRowFirstColumn="0" w:firstRowLastColumn="0" w:lastRowFirstColumn="0" w:lastRowLastColumn="0"/>
                            <w:tcW w:w="2108" w:type="dxa"/>
                          </w:tcPr>
                          <w:p w14:paraId="16232AF8" w14:textId="77777777" w:rsidR="006B2C62" w:rsidRPr="003A3374" w:rsidRDefault="006B2C62" w:rsidP="006B2C62">
                            <w:pPr>
                              <w:pStyle w:val="TableText0"/>
                              <w:rPr>
                                <w:rFonts w:ascii="Source Sans Pro" w:hAnsi="Source Sans Pro"/>
                              </w:rPr>
                            </w:pPr>
                            <w:r w:rsidRPr="003A3374">
                              <w:rPr>
                                <w:rFonts w:ascii="Source Sans Pro" w:hAnsi="Source Sans Pro"/>
                              </w:rPr>
                              <w:t>Keurig Dr Pepper</w:t>
                            </w:r>
                          </w:p>
                        </w:tc>
                        <w:tc>
                          <w:tcPr>
                            <w:tcW w:w="1009" w:type="dxa"/>
                          </w:tcPr>
                          <w:p w14:paraId="5E34190D"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36.6</w:t>
                            </w:r>
                          </w:p>
                        </w:tc>
                        <w:tc>
                          <w:tcPr>
                            <w:tcW w:w="954" w:type="dxa"/>
                          </w:tcPr>
                          <w:p w14:paraId="0FB1E0F7"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51.3</w:t>
                            </w:r>
                          </w:p>
                        </w:tc>
                        <w:tc>
                          <w:tcPr>
                            <w:tcW w:w="954" w:type="dxa"/>
                          </w:tcPr>
                          <w:p w14:paraId="36102405"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-2.7</w:t>
                            </w:r>
                          </w:p>
                        </w:tc>
                        <w:tc>
                          <w:tcPr>
                            <w:tcW w:w="897" w:type="dxa"/>
                          </w:tcPr>
                          <w:p w14:paraId="2442A7D0"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6. Watch-</w:t>
                            </w:r>
                          </w:p>
                        </w:tc>
                        <w:tc>
                          <w:tcPr>
                            <w:tcW w:w="954" w:type="dxa"/>
                          </w:tcPr>
                          <w:p w14:paraId="2C2CA1CB"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pPr>
                            <w:r w:rsidRPr="003A3374">
                              <w:rPr>
                                <w:rFonts w:ascii="Source Sans Pro" w:hAnsi="Source Sans Pro"/>
                              </w:rPr>
                              <w:t>2.3</w:t>
                            </w:r>
                          </w:p>
                        </w:tc>
                        <w:tc>
                          <w:tcPr>
                            <w:tcW w:w="897" w:type="dxa"/>
                          </w:tcPr>
                          <w:p w14:paraId="4747AA4F"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pPr>
                            <w:r w:rsidRPr="003A3374">
                              <w:rPr>
                                <w:rFonts w:ascii="Source Sans Pro" w:hAnsi="Source Sans Pro"/>
                              </w:rPr>
                              <w:t>-27.5%</w:t>
                            </w:r>
                          </w:p>
                        </w:tc>
                        <w:tc>
                          <w:tcPr>
                            <w:tcW w:w="897" w:type="dxa"/>
                          </w:tcPr>
                          <w:p w14:paraId="235D7011"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pPr>
                            <w:r w:rsidRPr="003A3374">
                              <w:rPr>
                                <w:rFonts w:ascii="Source Sans Pro" w:hAnsi="Source Sans Pro"/>
                              </w:rPr>
                              <w:t>-31.4%</w:t>
                            </w:r>
                          </w:p>
                        </w:tc>
                        <w:tc>
                          <w:tcPr>
                            <w:tcW w:w="897" w:type="dxa"/>
                          </w:tcPr>
                          <w:p w14:paraId="52A10E12"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Wingdings" w:hAnsi="Wingdings"/>
                              </w:rPr>
                            </w:pPr>
                          </w:p>
                        </w:tc>
                      </w:tr>
                      <w:tr w:rsidR="006B2C62" w:rsidRPr="003A3374" w14:paraId="4B74A609" w14:textId="77777777" w:rsidTr="006D2966">
                        <w:trPr>
                          <w:trHeight w:val="246"/>
                        </w:trPr>
                        <w:tc>
                          <w:tcPr>
                            <w:cnfStyle w:val="001000000000" w:firstRow="0" w:lastRow="0" w:firstColumn="1" w:lastColumn="0" w:oddVBand="0" w:evenVBand="0" w:oddHBand="0" w:evenHBand="0" w:firstRowFirstColumn="0" w:firstRowLastColumn="0" w:lastRowFirstColumn="0" w:lastRowLastColumn="0"/>
                            <w:tcW w:w="2108" w:type="dxa"/>
                          </w:tcPr>
                          <w:p w14:paraId="7B63F19A" w14:textId="77777777" w:rsidR="006B2C62" w:rsidRPr="003A3374" w:rsidRDefault="006B2C62" w:rsidP="006B2C62">
                            <w:pPr>
                              <w:pStyle w:val="TableText0"/>
                              <w:rPr>
                                <w:rFonts w:ascii="Source Sans Pro" w:hAnsi="Source Sans Pro"/>
                              </w:rPr>
                            </w:pPr>
                            <w:r w:rsidRPr="003A3374">
                              <w:rPr>
                                <w:rFonts w:ascii="Source Sans Pro" w:hAnsi="Source Sans Pro"/>
                              </w:rPr>
                              <w:t>Arca Continental</w:t>
                            </w:r>
                          </w:p>
                        </w:tc>
                        <w:tc>
                          <w:tcPr>
                            <w:tcW w:w="1009" w:type="dxa"/>
                          </w:tcPr>
                          <w:p w14:paraId="4438942F"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34.6</w:t>
                            </w:r>
                          </w:p>
                        </w:tc>
                        <w:tc>
                          <w:tcPr>
                            <w:tcW w:w="954" w:type="dxa"/>
                          </w:tcPr>
                          <w:p w14:paraId="4999B700"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14.7</w:t>
                            </w:r>
                          </w:p>
                        </w:tc>
                        <w:tc>
                          <w:tcPr>
                            <w:tcW w:w="954" w:type="dxa"/>
                          </w:tcPr>
                          <w:p w14:paraId="290E525E"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-14.5</w:t>
                            </w:r>
                          </w:p>
                        </w:tc>
                        <w:tc>
                          <w:tcPr>
                            <w:tcW w:w="897" w:type="dxa"/>
                          </w:tcPr>
                          <w:p w14:paraId="257AB20C"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1. Early</w:t>
                            </w:r>
                          </w:p>
                        </w:tc>
                        <w:tc>
                          <w:tcPr>
                            <w:tcW w:w="954" w:type="dxa"/>
                          </w:tcPr>
                          <w:p w14:paraId="6F0D3E4A"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pPr>
                            <w:r w:rsidRPr="003A3374">
                              <w:rPr>
                                <w:rFonts w:ascii="Source Sans Pro" w:hAnsi="Source Sans Pro"/>
                              </w:rPr>
                              <w:t>2.2</w:t>
                            </w:r>
                          </w:p>
                        </w:tc>
                        <w:tc>
                          <w:tcPr>
                            <w:tcW w:w="897" w:type="dxa"/>
                          </w:tcPr>
                          <w:p w14:paraId="6A1B851B"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pPr>
                            <w:r w:rsidRPr="003A3374">
                              <w:rPr>
                                <w:rFonts w:ascii="Source Sans Pro" w:hAnsi="Source Sans Pro"/>
                              </w:rPr>
                              <w:t>-11.3%</w:t>
                            </w:r>
                          </w:p>
                        </w:tc>
                        <w:tc>
                          <w:tcPr>
                            <w:tcW w:w="897" w:type="dxa"/>
                          </w:tcPr>
                          <w:p w14:paraId="3CCE5020"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pPr>
                            <w:r w:rsidRPr="003A3374">
                              <w:rPr>
                                <w:rFonts w:ascii="Source Sans Pro" w:hAnsi="Source Sans Pro"/>
                              </w:rPr>
                              <w:t>-7.8%</w:t>
                            </w:r>
                          </w:p>
                        </w:tc>
                        <w:tc>
                          <w:tcPr>
                            <w:tcW w:w="897" w:type="dxa"/>
                          </w:tcPr>
                          <w:p w14:paraId="51E4A401"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Wingdings" w:hAnsi="Wingdings"/>
                              </w:rPr>
                            </w:pPr>
                            <w:r w:rsidRPr="003A3374">
                              <w:rPr>
                                <w:rFonts w:ascii="Wingdings" w:hAnsi="Wingdings"/>
                              </w:rPr>
                              <w:t>NN</w:t>
                            </w:r>
                          </w:p>
                        </w:tc>
                      </w:tr>
                      <w:tr w:rsidR="006B2C62" w:rsidRPr="003A3374" w14:paraId="14BE2FA1" w14:textId="77777777" w:rsidTr="006D2966">
                        <w:trPr>
                          <w:trHeight w:val="246"/>
                        </w:trPr>
                        <w:tc>
                          <w:tcPr>
                            <w:cnfStyle w:val="001000000000" w:firstRow="0" w:lastRow="0" w:firstColumn="1" w:lastColumn="0" w:oddVBand="0" w:evenVBand="0" w:oddHBand="0" w:evenHBand="0" w:firstRowFirstColumn="0" w:firstRowLastColumn="0" w:lastRowFirstColumn="0" w:lastRowLastColumn="0"/>
                            <w:tcW w:w="2108" w:type="dxa"/>
                          </w:tcPr>
                          <w:p w14:paraId="551281C8" w14:textId="77777777" w:rsidR="006B2C62" w:rsidRPr="003A3374" w:rsidRDefault="006B2C62" w:rsidP="006B2C62">
                            <w:pPr>
                              <w:pStyle w:val="TableText0"/>
                              <w:rPr>
                                <w:rFonts w:ascii="Source Sans Pro" w:hAnsi="Source Sans Pro"/>
                              </w:rPr>
                            </w:pPr>
                            <w:r w:rsidRPr="003A3374">
                              <w:rPr>
                                <w:rFonts w:ascii="Source Sans Pro" w:hAnsi="Source Sans Pro"/>
                              </w:rPr>
                              <w:t>PepsiCo</w:t>
                            </w:r>
                          </w:p>
                        </w:tc>
                        <w:tc>
                          <w:tcPr>
                            <w:tcW w:w="1009" w:type="dxa"/>
                          </w:tcPr>
                          <w:p w14:paraId="4209BFAE"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31.5</w:t>
                            </w:r>
                          </w:p>
                        </w:tc>
                        <w:tc>
                          <w:tcPr>
                            <w:tcW w:w="954" w:type="dxa"/>
                          </w:tcPr>
                          <w:p w14:paraId="0B0B50E1"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63.7</w:t>
                            </w:r>
                          </w:p>
                        </w:tc>
                        <w:tc>
                          <w:tcPr>
                            <w:tcW w:w="954" w:type="dxa"/>
                          </w:tcPr>
                          <w:p w14:paraId="4C2A72F9"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6.1</w:t>
                            </w:r>
                          </w:p>
                        </w:tc>
                        <w:tc>
                          <w:tcPr>
                            <w:tcW w:w="897" w:type="dxa"/>
                          </w:tcPr>
                          <w:p w14:paraId="13898CE2"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5. Hold</w:t>
                            </w:r>
                          </w:p>
                        </w:tc>
                        <w:tc>
                          <w:tcPr>
                            <w:tcW w:w="954" w:type="dxa"/>
                          </w:tcPr>
                          <w:p w14:paraId="1EEE6616"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pPr>
                            <w:r w:rsidRPr="003A3374">
                              <w:rPr>
                                <w:rFonts w:ascii="Source Sans Pro" w:hAnsi="Source Sans Pro"/>
                              </w:rPr>
                              <w:t>2.1</w:t>
                            </w:r>
                          </w:p>
                        </w:tc>
                        <w:tc>
                          <w:tcPr>
                            <w:tcW w:w="897" w:type="dxa"/>
                          </w:tcPr>
                          <w:p w14:paraId="3ACF255F"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pPr>
                            <w:r w:rsidRPr="003A3374">
                              <w:rPr>
                                <w:rFonts w:ascii="Source Sans Pro" w:hAnsi="Source Sans Pro"/>
                              </w:rPr>
                              <w:t>-7.7%</w:t>
                            </w:r>
                          </w:p>
                        </w:tc>
                        <w:tc>
                          <w:tcPr>
                            <w:tcW w:w="897" w:type="dxa"/>
                          </w:tcPr>
                          <w:p w14:paraId="37D97D03"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pPr>
                            <w:r w:rsidRPr="003A3374">
                              <w:rPr>
                                <w:rFonts w:ascii="Source Sans Pro" w:hAnsi="Source Sans Pro"/>
                              </w:rPr>
                              <w:t>-25.3%</w:t>
                            </w:r>
                          </w:p>
                        </w:tc>
                        <w:tc>
                          <w:tcPr>
                            <w:tcW w:w="897" w:type="dxa"/>
                          </w:tcPr>
                          <w:p w14:paraId="2D9DAB37"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Wingdings" w:hAnsi="Wingdings"/>
                              </w:rPr>
                            </w:pPr>
                          </w:p>
                        </w:tc>
                      </w:tr>
                      <w:tr w:rsidR="006B2C62" w:rsidRPr="003A3374" w14:paraId="641FBC61" w14:textId="77777777" w:rsidTr="006D2966">
                        <w:trPr>
                          <w:trHeight w:val="246"/>
                        </w:trPr>
                        <w:tc>
                          <w:tcPr>
                            <w:cnfStyle w:val="001000000000" w:firstRow="0" w:lastRow="0" w:firstColumn="1" w:lastColumn="0" w:oddVBand="0" w:evenVBand="0" w:oddHBand="0" w:evenHBand="0" w:firstRowFirstColumn="0" w:firstRowLastColumn="0" w:lastRowFirstColumn="0" w:lastRowLastColumn="0"/>
                            <w:tcW w:w="2108" w:type="dxa"/>
                          </w:tcPr>
                          <w:p w14:paraId="5F35F460" w14:textId="77777777" w:rsidR="006B2C62" w:rsidRPr="003A3374" w:rsidRDefault="006B2C62" w:rsidP="006B2C62">
                            <w:pPr>
                              <w:pStyle w:val="TableText0"/>
                              <w:rPr>
                                <w:rFonts w:ascii="Source Sans Pro" w:hAnsi="Source Sans Pro"/>
                              </w:rPr>
                            </w:pPr>
                            <w:r w:rsidRPr="003A3374">
                              <w:rPr>
                                <w:rFonts w:ascii="Source Sans Pro" w:hAnsi="Source Sans Pro"/>
                              </w:rPr>
                              <w:t>Coca-Cola FEMSA</w:t>
                            </w:r>
                          </w:p>
                        </w:tc>
                        <w:tc>
                          <w:tcPr>
                            <w:tcW w:w="1009" w:type="dxa"/>
                          </w:tcPr>
                          <w:p w14:paraId="33ECEC41"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28.9</w:t>
                            </w:r>
                          </w:p>
                        </w:tc>
                        <w:tc>
                          <w:tcPr>
                            <w:tcW w:w="954" w:type="dxa"/>
                          </w:tcPr>
                          <w:p w14:paraId="23304A3D"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18.1</w:t>
                            </w:r>
                          </w:p>
                        </w:tc>
                        <w:tc>
                          <w:tcPr>
                            <w:tcW w:w="954" w:type="dxa"/>
                          </w:tcPr>
                          <w:p w14:paraId="0E9CCAB9"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-8.4</w:t>
                            </w:r>
                          </w:p>
                        </w:tc>
                        <w:tc>
                          <w:tcPr>
                            <w:tcW w:w="897" w:type="dxa"/>
                          </w:tcPr>
                          <w:p w14:paraId="3019D667"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1. Early</w:t>
                            </w:r>
                          </w:p>
                        </w:tc>
                        <w:tc>
                          <w:tcPr>
                            <w:tcW w:w="954" w:type="dxa"/>
                          </w:tcPr>
                          <w:p w14:paraId="6A42F3EC"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pPr>
                            <w:r w:rsidRPr="003A3374">
                              <w:rPr>
                                <w:rFonts w:ascii="Source Sans Pro" w:hAnsi="Source Sans Pro"/>
                              </w:rPr>
                              <w:t>3.5</w:t>
                            </w:r>
                          </w:p>
                        </w:tc>
                        <w:tc>
                          <w:tcPr>
                            <w:tcW w:w="897" w:type="dxa"/>
                          </w:tcPr>
                          <w:p w14:paraId="2594A204"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pPr>
                            <w:r w:rsidRPr="003A3374">
                              <w:rPr>
                                <w:rFonts w:ascii="Source Sans Pro" w:hAnsi="Source Sans Pro"/>
                              </w:rPr>
                              <w:t>-3.1%</w:t>
                            </w:r>
                          </w:p>
                        </w:tc>
                        <w:tc>
                          <w:tcPr>
                            <w:tcW w:w="897" w:type="dxa"/>
                          </w:tcPr>
                          <w:p w14:paraId="521841E7"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pPr>
                            <w:r w:rsidRPr="003A3374">
                              <w:rPr>
                                <w:rFonts w:ascii="Source Sans Pro" w:hAnsi="Source Sans Pro"/>
                              </w:rPr>
                              <w:t>-16.1%</w:t>
                            </w:r>
                          </w:p>
                        </w:tc>
                        <w:tc>
                          <w:tcPr>
                            <w:tcW w:w="897" w:type="dxa"/>
                          </w:tcPr>
                          <w:p w14:paraId="07A51B94"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Wingdings" w:hAnsi="Wingdings"/>
                              </w:rPr>
                            </w:pPr>
                          </w:p>
                        </w:tc>
                      </w:tr>
                      <w:tr w:rsidR="006B2C62" w:rsidRPr="003A3374" w14:paraId="473BC143" w14:textId="77777777" w:rsidTr="006D2966">
                        <w:trPr>
                          <w:trHeight w:val="246"/>
                        </w:trPr>
                        <w:tc>
                          <w:tcPr>
                            <w:cnfStyle w:val="001000000000" w:firstRow="0" w:lastRow="0" w:firstColumn="1" w:lastColumn="0" w:oddVBand="0" w:evenVBand="0" w:oddHBand="0" w:evenHBand="0" w:firstRowFirstColumn="0" w:firstRowLastColumn="0" w:lastRowFirstColumn="0" w:lastRowLastColumn="0"/>
                            <w:tcW w:w="2108" w:type="dxa"/>
                          </w:tcPr>
                          <w:p w14:paraId="308AB73F" w14:textId="1EE69D27" w:rsidR="006B2C62" w:rsidRPr="003A3374" w:rsidRDefault="006B2C62" w:rsidP="006B2C62">
                            <w:pPr>
                              <w:pStyle w:val="TableText0"/>
                              <w:rPr>
                                <w:rFonts w:ascii="Source Sans Pro" w:hAnsi="Source Sans Pro"/>
                              </w:rPr>
                            </w:pPr>
                            <w:r w:rsidRPr="003A3374">
                              <w:rPr>
                                <w:rFonts w:ascii="Source Sans Pro" w:hAnsi="Source Sans Pro"/>
                              </w:rPr>
                              <w:t>CCEP</w:t>
                            </w:r>
                          </w:p>
                        </w:tc>
                        <w:tc>
                          <w:tcPr>
                            <w:tcW w:w="1009" w:type="dxa"/>
                          </w:tcPr>
                          <w:p w14:paraId="54A4B5D7"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16.6</w:t>
                            </w:r>
                          </w:p>
                        </w:tc>
                        <w:tc>
                          <w:tcPr>
                            <w:tcW w:w="954" w:type="dxa"/>
                          </w:tcPr>
                          <w:p w14:paraId="4DE0DDA9"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40.3</w:t>
                            </w:r>
                          </w:p>
                        </w:tc>
                        <w:tc>
                          <w:tcPr>
                            <w:tcW w:w="954" w:type="dxa"/>
                          </w:tcPr>
                          <w:p w14:paraId="46A46D18"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1.4</w:t>
                            </w:r>
                          </w:p>
                        </w:tc>
                        <w:tc>
                          <w:tcPr>
                            <w:tcW w:w="897" w:type="dxa"/>
                          </w:tcPr>
                          <w:p w14:paraId="2CF9FD3F"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7. Bad</w:t>
                            </w:r>
                          </w:p>
                        </w:tc>
                        <w:tc>
                          <w:tcPr>
                            <w:tcW w:w="954" w:type="dxa"/>
                          </w:tcPr>
                          <w:p w14:paraId="0D753753"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pPr>
                            <w:r w:rsidRPr="003A3374">
                              <w:rPr>
                                <w:rFonts w:ascii="Source Sans Pro" w:hAnsi="Source Sans Pro"/>
                              </w:rPr>
                              <w:t>2.6</w:t>
                            </w:r>
                          </w:p>
                        </w:tc>
                        <w:tc>
                          <w:tcPr>
                            <w:tcW w:w="897" w:type="dxa"/>
                          </w:tcPr>
                          <w:p w14:paraId="64D83208"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pPr>
                            <w:r w:rsidRPr="003A3374">
                              <w:rPr>
                                <w:rFonts w:ascii="Source Sans Pro" w:hAnsi="Source Sans Pro"/>
                              </w:rPr>
                              <w:t>-6.0%</w:t>
                            </w:r>
                          </w:p>
                        </w:tc>
                        <w:tc>
                          <w:tcPr>
                            <w:tcW w:w="897" w:type="dxa"/>
                          </w:tcPr>
                          <w:p w14:paraId="550456AA"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pPr>
                            <w:r w:rsidRPr="003A3374">
                              <w:rPr>
                                <w:rFonts w:ascii="Source Sans Pro" w:hAnsi="Source Sans Pro"/>
                              </w:rPr>
                              <w:t>3.1%</w:t>
                            </w:r>
                          </w:p>
                        </w:tc>
                        <w:tc>
                          <w:tcPr>
                            <w:tcW w:w="897" w:type="dxa"/>
                          </w:tcPr>
                          <w:p w14:paraId="227D97F8"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Wingdings" w:hAnsi="Wingdings"/>
                              </w:rPr>
                            </w:pPr>
                            <w:r w:rsidRPr="003A3374">
                              <w:rPr>
                                <w:rFonts w:ascii="Wingdings" w:hAnsi="Wingdings"/>
                              </w:rPr>
                              <w:t>NN</w:t>
                            </w:r>
                          </w:p>
                        </w:tc>
                      </w:tr>
                      <w:tr w:rsidR="006B2C62" w:rsidRPr="003A3374" w14:paraId="7F9539A2" w14:textId="77777777" w:rsidTr="006D2966">
                        <w:trPr>
                          <w:trHeight w:val="246"/>
                        </w:trPr>
                        <w:tc>
                          <w:tcPr>
                            <w:cnfStyle w:val="001000000000" w:firstRow="0" w:lastRow="0" w:firstColumn="1" w:lastColumn="0" w:oddVBand="0" w:evenVBand="0" w:oddHBand="0" w:evenHBand="0" w:firstRowFirstColumn="0" w:firstRowLastColumn="0" w:lastRowFirstColumn="0" w:lastRowLastColumn="0"/>
                            <w:tcW w:w="2108" w:type="dxa"/>
                          </w:tcPr>
                          <w:p w14:paraId="5A71FBB5" w14:textId="77777777" w:rsidR="006B2C62" w:rsidRPr="003A3374" w:rsidRDefault="006B2C62" w:rsidP="006B2C62">
                            <w:pPr>
                              <w:pStyle w:val="TableText0"/>
                              <w:rPr>
                                <w:rFonts w:ascii="Source Sans Pro" w:hAnsi="Source Sans Pro"/>
                              </w:rPr>
                            </w:pPr>
                            <w:r w:rsidRPr="003A3374">
                              <w:rPr>
                                <w:rFonts w:ascii="Source Sans Pro" w:hAnsi="Source Sans Pro"/>
                              </w:rPr>
                              <w:t>Coca-Cola Bottlers Japan</w:t>
                            </w:r>
                          </w:p>
                        </w:tc>
                        <w:tc>
                          <w:tcPr>
                            <w:tcW w:w="1009" w:type="dxa"/>
                          </w:tcPr>
                          <w:p w14:paraId="61D23CD2"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11.7</w:t>
                            </w:r>
                          </w:p>
                        </w:tc>
                        <w:tc>
                          <w:tcPr>
                            <w:tcW w:w="954" w:type="dxa"/>
                          </w:tcPr>
                          <w:p w14:paraId="59743DF9"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4.6</w:t>
                            </w:r>
                          </w:p>
                        </w:tc>
                        <w:tc>
                          <w:tcPr>
                            <w:tcW w:w="954" w:type="dxa"/>
                          </w:tcPr>
                          <w:p w14:paraId="5B7A52B2"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-58.9</w:t>
                            </w:r>
                          </w:p>
                        </w:tc>
                        <w:tc>
                          <w:tcPr>
                            <w:tcW w:w="897" w:type="dxa"/>
                          </w:tcPr>
                          <w:p w14:paraId="7EC35D50"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3A3374">
                              <w:rPr>
                                <w:rFonts w:ascii="Source Sans Pro" w:hAnsi="Source Sans Pro"/>
                              </w:rPr>
                              <w:t>1. Early</w:t>
                            </w:r>
                          </w:p>
                        </w:tc>
                        <w:tc>
                          <w:tcPr>
                            <w:tcW w:w="954" w:type="dxa"/>
                          </w:tcPr>
                          <w:p w14:paraId="27DFC06C"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pPr>
                            <w:r w:rsidRPr="003A3374">
                              <w:rPr>
                                <w:rFonts w:ascii="Source Sans Pro" w:hAnsi="Source Sans Pro"/>
                              </w:rPr>
                              <w:t>2.6</w:t>
                            </w:r>
                          </w:p>
                        </w:tc>
                        <w:tc>
                          <w:tcPr>
                            <w:tcW w:w="897" w:type="dxa"/>
                          </w:tcPr>
                          <w:p w14:paraId="4DE5BA89"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pPr>
                            <w:r w:rsidRPr="003A3374">
                              <w:rPr>
                                <w:rFonts w:ascii="Source Sans Pro" w:hAnsi="Source Sans Pro"/>
                              </w:rPr>
                              <w:t>-5.5%</w:t>
                            </w:r>
                          </w:p>
                        </w:tc>
                        <w:tc>
                          <w:tcPr>
                            <w:tcW w:w="897" w:type="dxa"/>
                          </w:tcPr>
                          <w:p w14:paraId="013208AB"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pPr>
                            <w:r w:rsidRPr="003A3374">
                              <w:rPr>
                                <w:rFonts w:ascii="Source Sans Pro" w:hAnsi="Source Sans Pro"/>
                              </w:rPr>
                              <w:t>-3.5%</w:t>
                            </w:r>
                          </w:p>
                        </w:tc>
                        <w:tc>
                          <w:tcPr>
                            <w:tcW w:w="897" w:type="dxa"/>
                          </w:tcPr>
                          <w:p w14:paraId="77833500"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Wingdings" w:hAnsi="Wingdings"/>
                              </w:rPr>
                            </w:pPr>
                          </w:p>
                        </w:tc>
                      </w:tr>
                      <w:tr w:rsidR="006B2C62" w:rsidRPr="003A3374" w14:paraId="73F32E8D" w14:textId="77777777" w:rsidTr="006D2966">
                        <w:trPr>
                          <w:trHeight w:val="246"/>
                        </w:trPr>
                        <w:tc>
                          <w:tcPr>
                            <w:cnfStyle w:val="001000000000" w:firstRow="0" w:lastRow="0" w:firstColumn="1" w:lastColumn="0" w:oddVBand="0" w:evenVBand="0" w:oddHBand="0" w:evenHBand="0" w:firstRowFirstColumn="0" w:firstRowLastColumn="0" w:lastRowFirstColumn="0" w:lastRowLastColumn="0"/>
                            <w:tcW w:w="2108" w:type="dxa"/>
                            <w:shd w:val="clear" w:color="auto" w:fill="E6E3DF"/>
                          </w:tcPr>
                          <w:p w14:paraId="1AD0F22A" w14:textId="77777777" w:rsidR="006B2C62" w:rsidRPr="003A3374" w:rsidRDefault="006B2C62" w:rsidP="006B2C62">
                            <w:pPr>
                              <w:pStyle w:val="TableText0"/>
                              <w:rPr>
                                <w:rFonts w:ascii="Source Sans Pro" w:hAnsi="Source Sans Pro"/>
                                <w:b/>
                                <w:bCs/>
                              </w:rPr>
                            </w:pPr>
                            <w:r w:rsidRPr="003A3374">
                              <w:rPr>
                                <w:rFonts w:ascii="Source Sans Pro" w:hAnsi="Source Sans Pro"/>
                                <w:b/>
                                <w:bCs/>
                              </w:rPr>
                              <w:t>Soft drinks</w:t>
                            </w:r>
                          </w:p>
                        </w:tc>
                        <w:tc>
                          <w:tcPr>
                            <w:tcW w:w="1009" w:type="dxa"/>
                            <w:shd w:val="clear" w:color="auto" w:fill="E6E3DF"/>
                          </w:tcPr>
                          <w:p w14:paraId="5CE707E7"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b/>
                                <w:bCs/>
                              </w:rPr>
                            </w:pPr>
                            <w:r w:rsidRPr="003A3374">
                              <w:rPr>
                                <w:rFonts w:ascii="Source Sans Pro" w:hAnsi="Source Sans Pro"/>
                                <w:b/>
                                <w:bCs/>
                              </w:rPr>
                              <w:t>20.7</w:t>
                            </w:r>
                          </w:p>
                        </w:tc>
                        <w:tc>
                          <w:tcPr>
                            <w:tcW w:w="954" w:type="dxa"/>
                            <w:shd w:val="clear" w:color="auto" w:fill="E6E3DF"/>
                          </w:tcPr>
                          <w:p w14:paraId="2627102C"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b/>
                                <w:bCs/>
                              </w:rPr>
                            </w:pPr>
                            <w:r w:rsidRPr="003A3374">
                              <w:rPr>
                                <w:rFonts w:ascii="Source Sans Pro" w:hAnsi="Source Sans Pro"/>
                                <w:b/>
                                <w:bCs/>
                              </w:rPr>
                              <w:t>52.3</w:t>
                            </w:r>
                          </w:p>
                        </w:tc>
                        <w:tc>
                          <w:tcPr>
                            <w:tcW w:w="954" w:type="dxa"/>
                            <w:shd w:val="clear" w:color="auto" w:fill="E6E3DF"/>
                          </w:tcPr>
                          <w:p w14:paraId="43A42700"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b/>
                                <w:bCs/>
                              </w:rPr>
                            </w:pPr>
                            <w:r w:rsidRPr="003A3374">
                              <w:rPr>
                                <w:rFonts w:ascii="Source Sans Pro" w:hAnsi="Source Sans Pro"/>
                                <w:b/>
                                <w:bCs/>
                              </w:rPr>
                              <w:t>-1.4</w:t>
                            </w:r>
                          </w:p>
                        </w:tc>
                        <w:tc>
                          <w:tcPr>
                            <w:tcW w:w="897" w:type="dxa"/>
                            <w:shd w:val="clear" w:color="auto" w:fill="E6E3DF"/>
                          </w:tcPr>
                          <w:p w14:paraId="0B78FBA0"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b/>
                                <w:bCs/>
                              </w:rPr>
                            </w:pPr>
                          </w:p>
                        </w:tc>
                        <w:tc>
                          <w:tcPr>
                            <w:tcW w:w="954" w:type="dxa"/>
                            <w:shd w:val="clear" w:color="auto" w:fill="E6E3DF"/>
                          </w:tcPr>
                          <w:p w14:paraId="3B59EDAF"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b/>
                                <w:bCs/>
                              </w:rPr>
                            </w:pPr>
                          </w:p>
                        </w:tc>
                        <w:tc>
                          <w:tcPr>
                            <w:tcW w:w="897" w:type="dxa"/>
                            <w:shd w:val="clear" w:color="auto" w:fill="E6E3DF"/>
                          </w:tcPr>
                          <w:p w14:paraId="04003423"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b/>
                                <w:bCs/>
                              </w:rPr>
                            </w:pPr>
                          </w:p>
                        </w:tc>
                        <w:tc>
                          <w:tcPr>
                            <w:tcW w:w="897" w:type="dxa"/>
                            <w:shd w:val="clear" w:color="auto" w:fill="E6E3DF"/>
                          </w:tcPr>
                          <w:p w14:paraId="16DCC2DD"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b/>
                                <w:bCs/>
                              </w:rPr>
                            </w:pPr>
                          </w:p>
                        </w:tc>
                        <w:tc>
                          <w:tcPr>
                            <w:tcW w:w="897" w:type="dxa"/>
                            <w:shd w:val="clear" w:color="auto" w:fill="E6E3DF"/>
                          </w:tcPr>
                          <w:p w14:paraId="2E2C48D7" w14:textId="77777777" w:rsidR="006B2C62" w:rsidRPr="003A3374" w:rsidRDefault="006B2C62" w:rsidP="006B2C62">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b/>
                                <w:bCs/>
                              </w:rPr>
                            </w:pPr>
                          </w:p>
                        </w:tc>
                      </w:tr>
                    </w:tbl>
                    <w:p w14:paraId="534DDE3E" w14:textId="77777777" w:rsidR="006B2C62" w:rsidRPr="003A3374" w:rsidRDefault="006B2C62" w:rsidP="006B2C62">
                      <w:pPr>
                        <w:pStyle w:val="Tableplaceholder"/>
                        <w:rPr>
                          <w:rFonts w:ascii="Source Sans Pro" w:hAnsi="Source Sans Pro"/>
                        </w:rPr>
                      </w:pPr>
                    </w:p>
                  </w:tc>
                </w:tr>
                <w:tr w:rsidR="006B2C62" w:rsidRPr="003A3374" w14:paraId="3278F86A" w14:textId="77777777" w:rsidTr="006D2966">
                  <w:trPr>
                    <w:cantSplit/>
                    <w:trHeight w:val="454"/>
                  </w:trPr>
                  <w:tc>
                    <w:tcPr>
                      <w:tcW w:w="9557" w:type="dxa"/>
                      <w:tcBorders>
                        <w:top w:val="single" w:sz="8" w:space="0" w:color="000000" w:themeColor="text1"/>
                      </w:tcBorders>
                    </w:tcPr>
                    <w:p w14:paraId="445E8E3F" w14:textId="77777777" w:rsidR="006B2C62" w:rsidRPr="003A3374" w:rsidRDefault="006B2C62" w:rsidP="006B2C62">
                      <w:pPr>
                        <w:pStyle w:val="TableSource"/>
                        <w:spacing w:after="0"/>
                        <w:rPr>
                          <w:rFonts w:ascii="Source Sans Pro" w:hAnsi="Source Sans Pro"/>
                        </w:rPr>
                      </w:pPr>
                      <w:r w:rsidRPr="003A3374">
                        <w:rPr>
                          <w:rFonts w:ascii="Source Sans Pro" w:hAnsi="Source Sans Pro"/>
                        </w:rPr>
                        <w:t>Note: see https://ideas.redburn.rothschildandco.com for live information as well as an explanation of The IDEAS Wave, The IDEAS Score and Estimates Momentum</w:t>
                      </w:r>
                    </w:p>
                    <w:p w14:paraId="7A83EF1C" w14:textId="77777777" w:rsidR="006B2C62" w:rsidRPr="003A3374" w:rsidRDefault="006B2C62" w:rsidP="006B2C62">
                      <w:pPr>
                        <w:pStyle w:val="TableSource"/>
                        <w:spacing w:before="20"/>
                        <w:rPr>
                          <w:rFonts w:ascii="Source Sans Pro" w:hAnsi="Source Sans Pro"/>
                        </w:rPr>
                      </w:pPr>
                      <w:r w:rsidRPr="003A3374">
                        <w:rPr>
                          <w:rFonts w:ascii="Source Sans Pro" w:hAnsi="Source Sans Pro"/>
                        </w:rPr>
                        <w:t>Source: Rothschild &amp; Co Redburn IDEAS. Data correct as of 12 November 2025. Copyright © 2025 FactSet UK Limited. All rights reserved</w:t>
                      </w:r>
                    </w:p>
                  </w:tc>
                </w:tr>
              </w:tbl>
              <w:p w14:paraId="65DEBC11" w14:textId="60FAD8CA" w:rsidR="006B2C62" w:rsidRPr="003A3374" w:rsidRDefault="006B2C62" w:rsidP="006B2C62">
                <w:pPr>
                  <w:jc w:val="left"/>
                  <w:rPr>
                    <w:rFonts w:ascii="Source Sans Pro" w:hAnsi="Source Sans Pro"/>
                  </w:rPr>
                </w:pPr>
                <w:r w:rsidRPr="003A3374">
                  <w:rPr>
                    <w:rFonts w:ascii="Source Sans Pro" w:hAnsi="Source Sans Pro"/>
                  </w:rPr>
                  <w:t xml:space="preserve">Click </w:t>
                </w:r>
                <w:hyperlink r:id="rId21" w:anchor="/detail/tinyUrl/c88d2f622735" w:tgtFrame="_blank">
                  <w:r w:rsidRPr="003A3374">
                    <w:rPr>
                      <w:rFonts w:ascii="Source Sans Pro" w:hAnsi="Source Sans Pro"/>
                      <w:color w:val="0000FF"/>
                      <w:u w:val="single"/>
                    </w:rPr>
                    <w:t>here</w:t>
                  </w:r>
                </w:hyperlink>
                <w:r w:rsidRPr="003A3374">
                  <w:rPr>
                    <w:rFonts w:ascii="Source Sans Pro" w:hAnsi="Source Sans Pro"/>
                  </w:rPr>
                  <w:t xml:space="preserve"> to view the Soft drinks </w:t>
                </w:r>
                <w:hyperlink r:id="rId22" w:anchor="/detail/tinyUrl/c88d2f622735" w:tgtFrame="_blank">
                  <w:r w:rsidRPr="003A3374">
                    <w:rPr>
                      <w:rFonts w:ascii="Source Sans Pro" w:hAnsi="Source Sans Pro"/>
                      <w:color w:val="0000FF"/>
                      <w:u w:val="single"/>
                    </w:rPr>
                    <w:t>IDEAS Wave</w:t>
                  </w:r>
                </w:hyperlink>
                <w:r w:rsidRPr="003A3374">
                  <w:rPr>
                    <w:rFonts w:ascii="Source Sans Pro" w:hAnsi="Source Sans Pro"/>
                  </w:rPr>
                  <w:t xml:space="preserve">. For more information on IDEAS Systematic Analysis and for an explanation of The IDEAS Wave, The IDEAS Score and Estimates Momentum please click </w:t>
                </w:r>
                <w:hyperlink r:id="rId23" w:history="1">
                  <w:r w:rsidRPr="003A3374">
                    <w:rPr>
                      <w:rStyle w:val="Hyperlink"/>
                      <w:rFonts w:ascii="Source Sans Pro" w:hAnsi="Source Sans Pro"/>
                    </w:rPr>
                    <w:t>here</w:t>
                  </w:r>
                </w:hyperlink>
                <w:r w:rsidRPr="003A3374">
                  <w:rPr>
                    <w:rFonts w:ascii="Source Sans Pro" w:hAnsi="Source Sans Pro"/>
                  </w:rPr>
                  <w:t xml:space="preserve"> or visit </w:t>
                </w:r>
                <w:hyperlink r:id="rId24" w:history="1">
                  <w:r w:rsidRPr="003A3374">
                    <w:rPr>
                      <w:rStyle w:val="Hyperlink"/>
                      <w:rFonts w:ascii="Source Sans Pro" w:hAnsi="Source Sans Pro"/>
                    </w:rPr>
                    <w:t>https://ideas.redburn.rothschildandco.com</w:t>
                  </w:r>
                </w:hyperlink>
                <w:r w:rsidRPr="003A3374">
                  <w:rPr>
                    <w:rFonts w:ascii="Source Sans Pro" w:hAnsi="Source Sans Pro"/>
                  </w:rPr>
                  <w:t>.</w:t>
                </w:r>
              </w:p>
              <w:p w14:paraId="2CE1D5E8" w14:textId="77777777" w:rsidR="006B2C62" w:rsidRPr="003A3374" w:rsidRDefault="006B2C62" w:rsidP="006B2C62">
                <w:pPr>
                  <w:jc w:val="left"/>
                  <w:rPr>
                    <w:rFonts w:ascii="Source Sans Pro" w:hAnsi="Source Sans Pro"/>
                  </w:rPr>
                </w:pPr>
              </w:p>
              <w:p w14:paraId="6ED7F72D" w14:textId="5F607065" w:rsidR="006B2C62" w:rsidRPr="003A3374" w:rsidRDefault="006B2C62" w:rsidP="006B2C62">
                <w:pPr>
                  <w:spacing w:before="20"/>
                  <w:jc w:val="left"/>
                  <w:rPr>
                    <w:rFonts w:ascii="Source Sans Pro" w:hAnsi="Source Sans Pro"/>
                    <w:color w:val="auto"/>
                  </w:rPr>
                </w:pPr>
                <w:r w:rsidRPr="003A3374">
                  <w:rPr>
                    <w:rFonts w:ascii="Source Sans Pro" w:hAnsi="Source Sans Pro"/>
                    <w:color w:val="auto"/>
                  </w:rPr>
                  <w:t xml:space="preserve">Please contact the team at </w:t>
                </w:r>
                <w:hyperlink r:id="rId25" w:history="1">
                  <w:r w:rsidRPr="003A3374">
                    <w:rPr>
                      <w:rStyle w:val="Hyperlink"/>
                      <w:rFonts w:ascii="Source Sans Pro" w:hAnsi="Source Sans Pro"/>
                    </w:rPr>
                    <w:t>ideas@redburnatlantic.com</w:t>
                  </w:r>
                </w:hyperlink>
                <w:r w:rsidRPr="003A3374">
                  <w:rPr>
                    <w:rFonts w:ascii="Source Sans Pro" w:hAnsi="Source Sans Pro"/>
                    <w:color w:val="auto"/>
                  </w:rPr>
                  <w:t xml:space="preserve"> if you would like to arrange a demonstration.</w:t>
                </w:r>
              </w:p>
              <w:p w14:paraId="79EF4F1C" w14:textId="6E3267A4" w:rsidR="00105B7B" w:rsidRPr="003A3374" w:rsidRDefault="00000000" w:rsidP="001D2214">
                <w:pPr>
                  <w:pStyle w:val="Bullet"/>
                </w:pPr>
              </w:p>
            </w:sdtContent>
          </w:sdt>
          <w:p w14:paraId="6CBAD5F0" w14:textId="77777777" w:rsidR="00105B7B" w:rsidRPr="003A3374" w:rsidRDefault="00105B7B" w:rsidP="00105B7B">
            <w:pPr>
              <w:pStyle w:val="BodyText"/>
            </w:pPr>
          </w:p>
        </w:tc>
      </w:tr>
    </w:tbl>
    <w:p w14:paraId="75E42FB7" w14:textId="77777777" w:rsidR="00445CAA" w:rsidRPr="003A3374" w:rsidRDefault="00445CAA">
      <w:pPr>
        <w:jc w:val="left"/>
        <w:rPr>
          <w:color w:val="000000" w:themeColor="text1"/>
        </w:rPr>
      </w:pPr>
      <w:r w:rsidRPr="003A3374">
        <w:br w:type="page"/>
      </w:r>
    </w:p>
    <w:p w14:paraId="4E077677" w14:textId="77777777" w:rsidR="00DF0339" w:rsidRPr="003A3374" w:rsidRDefault="00DF0339" w:rsidP="00DF0339">
      <w:pPr>
        <w:pStyle w:val="1pt"/>
      </w:pPr>
      <w:bookmarkStart w:id="4" w:name="SectorStocks"/>
      <w:bookmarkEnd w:id="4"/>
    </w:p>
    <w:tbl>
      <w:tblPr>
        <w:tblStyle w:val="TableGrid"/>
        <w:tblW w:w="9637" w:type="dxa"/>
        <w:tblLayout w:type="fixed"/>
        <w:tblCellMar>
          <w:left w:w="0" w:type="dxa"/>
          <w:right w:w="0" w:type="dxa"/>
        </w:tblCellMar>
        <w:tblLook w:val="04A0" w:firstRow="1" w:lastRow="0" w:firstColumn="1" w:lastColumn="0" w:noHBand="0" w:noVBand="1"/>
      </w:tblPr>
      <w:tblGrid>
        <w:gridCol w:w="4705"/>
        <w:gridCol w:w="227"/>
        <w:gridCol w:w="4705"/>
      </w:tblGrid>
      <w:tr w:rsidR="00624852" w:rsidRPr="003A3374" w14:paraId="55B81FB9" w14:textId="77777777" w:rsidTr="009D0784">
        <w:trPr>
          <w:cantSplit/>
          <w:tblHeader/>
        </w:trPr>
        <w:tc>
          <w:tcPr>
            <w:tcW w:w="9637" w:type="dxa"/>
            <w:gridSpan w:val="3"/>
            <w:tcBorders>
              <w:bottom w:val="single" w:sz="8" w:space="0" w:color="000000" w:themeColor="text1"/>
            </w:tcBorders>
            <w:vAlign w:val="bottom"/>
          </w:tcPr>
          <w:p w14:paraId="0F589E28" w14:textId="66968ED1" w:rsidR="00624852" w:rsidRPr="003A3374" w:rsidRDefault="00AD11BA" w:rsidP="00AD11BA">
            <w:pPr>
              <w:pStyle w:val="TableTitle"/>
            </w:pPr>
            <w:bookmarkStart w:id="5" w:name="PH_1_8_1_062321"/>
            <w:bookmarkStart w:id="6" w:name="Valuation"/>
            <w:r w:rsidRPr="003A3374">
              <w:t>Coca-Cola Europacific Partners Summary financials and valuation</w:t>
            </w:r>
          </w:p>
        </w:tc>
      </w:tr>
      <w:tr w:rsidR="00624852" w:rsidRPr="003A3374" w14:paraId="0AE18887" w14:textId="77777777" w:rsidTr="009D0784">
        <w:trPr>
          <w:cantSplit/>
        </w:trPr>
        <w:tc>
          <w:tcPr>
            <w:tcW w:w="9637" w:type="dxa"/>
            <w:gridSpan w:val="3"/>
            <w:tcBorders>
              <w:top w:val="single" w:sz="8" w:space="0" w:color="000000" w:themeColor="text1"/>
              <w:bottom w:val="single" w:sz="8" w:space="0" w:color="000000" w:themeColor="text1"/>
            </w:tcBorders>
          </w:tcPr>
          <w:tbl>
            <w:tblPr>
              <w:tblStyle w:val="Dataholder"/>
              <w:tblW w:w="0" w:type="auto"/>
              <w:tblLayout w:type="fixed"/>
              <w:tblLook w:val="06A0" w:firstRow="1" w:lastRow="0" w:firstColumn="1" w:lastColumn="0" w:noHBand="1" w:noVBand="1"/>
            </w:tblPr>
            <w:tblGrid>
              <w:gridCol w:w="3805"/>
              <w:gridCol w:w="729"/>
              <w:gridCol w:w="729"/>
              <w:gridCol w:w="729"/>
              <w:gridCol w:w="729"/>
              <w:gridCol w:w="729"/>
              <w:gridCol w:w="729"/>
              <w:gridCol w:w="729"/>
              <w:gridCol w:w="729"/>
            </w:tblGrid>
            <w:tr w:rsidR="00AD11BA" w:rsidRPr="003A3374" w14:paraId="36DF8A79" w14:textId="77777777" w:rsidTr="00AD11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5" w:type="dxa"/>
                  <w:tcBorders>
                    <w:bottom w:val="single" w:sz="8" w:space="0" w:color="000000" w:themeColor="text1"/>
                  </w:tcBorders>
                  <w:vAlign w:val="bottom"/>
                </w:tcPr>
                <w:p w14:paraId="0BEC5A4F" w14:textId="77777777" w:rsidR="00AD11BA" w:rsidRPr="003A3374" w:rsidRDefault="00AD11BA" w:rsidP="00AD11BA">
                  <w:pPr>
                    <w:pStyle w:val="TableText0"/>
                  </w:pPr>
                  <w:r w:rsidRPr="003A3374">
                    <w:t>Y/E December (€m)</w:t>
                  </w:r>
                </w:p>
              </w:tc>
              <w:tc>
                <w:tcPr>
                  <w:tcW w:w="729" w:type="dxa"/>
                  <w:tcBorders>
                    <w:bottom w:val="single" w:sz="8" w:space="0" w:color="000000" w:themeColor="text1"/>
                  </w:tcBorders>
                  <w:vAlign w:val="bottom"/>
                </w:tcPr>
                <w:p w14:paraId="05513715" w14:textId="77777777" w:rsidR="00AD11BA" w:rsidRPr="003A3374" w:rsidRDefault="00AD11BA" w:rsidP="00AD11BA">
                  <w:pPr>
                    <w:pStyle w:val="TableText0"/>
                    <w:cnfStyle w:val="100000000000" w:firstRow="1" w:lastRow="0" w:firstColumn="0" w:lastColumn="0" w:oddVBand="0" w:evenVBand="0" w:oddHBand="0" w:evenHBand="0" w:firstRowFirstColumn="0" w:firstRowLastColumn="0" w:lastRowFirstColumn="0" w:lastRowLastColumn="0"/>
                  </w:pPr>
                  <w:r w:rsidRPr="003A3374">
                    <w:t>2020</w:t>
                  </w:r>
                </w:p>
              </w:tc>
              <w:tc>
                <w:tcPr>
                  <w:tcW w:w="729" w:type="dxa"/>
                  <w:tcBorders>
                    <w:bottom w:val="single" w:sz="8" w:space="0" w:color="000000" w:themeColor="text1"/>
                  </w:tcBorders>
                  <w:vAlign w:val="bottom"/>
                </w:tcPr>
                <w:p w14:paraId="17BAE4D1" w14:textId="77777777" w:rsidR="00AD11BA" w:rsidRPr="003A3374" w:rsidRDefault="00AD11BA" w:rsidP="00AD11BA">
                  <w:pPr>
                    <w:pStyle w:val="TableText0"/>
                    <w:cnfStyle w:val="100000000000" w:firstRow="1" w:lastRow="0" w:firstColumn="0" w:lastColumn="0" w:oddVBand="0" w:evenVBand="0" w:oddHBand="0" w:evenHBand="0" w:firstRowFirstColumn="0" w:firstRowLastColumn="0" w:lastRowFirstColumn="0" w:lastRowLastColumn="0"/>
                  </w:pPr>
                  <w:r w:rsidRPr="003A3374">
                    <w:t>2021</w:t>
                  </w:r>
                </w:p>
              </w:tc>
              <w:tc>
                <w:tcPr>
                  <w:tcW w:w="729" w:type="dxa"/>
                  <w:tcBorders>
                    <w:bottom w:val="single" w:sz="8" w:space="0" w:color="000000" w:themeColor="text1"/>
                  </w:tcBorders>
                  <w:vAlign w:val="bottom"/>
                </w:tcPr>
                <w:p w14:paraId="77E8E4A3" w14:textId="77777777" w:rsidR="00AD11BA" w:rsidRPr="003A3374" w:rsidRDefault="00AD11BA" w:rsidP="00AD11BA">
                  <w:pPr>
                    <w:pStyle w:val="TableText0"/>
                    <w:cnfStyle w:val="100000000000" w:firstRow="1" w:lastRow="0" w:firstColumn="0" w:lastColumn="0" w:oddVBand="0" w:evenVBand="0" w:oddHBand="0" w:evenHBand="0" w:firstRowFirstColumn="0" w:firstRowLastColumn="0" w:lastRowFirstColumn="0" w:lastRowLastColumn="0"/>
                  </w:pPr>
                  <w:r w:rsidRPr="003A3374">
                    <w:t>2022</w:t>
                  </w:r>
                </w:p>
              </w:tc>
              <w:tc>
                <w:tcPr>
                  <w:tcW w:w="729" w:type="dxa"/>
                  <w:tcBorders>
                    <w:bottom w:val="single" w:sz="8" w:space="0" w:color="000000" w:themeColor="text1"/>
                  </w:tcBorders>
                  <w:vAlign w:val="bottom"/>
                </w:tcPr>
                <w:p w14:paraId="3C9842B1" w14:textId="77777777" w:rsidR="00AD11BA" w:rsidRPr="003A3374" w:rsidRDefault="00AD11BA" w:rsidP="00AD11BA">
                  <w:pPr>
                    <w:pStyle w:val="TableText0"/>
                    <w:cnfStyle w:val="100000000000" w:firstRow="1" w:lastRow="0" w:firstColumn="0" w:lastColumn="0" w:oddVBand="0" w:evenVBand="0" w:oddHBand="0" w:evenHBand="0" w:firstRowFirstColumn="0" w:firstRowLastColumn="0" w:lastRowFirstColumn="0" w:lastRowLastColumn="0"/>
                  </w:pPr>
                  <w:r w:rsidRPr="003A3374">
                    <w:t>2023</w:t>
                  </w:r>
                </w:p>
              </w:tc>
              <w:tc>
                <w:tcPr>
                  <w:tcW w:w="729" w:type="dxa"/>
                  <w:tcBorders>
                    <w:bottom w:val="single" w:sz="8" w:space="0" w:color="000000" w:themeColor="text1"/>
                  </w:tcBorders>
                  <w:vAlign w:val="bottom"/>
                </w:tcPr>
                <w:p w14:paraId="38435558" w14:textId="77777777" w:rsidR="00AD11BA" w:rsidRPr="003A3374" w:rsidRDefault="00AD11BA" w:rsidP="00AD11BA">
                  <w:pPr>
                    <w:pStyle w:val="TableText0"/>
                    <w:cnfStyle w:val="100000000000" w:firstRow="1" w:lastRow="0" w:firstColumn="0" w:lastColumn="0" w:oddVBand="0" w:evenVBand="0" w:oddHBand="0" w:evenHBand="0" w:firstRowFirstColumn="0" w:firstRowLastColumn="0" w:lastRowFirstColumn="0" w:lastRowLastColumn="0"/>
                  </w:pPr>
                  <w:r w:rsidRPr="003A3374">
                    <w:t>2024</w:t>
                  </w:r>
                </w:p>
              </w:tc>
              <w:tc>
                <w:tcPr>
                  <w:tcW w:w="729" w:type="dxa"/>
                  <w:tcBorders>
                    <w:bottom w:val="single" w:sz="8" w:space="0" w:color="000000" w:themeColor="text1"/>
                  </w:tcBorders>
                  <w:vAlign w:val="bottom"/>
                </w:tcPr>
                <w:p w14:paraId="0A2DF108" w14:textId="77777777" w:rsidR="00AD11BA" w:rsidRPr="003A3374" w:rsidRDefault="00AD11BA" w:rsidP="00AD11BA">
                  <w:pPr>
                    <w:pStyle w:val="TableText0"/>
                    <w:cnfStyle w:val="100000000000" w:firstRow="1" w:lastRow="0" w:firstColumn="0" w:lastColumn="0" w:oddVBand="0" w:evenVBand="0" w:oddHBand="0" w:evenHBand="0" w:firstRowFirstColumn="0" w:firstRowLastColumn="0" w:lastRowFirstColumn="0" w:lastRowLastColumn="0"/>
                  </w:pPr>
                  <w:r w:rsidRPr="003A3374">
                    <w:t>2025E</w:t>
                  </w:r>
                </w:p>
              </w:tc>
              <w:tc>
                <w:tcPr>
                  <w:tcW w:w="729" w:type="dxa"/>
                  <w:tcBorders>
                    <w:bottom w:val="single" w:sz="8" w:space="0" w:color="000000" w:themeColor="text1"/>
                  </w:tcBorders>
                  <w:vAlign w:val="bottom"/>
                </w:tcPr>
                <w:p w14:paraId="1F846E24" w14:textId="77777777" w:rsidR="00AD11BA" w:rsidRPr="003A3374" w:rsidRDefault="00AD11BA" w:rsidP="00AD11BA">
                  <w:pPr>
                    <w:pStyle w:val="TableText0"/>
                    <w:cnfStyle w:val="100000000000" w:firstRow="1" w:lastRow="0" w:firstColumn="0" w:lastColumn="0" w:oddVBand="0" w:evenVBand="0" w:oddHBand="0" w:evenHBand="0" w:firstRowFirstColumn="0" w:firstRowLastColumn="0" w:lastRowFirstColumn="0" w:lastRowLastColumn="0"/>
                  </w:pPr>
                  <w:r w:rsidRPr="003A3374">
                    <w:t>2026E</w:t>
                  </w:r>
                </w:p>
              </w:tc>
              <w:tc>
                <w:tcPr>
                  <w:tcW w:w="729" w:type="dxa"/>
                  <w:tcBorders>
                    <w:bottom w:val="single" w:sz="8" w:space="0" w:color="000000" w:themeColor="text1"/>
                  </w:tcBorders>
                  <w:vAlign w:val="bottom"/>
                </w:tcPr>
                <w:p w14:paraId="36821154" w14:textId="77777777" w:rsidR="00AD11BA" w:rsidRPr="003A3374" w:rsidRDefault="00AD11BA" w:rsidP="00AD11BA">
                  <w:pPr>
                    <w:pStyle w:val="TableText0"/>
                    <w:cnfStyle w:val="100000000000" w:firstRow="1" w:lastRow="0" w:firstColumn="0" w:lastColumn="0" w:oddVBand="0" w:evenVBand="0" w:oddHBand="0" w:evenHBand="0" w:firstRowFirstColumn="0" w:firstRowLastColumn="0" w:lastRowFirstColumn="0" w:lastRowLastColumn="0"/>
                  </w:pPr>
                  <w:r w:rsidRPr="003A3374">
                    <w:t>2027E</w:t>
                  </w:r>
                </w:p>
              </w:tc>
            </w:tr>
            <w:tr w:rsidR="00AD11BA" w:rsidRPr="003A3374" w14:paraId="0534989E" w14:textId="77777777" w:rsidTr="00AD11BA">
              <w:tc>
                <w:tcPr>
                  <w:cnfStyle w:val="001000000000" w:firstRow="0" w:lastRow="0" w:firstColumn="1" w:lastColumn="0" w:oddVBand="0" w:evenVBand="0" w:oddHBand="0" w:evenHBand="0" w:firstRowFirstColumn="0" w:firstRowLastColumn="0" w:lastRowFirstColumn="0" w:lastRowLastColumn="0"/>
                  <w:tcW w:w="3805" w:type="dxa"/>
                  <w:tcBorders>
                    <w:top w:val="single" w:sz="8" w:space="0" w:color="000000" w:themeColor="text1"/>
                  </w:tcBorders>
                </w:tcPr>
                <w:p w14:paraId="38D01E52" w14:textId="77777777" w:rsidR="00AD11BA" w:rsidRPr="003A3374" w:rsidRDefault="00AD11BA" w:rsidP="00AD11BA">
                  <w:pPr>
                    <w:pStyle w:val="TableText0"/>
                  </w:pPr>
                  <w:r w:rsidRPr="003A3374">
                    <w:t>Net sales</w:t>
                  </w:r>
                </w:p>
              </w:tc>
              <w:tc>
                <w:tcPr>
                  <w:tcW w:w="729" w:type="dxa"/>
                  <w:tcBorders>
                    <w:top w:val="single" w:sz="8" w:space="0" w:color="000000" w:themeColor="text1"/>
                  </w:tcBorders>
                </w:tcPr>
                <w:p w14:paraId="23280BE1" w14:textId="1064417D"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13,535</w:t>
                  </w:r>
                </w:p>
              </w:tc>
              <w:tc>
                <w:tcPr>
                  <w:tcW w:w="729" w:type="dxa"/>
                  <w:tcBorders>
                    <w:top w:val="single" w:sz="8" w:space="0" w:color="000000" w:themeColor="text1"/>
                  </w:tcBorders>
                </w:tcPr>
                <w:p w14:paraId="525C7348" w14:textId="02B5D43A"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14,819</w:t>
                  </w:r>
                </w:p>
              </w:tc>
              <w:tc>
                <w:tcPr>
                  <w:tcW w:w="729" w:type="dxa"/>
                  <w:tcBorders>
                    <w:top w:val="single" w:sz="8" w:space="0" w:color="000000" w:themeColor="text1"/>
                  </w:tcBorders>
                </w:tcPr>
                <w:p w14:paraId="3FBF6201" w14:textId="295CD0A8"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17,320</w:t>
                  </w:r>
                </w:p>
              </w:tc>
              <w:tc>
                <w:tcPr>
                  <w:tcW w:w="729" w:type="dxa"/>
                  <w:tcBorders>
                    <w:top w:val="single" w:sz="8" w:space="0" w:color="000000" w:themeColor="text1"/>
                  </w:tcBorders>
                </w:tcPr>
                <w:p w14:paraId="2C1F99D4" w14:textId="48AB84B7"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18,302</w:t>
                  </w:r>
                </w:p>
              </w:tc>
              <w:tc>
                <w:tcPr>
                  <w:tcW w:w="729" w:type="dxa"/>
                  <w:tcBorders>
                    <w:top w:val="single" w:sz="8" w:space="0" w:color="000000" w:themeColor="text1"/>
                  </w:tcBorders>
                </w:tcPr>
                <w:p w14:paraId="535D2F35" w14:textId="1DAA940F"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20,706</w:t>
                  </w:r>
                </w:p>
              </w:tc>
              <w:tc>
                <w:tcPr>
                  <w:tcW w:w="729" w:type="dxa"/>
                  <w:tcBorders>
                    <w:top w:val="single" w:sz="8" w:space="0" w:color="000000" w:themeColor="text1"/>
                  </w:tcBorders>
                </w:tcPr>
                <w:p w14:paraId="38E8F240" w14:textId="506E54BB"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20,910</w:t>
                  </w:r>
                </w:p>
              </w:tc>
              <w:tc>
                <w:tcPr>
                  <w:tcW w:w="729" w:type="dxa"/>
                  <w:tcBorders>
                    <w:top w:val="single" w:sz="8" w:space="0" w:color="000000" w:themeColor="text1"/>
                  </w:tcBorders>
                </w:tcPr>
                <w:p w14:paraId="5BA24D9A" w14:textId="51F226E4"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21,307</w:t>
                  </w:r>
                </w:p>
              </w:tc>
              <w:tc>
                <w:tcPr>
                  <w:tcW w:w="729" w:type="dxa"/>
                  <w:tcBorders>
                    <w:top w:val="single" w:sz="8" w:space="0" w:color="000000" w:themeColor="text1"/>
                  </w:tcBorders>
                </w:tcPr>
                <w:p w14:paraId="7C87EA4D" w14:textId="707613F5"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22,093</w:t>
                  </w:r>
                </w:p>
              </w:tc>
            </w:tr>
            <w:tr w:rsidR="00AD11BA" w:rsidRPr="003A3374" w14:paraId="5524C387" w14:textId="77777777" w:rsidTr="00AD11BA">
              <w:tc>
                <w:tcPr>
                  <w:cnfStyle w:val="001000000000" w:firstRow="0" w:lastRow="0" w:firstColumn="1" w:lastColumn="0" w:oddVBand="0" w:evenVBand="0" w:oddHBand="0" w:evenHBand="0" w:firstRowFirstColumn="0" w:firstRowLastColumn="0" w:lastRowFirstColumn="0" w:lastRowLastColumn="0"/>
                  <w:tcW w:w="3805" w:type="dxa"/>
                </w:tcPr>
                <w:p w14:paraId="4DCF96A0" w14:textId="77777777" w:rsidR="00AD11BA" w:rsidRPr="003A3374" w:rsidRDefault="00AD11BA" w:rsidP="00AD11BA">
                  <w:pPr>
                    <w:pStyle w:val="TableText0"/>
                  </w:pPr>
                  <w:r w:rsidRPr="003A3374">
                    <w:t>Operating profit</w:t>
                  </w:r>
                </w:p>
              </w:tc>
              <w:tc>
                <w:tcPr>
                  <w:tcW w:w="729" w:type="dxa"/>
                </w:tcPr>
                <w:p w14:paraId="2FD25EEE" w14:textId="027A6F79"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1,492</w:t>
                  </w:r>
                </w:p>
              </w:tc>
              <w:tc>
                <w:tcPr>
                  <w:tcW w:w="729" w:type="dxa"/>
                </w:tcPr>
                <w:p w14:paraId="34908C08" w14:textId="2D625A43"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1,886</w:t>
                  </w:r>
                </w:p>
              </w:tc>
              <w:tc>
                <w:tcPr>
                  <w:tcW w:w="729" w:type="dxa"/>
                </w:tcPr>
                <w:p w14:paraId="2858D1E5" w14:textId="3B51E69E"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2,138</w:t>
                  </w:r>
                </w:p>
              </w:tc>
              <w:tc>
                <w:tcPr>
                  <w:tcW w:w="729" w:type="dxa"/>
                </w:tcPr>
                <w:p w14:paraId="72790080" w14:textId="0846EDEA"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2,373</w:t>
                  </w:r>
                </w:p>
              </w:tc>
              <w:tc>
                <w:tcPr>
                  <w:tcW w:w="729" w:type="dxa"/>
                </w:tcPr>
                <w:p w14:paraId="27152530" w14:textId="3FCAEBC8"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2,663</w:t>
                  </w:r>
                </w:p>
              </w:tc>
              <w:tc>
                <w:tcPr>
                  <w:tcW w:w="729" w:type="dxa"/>
                </w:tcPr>
                <w:p w14:paraId="7140717C" w14:textId="11637306"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2,803</w:t>
                  </w:r>
                </w:p>
              </w:tc>
              <w:tc>
                <w:tcPr>
                  <w:tcW w:w="729" w:type="dxa"/>
                </w:tcPr>
                <w:p w14:paraId="504E9416" w14:textId="56F65A1A"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2,962</w:t>
                  </w:r>
                </w:p>
              </w:tc>
              <w:tc>
                <w:tcPr>
                  <w:tcW w:w="729" w:type="dxa"/>
                </w:tcPr>
                <w:p w14:paraId="7193FB83" w14:textId="3DC70844"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3,164</w:t>
                  </w:r>
                </w:p>
              </w:tc>
            </w:tr>
            <w:tr w:rsidR="00AD11BA" w:rsidRPr="003A3374" w14:paraId="2B3964FE" w14:textId="77777777" w:rsidTr="00AD11BA">
              <w:tc>
                <w:tcPr>
                  <w:cnfStyle w:val="001000000000" w:firstRow="0" w:lastRow="0" w:firstColumn="1" w:lastColumn="0" w:oddVBand="0" w:evenVBand="0" w:oddHBand="0" w:evenHBand="0" w:firstRowFirstColumn="0" w:firstRowLastColumn="0" w:lastRowFirstColumn="0" w:lastRowLastColumn="0"/>
                  <w:tcW w:w="3805" w:type="dxa"/>
                </w:tcPr>
                <w:p w14:paraId="7E6E0474" w14:textId="77777777" w:rsidR="00AD11BA" w:rsidRPr="003A3374" w:rsidRDefault="00AD11BA" w:rsidP="00AD11BA">
                  <w:pPr>
                    <w:pStyle w:val="TableText0"/>
                  </w:pPr>
                  <w:r w:rsidRPr="003A3374">
                    <w:t>Operating margin (%)</w:t>
                  </w:r>
                </w:p>
              </w:tc>
              <w:tc>
                <w:tcPr>
                  <w:tcW w:w="729" w:type="dxa"/>
                </w:tcPr>
                <w:p w14:paraId="5DADE45A" w14:textId="462CC70F"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11.0%</w:t>
                  </w:r>
                </w:p>
              </w:tc>
              <w:tc>
                <w:tcPr>
                  <w:tcW w:w="729" w:type="dxa"/>
                </w:tcPr>
                <w:p w14:paraId="731E479B" w14:textId="4E601C6D"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12.7%</w:t>
                  </w:r>
                </w:p>
              </w:tc>
              <w:tc>
                <w:tcPr>
                  <w:tcW w:w="729" w:type="dxa"/>
                </w:tcPr>
                <w:p w14:paraId="6BADE943" w14:textId="2B245140"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12.3%</w:t>
                  </w:r>
                </w:p>
              </w:tc>
              <w:tc>
                <w:tcPr>
                  <w:tcW w:w="729" w:type="dxa"/>
                </w:tcPr>
                <w:p w14:paraId="09DA952C" w14:textId="62AA686B"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13.0%</w:t>
                  </w:r>
                </w:p>
              </w:tc>
              <w:tc>
                <w:tcPr>
                  <w:tcW w:w="729" w:type="dxa"/>
                </w:tcPr>
                <w:p w14:paraId="219966C5" w14:textId="1E1BEA67"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12.9%</w:t>
                  </w:r>
                </w:p>
              </w:tc>
              <w:tc>
                <w:tcPr>
                  <w:tcW w:w="729" w:type="dxa"/>
                </w:tcPr>
                <w:p w14:paraId="1508465F" w14:textId="784E0948"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13.4%</w:t>
                  </w:r>
                </w:p>
              </w:tc>
              <w:tc>
                <w:tcPr>
                  <w:tcW w:w="729" w:type="dxa"/>
                </w:tcPr>
                <w:p w14:paraId="798063D4" w14:textId="41F8C183"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13.9%</w:t>
                  </w:r>
                </w:p>
              </w:tc>
              <w:tc>
                <w:tcPr>
                  <w:tcW w:w="729" w:type="dxa"/>
                </w:tcPr>
                <w:p w14:paraId="4D82BA7E" w14:textId="3C068DF7"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14.3%</w:t>
                  </w:r>
                </w:p>
              </w:tc>
            </w:tr>
            <w:tr w:rsidR="00AD11BA" w:rsidRPr="003A3374" w14:paraId="129CB827" w14:textId="77777777" w:rsidTr="00AD11BA">
              <w:tc>
                <w:tcPr>
                  <w:cnfStyle w:val="001000000000" w:firstRow="0" w:lastRow="0" w:firstColumn="1" w:lastColumn="0" w:oddVBand="0" w:evenVBand="0" w:oddHBand="0" w:evenHBand="0" w:firstRowFirstColumn="0" w:firstRowLastColumn="0" w:lastRowFirstColumn="0" w:lastRowLastColumn="0"/>
                  <w:tcW w:w="3805" w:type="dxa"/>
                </w:tcPr>
                <w:p w14:paraId="53E4295B" w14:textId="77777777" w:rsidR="00AD11BA" w:rsidRPr="003A3374" w:rsidRDefault="00AD11BA" w:rsidP="00AD11BA">
                  <w:pPr>
                    <w:pStyle w:val="TableText0"/>
                  </w:pPr>
                  <w:r w:rsidRPr="003A3374">
                    <w:t>EPS adjusted, diluted (€)</w:t>
                  </w:r>
                </w:p>
              </w:tc>
              <w:tc>
                <w:tcPr>
                  <w:tcW w:w="729" w:type="dxa"/>
                </w:tcPr>
                <w:p w14:paraId="73137407" w14:textId="0F345ABB"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2.19</w:t>
                  </w:r>
                </w:p>
              </w:tc>
              <w:tc>
                <w:tcPr>
                  <w:tcW w:w="729" w:type="dxa"/>
                </w:tcPr>
                <w:p w14:paraId="4C5726EE" w14:textId="3F57FEEC"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2.97</w:t>
                  </w:r>
                </w:p>
              </w:tc>
              <w:tc>
                <w:tcPr>
                  <w:tcW w:w="729" w:type="dxa"/>
                </w:tcPr>
                <w:p w14:paraId="467D5200" w14:textId="58958043"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3.39</w:t>
                  </w:r>
                </w:p>
              </w:tc>
              <w:tc>
                <w:tcPr>
                  <w:tcW w:w="729" w:type="dxa"/>
                </w:tcPr>
                <w:p w14:paraId="50BFA629" w14:textId="47E6EA4F"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3.71</w:t>
                  </w:r>
                </w:p>
              </w:tc>
              <w:tc>
                <w:tcPr>
                  <w:tcW w:w="729" w:type="dxa"/>
                </w:tcPr>
                <w:p w14:paraId="63565CC4" w14:textId="244E9287"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3.95</w:t>
                  </w:r>
                </w:p>
              </w:tc>
              <w:tc>
                <w:tcPr>
                  <w:tcW w:w="729" w:type="dxa"/>
                </w:tcPr>
                <w:p w14:paraId="0331BE4C" w14:textId="4EA5F84B"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4.12</w:t>
                  </w:r>
                </w:p>
              </w:tc>
              <w:tc>
                <w:tcPr>
                  <w:tcW w:w="729" w:type="dxa"/>
                </w:tcPr>
                <w:p w14:paraId="265E1D16" w14:textId="59769013"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4.49</w:t>
                  </w:r>
                </w:p>
              </w:tc>
              <w:tc>
                <w:tcPr>
                  <w:tcW w:w="729" w:type="dxa"/>
                </w:tcPr>
                <w:p w14:paraId="038EA6AC" w14:textId="7A374A20"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4.94</w:t>
                  </w:r>
                </w:p>
              </w:tc>
            </w:tr>
            <w:tr w:rsidR="00AD11BA" w:rsidRPr="003A3374" w14:paraId="1F6A9C03" w14:textId="77777777" w:rsidTr="00AD11BA">
              <w:tc>
                <w:tcPr>
                  <w:cnfStyle w:val="001000000000" w:firstRow="0" w:lastRow="0" w:firstColumn="1" w:lastColumn="0" w:oddVBand="0" w:evenVBand="0" w:oddHBand="0" w:evenHBand="0" w:firstRowFirstColumn="0" w:firstRowLastColumn="0" w:lastRowFirstColumn="0" w:lastRowLastColumn="0"/>
                  <w:tcW w:w="3805" w:type="dxa"/>
                </w:tcPr>
                <w:p w14:paraId="21517554" w14:textId="77777777" w:rsidR="00AD11BA" w:rsidRPr="003A3374" w:rsidRDefault="00AD11BA" w:rsidP="00AD11BA">
                  <w:pPr>
                    <w:pStyle w:val="TableText0"/>
                  </w:pPr>
                  <w:r w:rsidRPr="003A3374">
                    <w:t>Consensus EPS adjusted, diluted (€)</w:t>
                  </w:r>
                </w:p>
              </w:tc>
              <w:tc>
                <w:tcPr>
                  <w:tcW w:w="729" w:type="dxa"/>
                </w:tcPr>
                <w:p w14:paraId="4D0EE418" w14:textId="77777777" w:rsidR="00AD11BA" w:rsidRPr="003A3374" w:rsidRDefault="00AD11BA" w:rsidP="00AD11BA">
                  <w:pPr>
                    <w:pStyle w:val="TableText0"/>
                    <w:cnfStyle w:val="000000000000" w:firstRow="0" w:lastRow="0" w:firstColumn="0" w:lastColumn="0" w:oddVBand="0" w:evenVBand="0" w:oddHBand="0" w:evenHBand="0" w:firstRowFirstColumn="0" w:firstRowLastColumn="0" w:lastRowFirstColumn="0" w:lastRowLastColumn="0"/>
                  </w:pPr>
                </w:p>
              </w:tc>
              <w:tc>
                <w:tcPr>
                  <w:tcW w:w="729" w:type="dxa"/>
                </w:tcPr>
                <w:p w14:paraId="4F51389F" w14:textId="77777777" w:rsidR="00AD11BA" w:rsidRPr="003A3374" w:rsidRDefault="00AD11BA" w:rsidP="00AD11BA">
                  <w:pPr>
                    <w:pStyle w:val="TableText0"/>
                    <w:cnfStyle w:val="000000000000" w:firstRow="0" w:lastRow="0" w:firstColumn="0" w:lastColumn="0" w:oddVBand="0" w:evenVBand="0" w:oddHBand="0" w:evenHBand="0" w:firstRowFirstColumn="0" w:firstRowLastColumn="0" w:lastRowFirstColumn="0" w:lastRowLastColumn="0"/>
                  </w:pPr>
                </w:p>
              </w:tc>
              <w:tc>
                <w:tcPr>
                  <w:tcW w:w="729" w:type="dxa"/>
                </w:tcPr>
                <w:p w14:paraId="79F605AC" w14:textId="77777777" w:rsidR="00AD11BA" w:rsidRPr="003A3374" w:rsidRDefault="00AD11BA" w:rsidP="00AD11BA">
                  <w:pPr>
                    <w:pStyle w:val="TableText0"/>
                    <w:cnfStyle w:val="000000000000" w:firstRow="0" w:lastRow="0" w:firstColumn="0" w:lastColumn="0" w:oddVBand="0" w:evenVBand="0" w:oddHBand="0" w:evenHBand="0" w:firstRowFirstColumn="0" w:firstRowLastColumn="0" w:lastRowFirstColumn="0" w:lastRowLastColumn="0"/>
                  </w:pPr>
                </w:p>
              </w:tc>
              <w:tc>
                <w:tcPr>
                  <w:tcW w:w="729" w:type="dxa"/>
                </w:tcPr>
                <w:p w14:paraId="6E44967C" w14:textId="77777777" w:rsidR="00AD11BA" w:rsidRPr="003A3374" w:rsidRDefault="00AD11BA" w:rsidP="00AD11BA">
                  <w:pPr>
                    <w:pStyle w:val="TableText0"/>
                    <w:cnfStyle w:val="000000000000" w:firstRow="0" w:lastRow="0" w:firstColumn="0" w:lastColumn="0" w:oddVBand="0" w:evenVBand="0" w:oddHBand="0" w:evenHBand="0" w:firstRowFirstColumn="0" w:firstRowLastColumn="0" w:lastRowFirstColumn="0" w:lastRowLastColumn="0"/>
                  </w:pPr>
                </w:p>
              </w:tc>
              <w:tc>
                <w:tcPr>
                  <w:tcW w:w="729" w:type="dxa"/>
                </w:tcPr>
                <w:p w14:paraId="584E0EC1" w14:textId="77777777" w:rsidR="00AD11BA" w:rsidRPr="003A3374" w:rsidRDefault="00AD11BA" w:rsidP="00AD11BA">
                  <w:pPr>
                    <w:pStyle w:val="TableText0"/>
                    <w:cnfStyle w:val="000000000000" w:firstRow="0" w:lastRow="0" w:firstColumn="0" w:lastColumn="0" w:oddVBand="0" w:evenVBand="0" w:oddHBand="0" w:evenHBand="0" w:firstRowFirstColumn="0" w:firstRowLastColumn="0" w:lastRowFirstColumn="0" w:lastRowLastColumn="0"/>
                  </w:pPr>
                </w:p>
              </w:tc>
              <w:tc>
                <w:tcPr>
                  <w:tcW w:w="729" w:type="dxa"/>
                </w:tcPr>
                <w:p w14:paraId="4598D7C2" w14:textId="0EF090E0"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4.09</w:t>
                  </w:r>
                </w:p>
              </w:tc>
              <w:tc>
                <w:tcPr>
                  <w:tcW w:w="729" w:type="dxa"/>
                </w:tcPr>
                <w:p w14:paraId="1399F88F" w14:textId="1C5F76BA"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4.45</w:t>
                  </w:r>
                </w:p>
              </w:tc>
              <w:tc>
                <w:tcPr>
                  <w:tcW w:w="729" w:type="dxa"/>
                </w:tcPr>
                <w:p w14:paraId="14E13994" w14:textId="4A818197"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4.87</w:t>
                  </w:r>
                </w:p>
              </w:tc>
            </w:tr>
            <w:tr w:rsidR="00AD11BA" w:rsidRPr="003A3374" w14:paraId="3D3989BD" w14:textId="77777777" w:rsidTr="00AD11BA">
              <w:tc>
                <w:tcPr>
                  <w:cnfStyle w:val="001000000000" w:firstRow="0" w:lastRow="0" w:firstColumn="1" w:lastColumn="0" w:oddVBand="0" w:evenVBand="0" w:oddHBand="0" w:evenHBand="0" w:firstRowFirstColumn="0" w:firstRowLastColumn="0" w:lastRowFirstColumn="0" w:lastRowLastColumn="0"/>
                  <w:tcW w:w="3805" w:type="dxa"/>
                </w:tcPr>
                <w:p w14:paraId="57EFF03C" w14:textId="6E7C5653" w:rsidR="00AD11BA" w:rsidRPr="003A3374" w:rsidRDefault="00AD11BA" w:rsidP="00AD11BA">
                  <w:pPr>
                    <w:pStyle w:val="TableText0"/>
                  </w:pPr>
                  <w:r w:rsidRPr="003A3374">
                    <w:t>Redburn EPS vs consensus</w:t>
                  </w:r>
                  <w:r w:rsidR="006C553B" w:rsidRPr="003A3374">
                    <w:t xml:space="preserve"> (%)</w:t>
                  </w:r>
                </w:p>
              </w:tc>
              <w:tc>
                <w:tcPr>
                  <w:tcW w:w="729" w:type="dxa"/>
                </w:tcPr>
                <w:p w14:paraId="2AE02323" w14:textId="77777777" w:rsidR="00AD11BA" w:rsidRPr="003A3374" w:rsidRDefault="00AD11BA" w:rsidP="00AD11BA">
                  <w:pPr>
                    <w:pStyle w:val="TableText0"/>
                    <w:cnfStyle w:val="000000000000" w:firstRow="0" w:lastRow="0" w:firstColumn="0" w:lastColumn="0" w:oddVBand="0" w:evenVBand="0" w:oddHBand="0" w:evenHBand="0" w:firstRowFirstColumn="0" w:firstRowLastColumn="0" w:lastRowFirstColumn="0" w:lastRowLastColumn="0"/>
                  </w:pPr>
                </w:p>
              </w:tc>
              <w:tc>
                <w:tcPr>
                  <w:tcW w:w="729" w:type="dxa"/>
                </w:tcPr>
                <w:p w14:paraId="73B0BA6C" w14:textId="77777777" w:rsidR="00AD11BA" w:rsidRPr="003A3374" w:rsidRDefault="00AD11BA" w:rsidP="00AD11BA">
                  <w:pPr>
                    <w:pStyle w:val="TableText0"/>
                    <w:cnfStyle w:val="000000000000" w:firstRow="0" w:lastRow="0" w:firstColumn="0" w:lastColumn="0" w:oddVBand="0" w:evenVBand="0" w:oddHBand="0" w:evenHBand="0" w:firstRowFirstColumn="0" w:firstRowLastColumn="0" w:lastRowFirstColumn="0" w:lastRowLastColumn="0"/>
                  </w:pPr>
                </w:p>
              </w:tc>
              <w:tc>
                <w:tcPr>
                  <w:tcW w:w="729" w:type="dxa"/>
                </w:tcPr>
                <w:p w14:paraId="5DECB0BA" w14:textId="77777777" w:rsidR="00AD11BA" w:rsidRPr="003A3374" w:rsidRDefault="00AD11BA" w:rsidP="00AD11BA">
                  <w:pPr>
                    <w:pStyle w:val="TableText0"/>
                    <w:cnfStyle w:val="000000000000" w:firstRow="0" w:lastRow="0" w:firstColumn="0" w:lastColumn="0" w:oddVBand="0" w:evenVBand="0" w:oddHBand="0" w:evenHBand="0" w:firstRowFirstColumn="0" w:firstRowLastColumn="0" w:lastRowFirstColumn="0" w:lastRowLastColumn="0"/>
                  </w:pPr>
                </w:p>
              </w:tc>
              <w:tc>
                <w:tcPr>
                  <w:tcW w:w="729" w:type="dxa"/>
                </w:tcPr>
                <w:p w14:paraId="5C44B433" w14:textId="77777777" w:rsidR="00AD11BA" w:rsidRPr="003A3374" w:rsidRDefault="00AD11BA" w:rsidP="00AD11BA">
                  <w:pPr>
                    <w:pStyle w:val="TableText0"/>
                    <w:cnfStyle w:val="000000000000" w:firstRow="0" w:lastRow="0" w:firstColumn="0" w:lastColumn="0" w:oddVBand="0" w:evenVBand="0" w:oddHBand="0" w:evenHBand="0" w:firstRowFirstColumn="0" w:firstRowLastColumn="0" w:lastRowFirstColumn="0" w:lastRowLastColumn="0"/>
                  </w:pPr>
                </w:p>
              </w:tc>
              <w:tc>
                <w:tcPr>
                  <w:tcW w:w="729" w:type="dxa"/>
                </w:tcPr>
                <w:p w14:paraId="52C1E031" w14:textId="77777777" w:rsidR="00AD11BA" w:rsidRPr="003A3374" w:rsidRDefault="00AD11BA" w:rsidP="00AD11BA">
                  <w:pPr>
                    <w:pStyle w:val="TableText0"/>
                    <w:cnfStyle w:val="000000000000" w:firstRow="0" w:lastRow="0" w:firstColumn="0" w:lastColumn="0" w:oddVBand="0" w:evenVBand="0" w:oddHBand="0" w:evenHBand="0" w:firstRowFirstColumn="0" w:firstRowLastColumn="0" w:lastRowFirstColumn="0" w:lastRowLastColumn="0"/>
                  </w:pPr>
                </w:p>
              </w:tc>
              <w:tc>
                <w:tcPr>
                  <w:tcW w:w="729" w:type="dxa"/>
                </w:tcPr>
                <w:p w14:paraId="72C2A591" w14:textId="16E9AFA4"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0.7%</w:t>
                  </w:r>
                </w:p>
              </w:tc>
              <w:tc>
                <w:tcPr>
                  <w:tcW w:w="729" w:type="dxa"/>
                </w:tcPr>
                <w:p w14:paraId="3056AFDA" w14:textId="146C814A"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0.8%</w:t>
                  </w:r>
                </w:p>
              </w:tc>
              <w:tc>
                <w:tcPr>
                  <w:tcW w:w="729" w:type="dxa"/>
                </w:tcPr>
                <w:p w14:paraId="08A5018F" w14:textId="5CB676C6"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1.5%</w:t>
                  </w:r>
                </w:p>
              </w:tc>
            </w:tr>
            <w:tr w:rsidR="00AD11BA" w:rsidRPr="003A3374" w14:paraId="28F458BC" w14:textId="77777777" w:rsidTr="00AD11BA">
              <w:tc>
                <w:tcPr>
                  <w:cnfStyle w:val="001000000000" w:firstRow="0" w:lastRow="0" w:firstColumn="1" w:lastColumn="0" w:oddVBand="0" w:evenVBand="0" w:oddHBand="0" w:evenHBand="0" w:firstRowFirstColumn="0" w:firstRowLastColumn="0" w:lastRowFirstColumn="0" w:lastRowLastColumn="0"/>
                  <w:tcW w:w="3805" w:type="dxa"/>
                </w:tcPr>
                <w:p w14:paraId="6365F9BD" w14:textId="77777777" w:rsidR="00AD11BA" w:rsidRPr="003A3374" w:rsidRDefault="00AD11BA" w:rsidP="00AD11BA">
                  <w:pPr>
                    <w:pStyle w:val="TableText0"/>
                  </w:pPr>
                  <w:r w:rsidRPr="003A3374">
                    <w:t>DPS (€)</w:t>
                  </w:r>
                </w:p>
              </w:tc>
              <w:tc>
                <w:tcPr>
                  <w:tcW w:w="729" w:type="dxa"/>
                </w:tcPr>
                <w:p w14:paraId="5A2ABEF2" w14:textId="5897F63D"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0.85</w:t>
                  </w:r>
                </w:p>
              </w:tc>
              <w:tc>
                <w:tcPr>
                  <w:tcW w:w="729" w:type="dxa"/>
                </w:tcPr>
                <w:p w14:paraId="34EC2A59" w14:textId="0266BE40"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1.40</w:t>
                  </w:r>
                </w:p>
              </w:tc>
              <w:tc>
                <w:tcPr>
                  <w:tcW w:w="729" w:type="dxa"/>
                </w:tcPr>
                <w:p w14:paraId="63216967" w14:textId="3F8528E0"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1.68</w:t>
                  </w:r>
                </w:p>
              </w:tc>
              <w:tc>
                <w:tcPr>
                  <w:tcW w:w="729" w:type="dxa"/>
                </w:tcPr>
                <w:p w14:paraId="13D582CA" w14:textId="647B1B91"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1.84</w:t>
                  </w:r>
                </w:p>
              </w:tc>
              <w:tc>
                <w:tcPr>
                  <w:tcW w:w="729" w:type="dxa"/>
                </w:tcPr>
                <w:p w14:paraId="01074838" w14:textId="05A70BF9"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1.97</w:t>
                  </w:r>
                </w:p>
              </w:tc>
              <w:tc>
                <w:tcPr>
                  <w:tcW w:w="729" w:type="dxa"/>
                </w:tcPr>
                <w:p w14:paraId="0F6A2EBD" w14:textId="61C6947A"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2.06</w:t>
                  </w:r>
                </w:p>
              </w:tc>
              <w:tc>
                <w:tcPr>
                  <w:tcW w:w="729" w:type="dxa"/>
                </w:tcPr>
                <w:p w14:paraId="778FCA72" w14:textId="627F6ED6"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2.20</w:t>
                  </w:r>
                </w:p>
              </w:tc>
              <w:tc>
                <w:tcPr>
                  <w:tcW w:w="729" w:type="dxa"/>
                </w:tcPr>
                <w:p w14:paraId="62566F2F" w14:textId="27036478"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2.42</w:t>
                  </w:r>
                </w:p>
              </w:tc>
            </w:tr>
            <w:tr w:rsidR="00AD11BA" w:rsidRPr="003A3374" w14:paraId="04AE8061" w14:textId="77777777" w:rsidTr="00AD11BA">
              <w:tc>
                <w:tcPr>
                  <w:cnfStyle w:val="001000000000" w:firstRow="0" w:lastRow="0" w:firstColumn="1" w:lastColumn="0" w:oddVBand="0" w:evenVBand="0" w:oddHBand="0" w:evenHBand="0" w:firstRowFirstColumn="0" w:firstRowLastColumn="0" w:lastRowFirstColumn="0" w:lastRowLastColumn="0"/>
                  <w:tcW w:w="3805" w:type="dxa"/>
                </w:tcPr>
                <w:p w14:paraId="40FCE509" w14:textId="77777777" w:rsidR="00AD11BA" w:rsidRPr="003A3374" w:rsidRDefault="00AD11BA" w:rsidP="00AD11BA">
                  <w:pPr>
                    <w:pStyle w:val="TableText0"/>
                  </w:pPr>
                  <w:r w:rsidRPr="003A3374">
                    <w:t>Net debt/(cash)</w:t>
                  </w:r>
                </w:p>
              </w:tc>
              <w:tc>
                <w:tcPr>
                  <w:tcW w:w="729" w:type="dxa"/>
                </w:tcPr>
                <w:p w14:paraId="40EB61B6" w14:textId="42E30D3E"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5,700</w:t>
                  </w:r>
                </w:p>
              </w:tc>
              <w:tc>
                <w:tcPr>
                  <w:tcW w:w="729" w:type="dxa"/>
                </w:tcPr>
                <w:p w14:paraId="21105BFC" w14:textId="159530DA"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11,607</w:t>
                  </w:r>
                </w:p>
              </w:tc>
              <w:tc>
                <w:tcPr>
                  <w:tcW w:w="729" w:type="dxa"/>
                </w:tcPr>
                <w:p w14:paraId="0BA5965C" w14:textId="214A3E91"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10,206</w:t>
                  </w:r>
                </w:p>
              </w:tc>
              <w:tc>
                <w:tcPr>
                  <w:tcW w:w="729" w:type="dxa"/>
                </w:tcPr>
                <w:p w14:paraId="6A8609A8" w14:textId="4A99EF94"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9,457</w:t>
                  </w:r>
                </w:p>
              </w:tc>
              <w:tc>
                <w:tcPr>
                  <w:tcW w:w="729" w:type="dxa"/>
                </w:tcPr>
                <w:p w14:paraId="332D61C0" w14:textId="325CC7CF"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9,672</w:t>
                  </w:r>
                </w:p>
              </w:tc>
              <w:tc>
                <w:tcPr>
                  <w:tcW w:w="729" w:type="dxa"/>
                </w:tcPr>
                <w:p w14:paraId="6F0BD5EB" w14:textId="00BBC939"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10,032</w:t>
                  </w:r>
                </w:p>
              </w:tc>
              <w:tc>
                <w:tcPr>
                  <w:tcW w:w="729" w:type="dxa"/>
                </w:tcPr>
                <w:p w14:paraId="341A8A0A" w14:textId="44964D9D"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10,615</w:t>
                  </w:r>
                </w:p>
              </w:tc>
              <w:tc>
                <w:tcPr>
                  <w:tcW w:w="729" w:type="dxa"/>
                </w:tcPr>
                <w:p w14:paraId="792E6A3C" w14:textId="2030672E"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11,429</w:t>
                  </w:r>
                </w:p>
              </w:tc>
            </w:tr>
            <w:tr w:rsidR="00AD11BA" w:rsidRPr="003A3374" w14:paraId="2ACB4806" w14:textId="77777777" w:rsidTr="00AD11BA">
              <w:tc>
                <w:tcPr>
                  <w:cnfStyle w:val="001000000000" w:firstRow="0" w:lastRow="0" w:firstColumn="1" w:lastColumn="0" w:oddVBand="0" w:evenVBand="0" w:oddHBand="0" w:evenHBand="0" w:firstRowFirstColumn="0" w:firstRowLastColumn="0" w:lastRowFirstColumn="0" w:lastRowLastColumn="0"/>
                  <w:tcW w:w="3805" w:type="dxa"/>
                </w:tcPr>
                <w:p w14:paraId="357FB107" w14:textId="77777777" w:rsidR="00AD11BA" w:rsidRPr="003A3374" w:rsidRDefault="00AD11BA" w:rsidP="00AD11BA">
                  <w:pPr>
                    <w:pStyle w:val="TableText0"/>
                  </w:pPr>
                  <w:r w:rsidRPr="003A3374">
                    <w:t>Net debt/EBITDA (x)</w:t>
                  </w:r>
                </w:p>
              </w:tc>
              <w:tc>
                <w:tcPr>
                  <w:tcW w:w="729" w:type="dxa"/>
                </w:tcPr>
                <w:p w14:paraId="7EB71E53" w14:textId="38015541"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3.2</w:t>
                  </w:r>
                </w:p>
              </w:tc>
              <w:tc>
                <w:tcPr>
                  <w:tcW w:w="729" w:type="dxa"/>
                </w:tcPr>
                <w:p w14:paraId="52134C9D" w14:textId="28F1F533"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4.6</w:t>
                  </w:r>
                </w:p>
              </w:tc>
              <w:tc>
                <w:tcPr>
                  <w:tcW w:w="729" w:type="dxa"/>
                </w:tcPr>
                <w:p w14:paraId="496F039E" w14:textId="0B71F4FC"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3.5</w:t>
                  </w:r>
                </w:p>
              </w:tc>
              <w:tc>
                <w:tcPr>
                  <w:tcW w:w="729" w:type="dxa"/>
                </w:tcPr>
                <w:p w14:paraId="42EAA368" w14:textId="23B50656"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3.0</w:t>
                  </w:r>
                </w:p>
              </w:tc>
              <w:tc>
                <w:tcPr>
                  <w:tcW w:w="729" w:type="dxa"/>
                </w:tcPr>
                <w:p w14:paraId="3E8BB2E9" w14:textId="6B7DB387"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2.7</w:t>
                  </w:r>
                </w:p>
              </w:tc>
              <w:tc>
                <w:tcPr>
                  <w:tcW w:w="729" w:type="dxa"/>
                </w:tcPr>
                <w:p w14:paraId="105B5E3A" w14:textId="208A6D43"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2.7</w:t>
                  </w:r>
                </w:p>
              </w:tc>
              <w:tc>
                <w:tcPr>
                  <w:tcW w:w="729" w:type="dxa"/>
                </w:tcPr>
                <w:p w14:paraId="1C3A98C9" w14:textId="67DE5C7B"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2.7</w:t>
                  </w:r>
                </w:p>
              </w:tc>
              <w:tc>
                <w:tcPr>
                  <w:tcW w:w="729" w:type="dxa"/>
                </w:tcPr>
                <w:p w14:paraId="0F0415F6" w14:textId="769BFFBE"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2.8</w:t>
                  </w:r>
                </w:p>
              </w:tc>
            </w:tr>
            <w:tr w:rsidR="00AD11BA" w:rsidRPr="003A3374" w14:paraId="664FF13A" w14:textId="77777777" w:rsidTr="00AD11BA">
              <w:tc>
                <w:tcPr>
                  <w:cnfStyle w:val="001000000000" w:firstRow="0" w:lastRow="0" w:firstColumn="1" w:lastColumn="0" w:oddVBand="0" w:evenVBand="0" w:oddHBand="0" w:evenHBand="0" w:firstRowFirstColumn="0" w:firstRowLastColumn="0" w:lastRowFirstColumn="0" w:lastRowLastColumn="0"/>
                  <w:tcW w:w="3805" w:type="dxa"/>
                </w:tcPr>
                <w:p w14:paraId="5396D6DC" w14:textId="77777777" w:rsidR="00AD11BA" w:rsidRPr="003A3374" w:rsidRDefault="00AD11BA" w:rsidP="00AD11BA">
                  <w:pPr>
                    <w:pStyle w:val="TableText0"/>
                  </w:pPr>
                </w:p>
              </w:tc>
              <w:tc>
                <w:tcPr>
                  <w:tcW w:w="729" w:type="dxa"/>
                </w:tcPr>
                <w:p w14:paraId="5CBD971A" w14:textId="77777777" w:rsidR="00AD11BA" w:rsidRPr="003A3374" w:rsidRDefault="00AD11BA" w:rsidP="00AD11BA">
                  <w:pPr>
                    <w:pStyle w:val="TableText0"/>
                    <w:cnfStyle w:val="000000000000" w:firstRow="0" w:lastRow="0" w:firstColumn="0" w:lastColumn="0" w:oddVBand="0" w:evenVBand="0" w:oddHBand="0" w:evenHBand="0" w:firstRowFirstColumn="0" w:firstRowLastColumn="0" w:lastRowFirstColumn="0" w:lastRowLastColumn="0"/>
                  </w:pPr>
                </w:p>
              </w:tc>
              <w:tc>
                <w:tcPr>
                  <w:tcW w:w="729" w:type="dxa"/>
                </w:tcPr>
                <w:p w14:paraId="705AB0D6" w14:textId="77777777" w:rsidR="00AD11BA" w:rsidRPr="003A3374" w:rsidRDefault="00AD11BA" w:rsidP="00AD11BA">
                  <w:pPr>
                    <w:pStyle w:val="TableText0"/>
                    <w:cnfStyle w:val="000000000000" w:firstRow="0" w:lastRow="0" w:firstColumn="0" w:lastColumn="0" w:oddVBand="0" w:evenVBand="0" w:oddHBand="0" w:evenHBand="0" w:firstRowFirstColumn="0" w:firstRowLastColumn="0" w:lastRowFirstColumn="0" w:lastRowLastColumn="0"/>
                  </w:pPr>
                </w:p>
              </w:tc>
              <w:tc>
                <w:tcPr>
                  <w:tcW w:w="729" w:type="dxa"/>
                </w:tcPr>
                <w:p w14:paraId="623EED43" w14:textId="77777777" w:rsidR="00AD11BA" w:rsidRPr="003A3374" w:rsidRDefault="00AD11BA" w:rsidP="00AD11BA">
                  <w:pPr>
                    <w:pStyle w:val="TableText0"/>
                    <w:cnfStyle w:val="000000000000" w:firstRow="0" w:lastRow="0" w:firstColumn="0" w:lastColumn="0" w:oddVBand="0" w:evenVBand="0" w:oddHBand="0" w:evenHBand="0" w:firstRowFirstColumn="0" w:firstRowLastColumn="0" w:lastRowFirstColumn="0" w:lastRowLastColumn="0"/>
                  </w:pPr>
                </w:p>
              </w:tc>
              <w:tc>
                <w:tcPr>
                  <w:tcW w:w="729" w:type="dxa"/>
                </w:tcPr>
                <w:p w14:paraId="2321165B" w14:textId="77777777" w:rsidR="00AD11BA" w:rsidRPr="003A3374" w:rsidRDefault="00AD11BA" w:rsidP="00AD11BA">
                  <w:pPr>
                    <w:pStyle w:val="TableText0"/>
                    <w:cnfStyle w:val="000000000000" w:firstRow="0" w:lastRow="0" w:firstColumn="0" w:lastColumn="0" w:oddVBand="0" w:evenVBand="0" w:oddHBand="0" w:evenHBand="0" w:firstRowFirstColumn="0" w:firstRowLastColumn="0" w:lastRowFirstColumn="0" w:lastRowLastColumn="0"/>
                  </w:pPr>
                </w:p>
              </w:tc>
              <w:tc>
                <w:tcPr>
                  <w:tcW w:w="729" w:type="dxa"/>
                </w:tcPr>
                <w:p w14:paraId="476373EE" w14:textId="77777777" w:rsidR="00AD11BA" w:rsidRPr="003A3374" w:rsidRDefault="00AD11BA" w:rsidP="00AD11BA">
                  <w:pPr>
                    <w:pStyle w:val="TableText0"/>
                    <w:cnfStyle w:val="000000000000" w:firstRow="0" w:lastRow="0" w:firstColumn="0" w:lastColumn="0" w:oddVBand="0" w:evenVBand="0" w:oddHBand="0" w:evenHBand="0" w:firstRowFirstColumn="0" w:firstRowLastColumn="0" w:lastRowFirstColumn="0" w:lastRowLastColumn="0"/>
                  </w:pPr>
                </w:p>
              </w:tc>
              <w:tc>
                <w:tcPr>
                  <w:tcW w:w="729" w:type="dxa"/>
                </w:tcPr>
                <w:p w14:paraId="4D634741" w14:textId="77777777" w:rsidR="00AD11BA" w:rsidRPr="003A3374" w:rsidRDefault="00AD11BA" w:rsidP="00AD11BA">
                  <w:pPr>
                    <w:pStyle w:val="TableText0"/>
                    <w:cnfStyle w:val="000000000000" w:firstRow="0" w:lastRow="0" w:firstColumn="0" w:lastColumn="0" w:oddVBand="0" w:evenVBand="0" w:oddHBand="0" w:evenHBand="0" w:firstRowFirstColumn="0" w:firstRowLastColumn="0" w:lastRowFirstColumn="0" w:lastRowLastColumn="0"/>
                  </w:pPr>
                </w:p>
              </w:tc>
              <w:tc>
                <w:tcPr>
                  <w:tcW w:w="729" w:type="dxa"/>
                </w:tcPr>
                <w:p w14:paraId="74B161A0" w14:textId="77777777" w:rsidR="00AD11BA" w:rsidRPr="003A3374" w:rsidRDefault="00AD11BA" w:rsidP="00AD11BA">
                  <w:pPr>
                    <w:pStyle w:val="TableText0"/>
                    <w:cnfStyle w:val="000000000000" w:firstRow="0" w:lastRow="0" w:firstColumn="0" w:lastColumn="0" w:oddVBand="0" w:evenVBand="0" w:oddHBand="0" w:evenHBand="0" w:firstRowFirstColumn="0" w:firstRowLastColumn="0" w:lastRowFirstColumn="0" w:lastRowLastColumn="0"/>
                  </w:pPr>
                </w:p>
              </w:tc>
              <w:tc>
                <w:tcPr>
                  <w:tcW w:w="729" w:type="dxa"/>
                </w:tcPr>
                <w:p w14:paraId="53FB2F3C" w14:textId="77777777" w:rsidR="00AD11BA" w:rsidRPr="003A3374" w:rsidRDefault="00AD11BA" w:rsidP="00AD11BA">
                  <w:pPr>
                    <w:pStyle w:val="TableText0"/>
                    <w:cnfStyle w:val="000000000000" w:firstRow="0" w:lastRow="0" w:firstColumn="0" w:lastColumn="0" w:oddVBand="0" w:evenVBand="0" w:oddHBand="0" w:evenHBand="0" w:firstRowFirstColumn="0" w:firstRowLastColumn="0" w:lastRowFirstColumn="0" w:lastRowLastColumn="0"/>
                  </w:pPr>
                </w:p>
              </w:tc>
            </w:tr>
            <w:tr w:rsidR="00AD11BA" w:rsidRPr="003A3374" w14:paraId="46F81C24" w14:textId="77777777" w:rsidTr="00AD11BA">
              <w:tc>
                <w:tcPr>
                  <w:cnfStyle w:val="001000000000" w:firstRow="0" w:lastRow="0" w:firstColumn="1" w:lastColumn="0" w:oddVBand="0" w:evenVBand="0" w:oddHBand="0" w:evenHBand="0" w:firstRowFirstColumn="0" w:firstRowLastColumn="0" w:lastRowFirstColumn="0" w:lastRowLastColumn="0"/>
                  <w:tcW w:w="3805" w:type="dxa"/>
                </w:tcPr>
                <w:p w14:paraId="23E63582" w14:textId="77777777" w:rsidR="00AD11BA" w:rsidRPr="003A3374" w:rsidRDefault="00AD11BA" w:rsidP="00AD11BA">
                  <w:pPr>
                    <w:pStyle w:val="TableText0"/>
                    <w:rPr>
                      <w:b/>
                      <w:bCs/>
                    </w:rPr>
                  </w:pPr>
                  <w:r w:rsidRPr="003A3374">
                    <w:rPr>
                      <w:b/>
                      <w:bCs/>
                    </w:rPr>
                    <w:t>Valuation</w:t>
                  </w:r>
                </w:p>
              </w:tc>
              <w:tc>
                <w:tcPr>
                  <w:tcW w:w="729" w:type="dxa"/>
                </w:tcPr>
                <w:p w14:paraId="519F843B" w14:textId="77777777" w:rsidR="00AD11BA" w:rsidRPr="003A3374" w:rsidRDefault="00AD11BA" w:rsidP="00AD11BA">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729" w:type="dxa"/>
                </w:tcPr>
                <w:p w14:paraId="6FA0BAA0" w14:textId="77777777" w:rsidR="00AD11BA" w:rsidRPr="003A3374" w:rsidRDefault="00AD11BA" w:rsidP="00AD11BA">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729" w:type="dxa"/>
                </w:tcPr>
                <w:p w14:paraId="04247B3F" w14:textId="77777777" w:rsidR="00AD11BA" w:rsidRPr="003A3374" w:rsidRDefault="00AD11BA" w:rsidP="00AD11BA">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729" w:type="dxa"/>
                </w:tcPr>
                <w:p w14:paraId="0698E1C1" w14:textId="77777777" w:rsidR="00AD11BA" w:rsidRPr="003A3374" w:rsidRDefault="00AD11BA" w:rsidP="00AD11BA">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729" w:type="dxa"/>
                </w:tcPr>
                <w:p w14:paraId="32194FA1" w14:textId="77777777" w:rsidR="00AD11BA" w:rsidRPr="003A3374" w:rsidRDefault="00AD11BA" w:rsidP="00AD11BA">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729" w:type="dxa"/>
                </w:tcPr>
                <w:p w14:paraId="101094E7" w14:textId="77777777" w:rsidR="00AD11BA" w:rsidRPr="003A3374" w:rsidRDefault="00AD11BA" w:rsidP="00AD11BA">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729" w:type="dxa"/>
                </w:tcPr>
                <w:p w14:paraId="672D2B58" w14:textId="77777777" w:rsidR="00AD11BA" w:rsidRPr="003A3374" w:rsidRDefault="00AD11BA" w:rsidP="00AD11BA">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729" w:type="dxa"/>
                </w:tcPr>
                <w:p w14:paraId="4AE4CF78" w14:textId="77777777" w:rsidR="00AD11BA" w:rsidRPr="003A3374" w:rsidRDefault="00AD11BA" w:rsidP="00AD11BA">
                  <w:pPr>
                    <w:pStyle w:val="TableText0"/>
                    <w:cnfStyle w:val="000000000000" w:firstRow="0" w:lastRow="0" w:firstColumn="0" w:lastColumn="0" w:oddVBand="0" w:evenVBand="0" w:oddHBand="0" w:evenHBand="0" w:firstRowFirstColumn="0" w:firstRowLastColumn="0" w:lastRowFirstColumn="0" w:lastRowLastColumn="0"/>
                    <w:rPr>
                      <w:b/>
                      <w:bCs/>
                    </w:rPr>
                  </w:pPr>
                </w:p>
              </w:tc>
            </w:tr>
            <w:tr w:rsidR="00AD11BA" w:rsidRPr="003A3374" w14:paraId="428E4A91" w14:textId="77777777" w:rsidTr="00AD11BA">
              <w:tc>
                <w:tcPr>
                  <w:cnfStyle w:val="001000000000" w:firstRow="0" w:lastRow="0" w:firstColumn="1" w:lastColumn="0" w:oddVBand="0" w:evenVBand="0" w:oddHBand="0" w:evenHBand="0" w:firstRowFirstColumn="0" w:firstRowLastColumn="0" w:lastRowFirstColumn="0" w:lastRowLastColumn="0"/>
                  <w:tcW w:w="3805" w:type="dxa"/>
                </w:tcPr>
                <w:p w14:paraId="375C59FC" w14:textId="77777777" w:rsidR="00AD11BA" w:rsidRPr="003A3374" w:rsidRDefault="00AD11BA" w:rsidP="00AD11BA">
                  <w:pPr>
                    <w:pStyle w:val="TableText0"/>
                  </w:pPr>
                  <w:r w:rsidRPr="003A3374">
                    <w:t>P/E (x)</w:t>
                  </w:r>
                </w:p>
              </w:tc>
              <w:tc>
                <w:tcPr>
                  <w:tcW w:w="729" w:type="dxa"/>
                </w:tcPr>
                <w:p w14:paraId="6CF4E845" w14:textId="2EE322EC"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33.2</w:t>
                  </w:r>
                </w:p>
              </w:tc>
              <w:tc>
                <w:tcPr>
                  <w:tcW w:w="729" w:type="dxa"/>
                </w:tcPr>
                <w:p w14:paraId="0A7F8319" w14:textId="7E275546"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19.1</w:t>
                  </w:r>
                </w:p>
              </w:tc>
              <w:tc>
                <w:tcPr>
                  <w:tcW w:w="729" w:type="dxa"/>
                </w:tcPr>
                <w:p w14:paraId="58D51C70" w14:textId="72009175"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16.7</w:t>
                  </w:r>
                </w:p>
              </w:tc>
              <w:tc>
                <w:tcPr>
                  <w:tcW w:w="729" w:type="dxa"/>
                </w:tcPr>
                <w:p w14:paraId="02B0E409" w14:textId="1ABA4965"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16.8</w:t>
                  </w:r>
                </w:p>
              </w:tc>
              <w:tc>
                <w:tcPr>
                  <w:tcW w:w="729" w:type="dxa"/>
                </w:tcPr>
                <w:p w14:paraId="5728DD99" w14:textId="1546C251"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21.3</w:t>
                  </w:r>
                </w:p>
              </w:tc>
              <w:tc>
                <w:tcPr>
                  <w:tcW w:w="729" w:type="dxa"/>
                </w:tcPr>
                <w:p w14:paraId="55CA167E" w14:textId="538AB689"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18.7</w:t>
                  </w:r>
                </w:p>
              </w:tc>
              <w:tc>
                <w:tcPr>
                  <w:tcW w:w="729" w:type="dxa"/>
                </w:tcPr>
                <w:p w14:paraId="44CDBD6F" w14:textId="37A3364E"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17.2</w:t>
                  </w:r>
                </w:p>
              </w:tc>
              <w:tc>
                <w:tcPr>
                  <w:tcW w:w="729" w:type="dxa"/>
                </w:tcPr>
                <w:p w14:paraId="23E9271D" w14:textId="10ADCA50"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15.8</w:t>
                  </w:r>
                </w:p>
              </w:tc>
            </w:tr>
            <w:tr w:rsidR="00AD11BA" w:rsidRPr="003A3374" w14:paraId="6D5172AB" w14:textId="77777777" w:rsidTr="00AD11BA">
              <w:tc>
                <w:tcPr>
                  <w:cnfStyle w:val="001000000000" w:firstRow="0" w:lastRow="0" w:firstColumn="1" w:lastColumn="0" w:oddVBand="0" w:evenVBand="0" w:oddHBand="0" w:evenHBand="0" w:firstRowFirstColumn="0" w:firstRowLastColumn="0" w:lastRowFirstColumn="0" w:lastRowLastColumn="0"/>
                  <w:tcW w:w="3805" w:type="dxa"/>
                </w:tcPr>
                <w:p w14:paraId="67CF7E01" w14:textId="77777777" w:rsidR="00AD11BA" w:rsidRPr="003A3374" w:rsidRDefault="00AD11BA" w:rsidP="00AD11BA">
                  <w:pPr>
                    <w:pStyle w:val="TableText0"/>
                  </w:pPr>
                  <w:r w:rsidRPr="003A3374">
                    <w:t>EV/EBIT (x)</w:t>
                  </w:r>
                </w:p>
              </w:tc>
              <w:tc>
                <w:tcPr>
                  <w:tcW w:w="729" w:type="dxa"/>
                </w:tcPr>
                <w:p w14:paraId="1E21EAB2" w14:textId="3D4461F9"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28.6</w:t>
                  </w:r>
                </w:p>
              </w:tc>
              <w:tc>
                <w:tcPr>
                  <w:tcW w:w="729" w:type="dxa"/>
                </w:tcPr>
                <w:p w14:paraId="16356B95" w14:textId="6350A67D"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19.6</w:t>
                  </w:r>
                </w:p>
              </w:tc>
              <w:tc>
                <w:tcPr>
                  <w:tcW w:w="729" w:type="dxa"/>
                </w:tcPr>
                <w:p w14:paraId="1A6D0075" w14:textId="0562965B"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17.5</w:t>
                  </w:r>
                </w:p>
              </w:tc>
              <w:tc>
                <w:tcPr>
                  <w:tcW w:w="729" w:type="dxa"/>
                </w:tcPr>
                <w:p w14:paraId="62B74D5C" w14:textId="49D5DADB"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16.1</w:t>
                  </w:r>
                </w:p>
              </w:tc>
              <w:tc>
                <w:tcPr>
                  <w:tcW w:w="729" w:type="dxa"/>
                </w:tcPr>
                <w:p w14:paraId="2D1FBFDA" w14:textId="4203AE55"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18.7</w:t>
                  </w:r>
                </w:p>
              </w:tc>
              <w:tc>
                <w:tcPr>
                  <w:tcW w:w="729" w:type="dxa"/>
                </w:tcPr>
                <w:p w14:paraId="360FEA95" w14:textId="1CE68DF8"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16.5</w:t>
                  </w:r>
                </w:p>
              </w:tc>
              <w:tc>
                <w:tcPr>
                  <w:tcW w:w="729" w:type="dxa"/>
                </w:tcPr>
                <w:p w14:paraId="1BA72E8C" w14:textId="7E17661A"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15.2</w:t>
                  </w:r>
                </w:p>
              </w:tc>
              <w:tc>
                <w:tcPr>
                  <w:tcW w:w="729" w:type="dxa"/>
                </w:tcPr>
                <w:p w14:paraId="77B17138" w14:textId="53FC6D27"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13.7</w:t>
                  </w:r>
                </w:p>
              </w:tc>
            </w:tr>
            <w:tr w:rsidR="00AD11BA" w:rsidRPr="003A3374" w14:paraId="2D09771A" w14:textId="77777777" w:rsidTr="00AD11BA">
              <w:tc>
                <w:tcPr>
                  <w:cnfStyle w:val="001000000000" w:firstRow="0" w:lastRow="0" w:firstColumn="1" w:lastColumn="0" w:oddVBand="0" w:evenVBand="0" w:oddHBand="0" w:evenHBand="0" w:firstRowFirstColumn="0" w:firstRowLastColumn="0" w:lastRowFirstColumn="0" w:lastRowLastColumn="0"/>
                  <w:tcW w:w="3805" w:type="dxa"/>
                </w:tcPr>
                <w:p w14:paraId="68A8F7BD" w14:textId="77777777" w:rsidR="00AD11BA" w:rsidRPr="003A3374" w:rsidRDefault="00AD11BA" w:rsidP="00AD11BA">
                  <w:pPr>
                    <w:pStyle w:val="TableText0"/>
                  </w:pPr>
                  <w:r w:rsidRPr="003A3374">
                    <w:t>EV/EBITDA (x)</w:t>
                  </w:r>
                </w:p>
              </w:tc>
              <w:tc>
                <w:tcPr>
                  <w:tcW w:w="729" w:type="dxa"/>
                </w:tcPr>
                <w:p w14:paraId="353503F9" w14:textId="5994EA63"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16.5</w:t>
                  </w:r>
                </w:p>
              </w:tc>
              <w:tc>
                <w:tcPr>
                  <w:tcW w:w="729" w:type="dxa"/>
                </w:tcPr>
                <w:p w14:paraId="4DE63A07" w14:textId="6E045072"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13.5</w:t>
                  </w:r>
                </w:p>
              </w:tc>
              <w:tc>
                <w:tcPr>
                  <w:tcW w:w="729" w:type="dxa"/>
                </w:tcPr>
                <w:p w14:paraId="144CFED4" w14:textId="27AF4941"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12.6</w:t>
                  </w:r>
                </w:p>
              </w:tc>
              <w:tc>
                <w:tcPr>
                  <w:tcW w:w="729" w:type="dxa"/>
                </w:tcPr>
                <w:p w14:paraId="68D8CE26" w14:textId="53AD120C"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12.1</w:t>
                  </w:r>
                </w:p>
              </w:tc>
              <w:tc>
                <w:tcPr>
                  <w:tcW w:w="729" w:type="dxa"/>
                </w:tcPr>
                <w:p w14:paraId="60697E6A" w14:textId="03FE3D48"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13.7</w:t>
                  </w:r>
                </w:p>
              </w:tc>
              <w:tc>
                <w:tcPr>
                  <w:tcW w:w="729" w:type="dxa"/>
                </w:tcPr>
                <w:p w14:paraId="4A2396F4" w14:textId="4572A296"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12.5</w:t>
                  </w:r>
                </w:p>
              </w:tc>
              <w:tc>
                <w:tcPr>
                  <w:tcW w:w="729" w:type="dxa"/>
                </w:tcPr>
                <w:p w14:paraId="5262DE70" w14:textId="3DBA10C4"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11.6</w:t>
                  </w:r>
                </w:p>
              </w:tc>
              <w:tc>
                <w:tcPr>
                  <w:tcW w:w="729" w:type="dxa"/>
                </w:tcPr>
                <w:p w14:paraId="35FC59B0" w14:textId="002F7A4A"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10.6</w:t>
                  </w:r>
                </w:p>
              </w:tc>
            </w:tr>
            <w:tr w:rsidR="00AD11BA" w:rsidRPr="003A3374" w14:paraId="191D9042" w14:textId="77777777" w:rsidTr="00AD11BA">
              <w:tc>
                <w:tcPr>
                  <w:cnfStyle w:val="001000000000" w:firstRow="0" w:lastRow="0" w:firstColumn="1" w:lastColumn="0" w:oddVBand="0" w:evenVBand="0" w:oddHBand="0" w:evenHBand="0" w:firstRowFirstColumn="0" w:firstRowLastColumn="0" w:lastRowFirstColumn="0" w:lastRowLastColumn="0"/>
                  <w:tcW w:w="3805" w:type="dxa"/>
                </w:tcPr>
                <w:p w14:paraId="5F2AE2D5" w14:textId="77777777" w:rsidR="00AD11BA" w:rsidRPr="003A3374" w:rsidRDefault="00AD11BA" w:rsidP="00AD11BA">
                  <w:pPr>
                    <w:pStyle w:val="TableText0"/>
                  </w:pPr>
                  <w:r w:rsidRPr="003A3374">
                    <w:t>Equity free cash yield</w:t>
                  </w:r>
                </w:p>
              </w:tc>
              <w:tc>
                <w:tcPr>
                  <w:tcW w:w="729" w:type="dxa"/>
                </w:tcPr>
                <w:p w14:paraId="0B4CDCAD" w14:textId="30B54262"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5.1%</w:t>
                  </w:r>
                </w:p>
              </w:tc>
              <w:tc>
                <w:tcPr>
                  <w:tcW w:w="729" w:type="dxa"/>
                </w:tcPr>
                <w:p w14:paraId="1EBA7D6A" w14:textId="58AA75C8"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6.5%</w:t>
                  </w:r>
                </w:p>
              </w:tc>
              <w:tc>
                <w:tcPr>
                  <w:tcW w:w="729" w:type="dxa"/>
                </w:tcPr>
                <w:p w14:paraId="736A178F" w14:textId="183BC7DA"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9.3%</w:t>
                  </w:r>
                </w:p>
              </w:tc>
              <w:tc>
                <w:tcPr>
                  <w:tcW w:w="729" w:type="dxa"/>
                </w:tcPr>
                <w:p w14:paraId="4816B0CD" w14:textId="59E88C37"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6.8%</w:t>
                  </w:r>
                </w:p>
              </w:tc>
              <w:tc>
                <w:tcPr>
                  <w:tcW w:w="729" w:type="dxa"/>
                </w:tcPr>
                <w:p w14:paraId="29897906" w14:textId="4DB5F685"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5.2%</w:t>
                  </w:r>
                </w:p>
              </w:tc>
              <w:tc>
                <w:tcPr>
                  <w:tcW w:w="729" w:type="dxa"/>
                </w:tcPr>
                <w:p w14:paraId="19F498C6" w14:textId="3BA595FC"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5.2%</w:t>
                  </w:r>
                </w:p>
              </w:tc>
              <w:tc>
                <w:tcPr>
                  <w:tcW w:w="729" w:type="dxa"/>
                </w:tcPr>
                <w:p w14:paraId="5795A33E" w14:textId="3C65A971"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5.5%</w:t>
                  </w:r>
                </w:p>
              </w:tc>
              <w:tc>
                <w:tcPr>
                  <w:tcW w:w="729" w:type="dxa"/>
                </w:tcPr>
                <w:p w14:paraId="22A46E06" w14:textId="71C2EFF0"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6.7%</w:t>
                  </w:r>
                </w:p>
              </w:tc>
            </w:tr>
            <w:tr w:rsidR="00AD11BA" w:rsidRPr="003A3374" w14:paraId="567A76CA" w14:textId="77777777" w:rsidTr="00AD11BA">
              <w:tc>
                <w:tcPr>
                  <w:cnfStyle w:val="001000000000" w:firstRow="0" w:lastRow="0" w:firstColumn="1" w:lastColumn="0" w:oddVBand="0" w:evenVBand="0" w:oddHBand="0" w:evenHBand="0" w:firstRowFirstColumn="0" w:firstRowLastColumn="0" w:lastRowFirstColumn="0" w:lastRowLastColumn="0"/>
                  <w:tcW w:w="3805" w:type="dxa"/>
                </w:tcPr>
                <w:p w14:paraId="1E33F0AC" w14:textId="77777777" w:rsidR="00AD11BA" w:rsidRPr="003A3374" w:rsidRDefault="00AD11BA" w:rsidP="00AD11BA">
                  <w:pPr>
                    <w:pStyle w:val="TableText0"/>
                  </w:pPr>
                  <w:r w:rsidRPr="003A3374">
                    <w:t>Dividend yield</w:t>
                  </w:r>
                </w:p>
              </w:tc>
              <w:tc>
                <w:tcPr>
                  <w:tcW w:w="729" w:type="dxa"/>
                </w:tcPr>
                <w:p w14:paraId="49A4AEE8" w14:textId="4A6FB9C6"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2.2%</w:t>
                  </w:r>
                </w:p>
              </w:tc>
              <w:tc>
                <w:tcPr>
                  <w:tcW w:w="729" w:type="dxa"/>
                </w:tcPr>
                <w:p w14:paraId="4DD6CB81" w14:textId="3BD91E0F"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2.9%</w:t>
                  </w:r>
                </w:p>
              </w:tc>
              <w:tc>
                <w:tcPr>
                  <w:tcW w:w="729" w:type="dxa"/>
                </w:tcPr>
                <w:p w14:paraId="4449E9CE" w14:textId="598958CD"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3.2%</w:t>
                  </w:r>
                </w:p>
              </w:tc>
              <w:tc>
                <w:tcPr>
                  <w:tcW w:w="729" w:type="dxa"/>
                </w:tcPr>
                <w:p w14:paraId="629B6AC9" w14:textId="4EC57572"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3.1%</w:t>
                  </w:r>
                </w:p>
              </w:tc>
              <w:tc>
                <w:tcPr>
                  <w:tcW w:w="729" w:type="dxa"/>
                </w:tcPr>
                <w:p w14:paraId="7F5C90E2" w14:textId="53B489F2"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2.6%</w:t>
                  </w:r>
                </w:p>
              </w:tc>
              <w:tc>
                <w:tcPr>
                  <w:tcW w:w="729" w:type="dxa"/>
                </w:tcPr>
                <w:p w14:paraId="1D2F3593" w14:textId="00B7E655"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2.7%</w:t>
                  </w:r>
                </w:p>
              </w:tc>
              <w:tc>
                <w:tcPr>
                  <w:tcW w:w="729" w:type="dxa"/>
                </w:tcPr>
                <w:p w14:paraId="37270B77" w14:textId="2635BCBF"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2.8%</w:t>
                  </w:r>
                </w:p>
              </w:tc>
              <w:tc>
                <w:tcPr>
                  <w:tcW w:w="729" w:type="dxa"/>
                </w:tcPr>
                <w:p w14:paraId="6FEF9D82" w14:textId="0E742234" w:rsidR="00AD11BA" w:rsidRPr="003A3374" w:rsidRDefault="001E2DDF" w:rsidP="00AD11BA">
                  <w:pPr>
                    <w:pStyle w:val="TableText0"/>
                    <w:cnfStyle w:val="000000000000" w:firstRow="0" w:lastRow="0" w:firstColumn="0" w:lastColumn="0" w:oddVBand="0" w:evenVBand="0" w:oddHBand="0" w:evenHBand="0" w:firstRowFirstColumn="0" w:firstRowLastColumn="0" w:lastRowFirstColumn="0" w:lastRowLastColumn="0"/>
                  </w:pPr>
                  <w:r w:rsidRPr="003A3374">
                    <w:t>3.1%</w:t>
                  </w:r>
                </w:p>
              </w:tc>
            </w:tr>
          </w:tbl>
          <w:p w14:paraId="5EEB7B2E" w14:textId="5F329F7E" w:rsidR="001F358A" w:rsidRPr="003A3374" w:rsidRDefault="001F358A" w:rsidP="00AD11BA">
            <w:pPr>
              <w:pStyle w:val="Bullet"/>
              <w:numPr>
                <w:ilvl w:val="0"/>
                <w:numId w:val="0"/>
              </w:numPr>
              <w:spacing w:before="120" w:after="120"/>
              <w:ind w:left="284"/>
            </w:pPr>
          </w:p>
        </w:tc>
      </w:tr>
      <w:tr w:rsidR="00624852" w:rsidRPr="003A3374" w14:paraId="5EEC9238" w14:textId="77777777" w:rsidTr="009D0784">
        <w:trPr>
          <w:cantSplit/>
        </w:trPr>
        <w:tc>
          <w:tcPr>
            <w:tcW w:w="9637" w:type="dxa"/>
            <w:gridSpan w:val="3"/>
            <w:tcBorders>
              <w:top w:val="single" w:sz="8" w:space="0" w:color="000000" w:themeColor="text1"/>
            </w:tcBorders>
          </w:tcPr>
          <w:p w14:paraId="093F5D57" w14:textId="041121C5" w:rsidR="00624852" w:rsidRPr="003A3374" w:rsidRDefault="00AD11BA" w:rsidP="00AD11BA">
            <w:pPr>
              <w:pStyle w:val="TableSource"/>
            </w:pPr>
            <w:r w:rsidRPr="003A3374">
              <w:t>Source: Rothschild &amp; Co Redburn, company</w:t>
            </w:r>
          </w:p>
        </w:tc>
      </w:tr>
      <w:tr w:rsidR="00226A89" w:rsidRPr="003A3374" w14:paraId="324A43EE" w14:textId="77777777" w:rsidTr="009D0784">
        <w:trPr>
          <w:cantSplit/>
          <w:tblHeader/>
        </w:trPr>
        <w:tc>
          <w:tcPr>
            <w:tcW w:w="4705" w:type="dxa"/>
            <w:tcBorders>
              <w:bottom w:val="single" w:sz="8" w:space="0" w:color="000000" w:themeColor="text1"/>
            </w:tcBorders>
            <w:vAlign w:val="bottom"/>
          </w:tcPr>
          <w:p w14:paraId="42046C77" w14:textId="2248F5F2" w:rsidR="00226A89" w:rsidRPr="003A3374" w:rsidRDefault="00226A89" w:rsidP="00A652A2">
            <w:pPr>
              <w:pStyle w:val="TableTitle"/>
            </w:pPr>
            <w:bookmarkStart w:id="7" w:name="PH_2_8_1_064163"/>
            <w:bookmarkEnd w:id="5"/>
            <w:bookmarkEnd w:id="6"/>
            <w:r w:rsidRPr="003A3374">
              <w:t xml:space="preserve">Fig </w:t>
            </w:r>
            <w:r w:rsidRPr="003A3374">
              <w:fldChar w:fldCharType="begin"/>
            </w:r>
            <w:r w:rsidRPr="003A3374">
              <w:instrText xml:space="preserve"> SEQ Fig </w:instrText>
            </w:r>
            <w:r w:rsidRPr="003A3374">
              <w:fldChar w:fldCharType="separate"/>
            </w:r>
            <w:r w:rsidR="006A4635" w:rsidRPr="003A3374">
              <w:rPr>
                <w:noProof/>
              </w:rPr>
              <w:t>1</w:t>
            </w:r>
            <w:r w:rsidRPr="003A3374">
              <w:fldChar w:fldCharType="end"/>
            </w:r>
            <w:r w:rsidRPr="003A3374">
              <w:t xml:space="preserve">: CCEP net sales by </w:t>
            </w:r>
            <w:r w:rsidR="001B3840" w:rsidRPr="003A3374">
              <w:t>region</w:t>
            </w:r>
          </w:p>
        </w:tc>
        <w:tc>
          <w:tcPr>
            <w:tcW w:w="227" w:type="dxa"/>
            <w:vAlign w:val="bottom"/>
          </w:tcPr>
          <w:p w14:paraId="3EC1EC7E" w14:textId="77777777" w:rsidR="00226A89" w:rsidRPr="003A3374" w:rsidRDefault="00226A89" w:rsidP="00A652A2">
            <w:pPr>
              <w:pStyle w:val="Normal0"/>
            </w:pPr>
          </w:p>
        </w:tc>
        <w:tc>
          <w:tcPr>
            <w:tcW w:w="4705" w:type="dxa"/>
            <w:tcBorders>
              <w:bottom w:val="single" w:sz="8" w:space="0" w:color="000000" w:themeColor="text1"/>
            </w:tcBorders>
            <w:vAlign w:val="bottom"/>
          </w:tcPr>
          <w:p w14:paraId="309A80C1" w14:textId="57A418DD" w:rsidR="00226A89" w:rsidRPr="003A3374" w:rsidRDefault="00A652A2" w:rsidP="00A652A2">
            <w:pPr>
              <w:pStyle w:val="TableTitle"/>
            </w:pPr>
            <w:r w:rsidRPr="003A3374">
              <w:t xml:space="preserve">Fig </w:t>
            </w:r>
            <w:r w:rsidRPr="003A3374">
              <w:fldChar w:fldCharType="begin"/>
            </w:r>
            <w:r w:rsidRPr="003A3374">
              <w:instrText xml:space="preserve"> SEQ Fig </w:instrText>
            </w:r>
            <w:r w:rsidRPr="003A3374">
              <w:fldChar w:fldCharType="separate"/>
            </w:r>
            <w:r w:rsidR="006A4635" w:rsidRPr="003A3374">
              <w:rPr>
                <w:noProof/>
              </w:rPr>
              <w:t>2</w:t>
            </w:r>
            <w:r w:rsidRPr="003A3374">
              <w:fldChar w:fldCharType="end"/>
            </w:r>
            <w:r w:rsidRPr="003A3374">
              <w:t xml:space="preserve">: CCEP key metrics by </w:t>
            </w:r>
            <w:r w:rsidR="00ED5B73" w:rsidRPr="003A3374">
              <w:t>legacy unit</w:t>
            </w:r>
          </w:p>
        </w:tc>
      </w:tr>
      <w:tr w:rsidR="00226A89" w:rsidRPr="003A3374" w14:paraId="76A5E003" w14:textId="77777777" w:rsidTr="009D0784">
        <w:trPr>
          <w:cantSplit/>
        </w:trPr>
        <w:tc>
          <w:tcPr>
            <w:tcW w:w="4705" w:type="dxa"/>
            <w:tcBorders>
              <w:top w:val="single" w:sz="8" w:space="0" w:color="000000" w:themeColor="text1"/>
              <w:bottom w:val="single" w:sz="8" w:space="0" w:color="000000" w:themeColor="text1"/>
            </w:tcBorders>
          </w:tcPr>
          <w:p w14:paraId="661CD6CD" w14:textId="2577E6B7" w:rsidR="00226A89" w:rsidRPr="003A3374" w:rsidRDefault="00226A89" w:rsidP="00A652A2">
            <w:pPr>
              <w:pStyle w:val="Tableplaceholder"/>
            </w:pPr>
            <w:r w:rsidRPr="003A3374">
              <w:rPr>
                <w:noProof/>
              </w:rPr>
              <w:drawing>
                <wp:inline distT="0" distB="0" distL="0" distR="0" wp14:anchorId="302C6D1E" wp14:editId="51FE57B7">
                  <wp:extent cx="2988310" cy="1795145"/>
                  <wp:effectExtent l="0" t="0" r="2540" b="0"/>
                  <wp:docPr id="208969609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88310" cy="1795145"/>
                          </a:xfrm>
                          <a:prstGeom prst="rect">
                            <a:avLst/>
                          </a:prstGeom>
                          <a:noFill/>
                          <a:ln>
                            <a:noFill/>
                          </a:ln>
                        </pic:spPr>
                      </pic:pic>
                    </a:graphicData>
                  </a:graphic>
                </wp:inline>
              </w:drawing>
            </w:r>
          </w:p>
        </w:tc>
        <w:tc>
          <w:tcPr>
            <w:tcW w:w="227" w:type="dxa"/>
          </w:tcPr>
          <w:p w14:paraId="7B697267" w14:textId="77777777" w:rsidR="00226A89" w:rsidRPr="003A3374" w:rsidRDefault="00226A89" w:rsidP="00A652A2">
            <w:pPr>
              <w:pStyle w:val="Normal0"/>
            </w:pPr>
          </w:p>
        </w:tc>
        <w:tc>
          <w:tcPr>
            <w:tcW w:w="4705" w:type="dxa"/>
            <w:tcBorders>
              <w:top w:val="single" w:sz="8" w:space="0" w:color="000000" w:themeColor="text1"/>
              <w:bottom w:val="single" w:sz="8" w:space="0" w:color="000000" w:themeColor="text1"/>
            </w:tcBorders>
          </w:tcPr>
          <w:p w14:paraId="1756C3E5" w14:textId="48685E47" w:rsidR="00226A89" w:rsidRPr="003A3374" w:rsidRDefault="00ED5B73" w:rsidP="00A652A2">
            <w:pPr>
              <w:pStyle w:val="Tableplaceholder"/>
            </w:pPr>
            <w:r w:rsidRPr="003A3374">
              <w:rPr>
                <w:noProof/>
              </w:rPr>
              <w:drawing>
                <wp:inline distT="0" distB="0" distL="0" distR="0" wp14:anchorId="64082867" wp14:editId="414D2A9B">
                  <wp:extent cx="2987675" cy="1794510"/>
                  <wp:effectExtent l="0" t="0" r="3175" b="0"/>
                  <wp:docPr id="124097997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87675" cy="1794510"/>
                          </a:xfrm>
                          <a:prstGeom prst="rect">
                            <a:avLst/>
                          </a:prstGeom>
                          <a:noFill/>
                          <a:ln>
                            <a:noFill/>
                          </a:ln>
                        </pic:spPr>
                      </pic:pic>
                    </a:graphicData>
                  </a:graphic>
                </wp:inline>
              </w:drawing>
            </w:r>
          </w:p>
        </w:tc>
      </w:tr>
      <w:tr w:rsidR="00226A89" w:rsidRPr="003A3374" w14:paraId="0C6F3DB5" w14:textId="77777777" w:rsidTr="009D0784">
        <w:trPr>
          <w:cantSplit/>
        </w:trPr>
        <w:tc>
          <w:tcPr>
            <w:tcW w:w="4705" w:type="dxa"/>
            <w:tcBorders>
              <w:top w:val="single" w:sz="8" w:space="0" w:color="000000" w:themeColor="text1"/>
            </w:tcBorders>
          </w:tcPr>
          <w:p w14:paraId="6606C8F9" w14:textId="6A9BD6F7" w:rsidR="00043A2E" w:rsidRPr="003A3374" w:rsidRDefault="00043A2E" w:rsidP="00A652A2">
            <w:pPr>
              <w:pStyle w:val="TableSource"/>
              <w:contextualSpacing/>
            </w:pPr>
            <w:r w:rsidRPr="003A3374">
              <w:t>Note: Blue shading denotes Europe, red shading denotes Asia, Pacific and Southeast Asia</w:t>
            </w:r>
          </w:p>
          <w:p w14:paraId="548FB94B" w14:textId="23895175" w:rsidR="00226A89" w:rsidRPr="003A3374" w:rsidRDefault="00226A89" w:rsidP="00A652A2">
            <w:pPr>
              <w:pStyle w:val="TableSource"/>
            </w:pPr>
            <w:r w:rsidRPr="003A3374">
              <w:t>Source: Rothschild &amp; Co Redburn, company</w:t>
            </w:r>
          </w:p>
        </w:tc>
        <w:tc>
          <w:tcPr>
            <w:tcW w:w="227" w:type="dxa"/>
          </w:tcPr>
          <w:p w14:paraId="28C442CC" w14:textId="77777777" w:rsidR="00226A89" w:rsidRPr="003A3374" w:rsidRDefault="00226A89" w:rsidP="00A652A2">
            <w:pPr>
              <w:pStyle w:val="Normal0"/>
            </w:pPr>
          </w:p>
        </w:tc>
        <w:tc>
          <w:tcPr>
            <w:tcW w:w="4705" w:type="dxa"/>
            <w:tcBorders>
              <w:top w:val="single" w:sz="8" w:space="0" w:color="000000" w:themeColor="text1"/>
            </w:tcBorders>
          </w:tcPr>
          <w:p w14:paraId="0C4349B4" w14:textId="0EAA5E19" w:rsidR="00226A89" w:rsidRPr="003A3374" w:rsidRDefault="00A652A2" w:rsidP="00A652A2">
            <w:pPr>
              <w:pStyle w:val="TableSource"/>
            </w:pPr>
            <w:r w:rsidRPr="003A3374">
              <w:t>Source: Rothschild &amp; Co Redburn, company</w:t>
            </w:r>
          </w:p>
        </w:tc>
      </w:tr>
      <w:bookmarkEnd w:id="7"/>
    </w:tbl>
    <w:p w14:paraId="229F0EE4" w14:textId="77777777" w:rsidR="00226A89" w:rsidRPr="003A3374" w:rsidRDefault="00226A89" w:rsidP="00E667A7">
      <w:pPr>
        <w:pStyle w:val="Tablespaceafter"/>
      </w:pPr>
    </w:p>
    <w:p w14:paraId="390170BA" w14:textId="77777777" w:rsidR="00156819" w:rsidRPr="003A3374" w:rsidRDefault="00156819" w:rsidP="00C565EC">
      <w:pPr>
        <w:pStyle w:val="BodyText"/>
      </w:pPr>
    </w:p>
    <w:p w14:paraId="13D24CF7" w14:textId="77777777" w:rsidR="00401069" w:rsidRPr="003A3374" w:rsidRDefault="00401069">
      <w:pPr>
        <w:jc w:val="left"/>
        <w:rPr>
          <w:rFonts w:asciiTheme="majorHAnsi" w:hAnsiTheme="majorHAnsi"/>
          <w:b/>
          <w:color w:val="1C355E" w:themeColor="text2"/>
          <w:sz w:val="24"/>
        </w:rPr>
      </w:pPr>
      <w:r w:rsidRPr="003A3374">
        <w:br w:type="page"/>
      </w:r>
    </w:p>
    <w:sdt>
      <w:sdtPr>
        <w:rPr>
          <w:rFonts w:asciiTheme="minorHAnsi" w:eastAsia="Calibri" w:hAnsiTheme="minorHAnsi" w:cs="Times New Roman"/>
          <w:bCs w:val="0"/>
          <w:color w:val="000000"/>
          <w:sz w:val="22"/>
          <w:szCs w:val="22"/>
        </w:rPr>
        <w:id w:val="-1042973786"/>
        <w:docPartObj>
          <w:docPartGallery w:val="Table of Contents"/>
          <w:docPartUnique/>
        </w:docPartObj>
      </w:sdtPr>
      <w:sdtEndPr>
        <w:rPr>
          <w:b/>
          <w:noProof/>
        </w:rPr>
      </w:sdtEndPr>
      <w:sdtContent>
        <w:p w14:paraId="224E1BA4" w14:textId="20D6864F" w:rsidR="00C5560D" w:rsidRPr="003A3374" w:rsidRDefault="00C5560D">
          <w:pPr>
            <w:pStyle w:val="TOCHeading"/>
          </w:pPr>
          <w:r w:rsidRPr="003A3374">
            <w:t>Contents</w:t>
          </w:r>
        </w:p>
        <w:p w14:paraId="561C3F0E" w14:textId="39986511" w:rsidR="00366DD3" w:rsidRPr="003A3374" w:rsidRDefault="00C5560D">
          <w:pPr>
            <w:pStyle w:val="TOC2"/>
            <w:rPr>
              <w:rFonts w:eastAsiaTheme="minorEastAsia" w:cstheme="minorBidi"/>
              <w:b w:val="0"/>
              <w:noProof/>
              <w:color w:val="auto"/>
              <w:kern w:val="2"/>
              <w:sz w:val="24"/>
              <w:szCs w:val="24"/>
              <w:lang w:eastAsia="zh-CN" w:bidi="he-IL"/>
              <w14:ligatures w14:val="standardContextual"/>
            </w:rPr>
          </w:pPr>
          <w:r w:rsidRPr="003A3374">
            <w:rPr>
              <w:b w:val="0"/>
              <w:sz w:val="18"/>
            </w:rPr>
            <w:fldChar w:fldCharType="begin"/>
          </w:r>
          <w:r w:rsidRPr="003A3374">
            <w:instrText xml:space="preserve"> TOC \o "1-3" \h \z \u </w:instrText>
          </w:r>
          <w:r w:rsidRPr="003A3374">
            <w:rPr>
              <w:b w:val="0"/>
              <w:sz w:val="18"/>
            </w:rPr>
            <w:fldChar w:fldCharType="separate"/>
          </w:r>
          <w:hyperlink w:anchor="_Toc214545119" w:history="1">
            <w:r w:rsidR="00366DD3" w:rsidRPr="003A3374">
              <w:rPr>
                <w:rStyle w:val="Hyperlink"/>
                <w:noProof/>
              </w:rPr>
              <w:t>Brief British history</w:t>
            </w:r>
            <w:r w:rsidR="00366DD3" w:rsidRPr="003A3374">
              <w:rPr>
                <w:noProof/>
                <w:webHidden/>
              </w:rPr>
              <w:tab/>
            </w:r>
            <w:r w:rsidR="00366DD3" w:rsidRPr="003A3374">
              <w:rPr>
                <w:noProof/>
                <w:webHidden/>
              </w:rPr>
              <w:fldChar w:fldCharType="begin"/>
            </w:r>
            <w:r w:rsidR="00366DD3" w:rsidRPr="003A3374">
              <w:rPr>
                <w:noProof/>
                <w:webHidden/>
              </w:rPr>
              <w:instrText xml:space="preserve"> PAGEREF _Toc214545119 \h </w:instrText>
            </w:r>
            <w:r w:rsidR="00366DD3" w:rsidRPr="003A3374">
              <w:rPr>
                <w:noProof/>
                <w:webHidden/>
              </w:rPr>
            </w:r>
            <w:r w:rsidR="00366DD3" w:rsidRPr="003A3374">
              <w:rPr>
                <w:noProof/>
                <w:webHidden/>
              </w:rPr>
              <w:fldChar w:fldCharType="separate"/>
            </w:r>
            <w:r w:rsidR="00366DD3" w:rsidRPr="003A3374">
              <w:rPr>
                <w:noProof/>
                <w:webHidden/>
              </w:rPr>
              <w:t>5</w:t>
            </w:r>
            <w:r w:rsidR="00366DD3" w:rsidRPr="003A3374">
              <w:rPr>
                <w:noProof/>
                <w:webHidden/>
              </w:rPr>
              <w:fldChar w:fldCharType="end"/>
            </w:r>
          </w:hyperlink>
        </w:p>
        <w:p w14:paraId="14ABEF1B" w14:textId="50241910" w:rsidR="00366DD3" w:rsidRPr="003A3374" w:rsidRDefault="00366DD3">
          <w:pPr>
            <w:pStyle w:val="TOC3"/>
            <w:rPr>
              <w:rFonts w:eastAsiaTheme="minorEastAsia" w:cstheme="minorBidi"/>
              <w:noProof/>
              <w:color w:val="auto"/>
              <w:kern w:val="2"/>
              <w:sz w:val="24"/>
              <w:szCs w:val="24"/>
              <w:lang w:eastAsia="zh-CN" w:bidi="he-IL"/>
              <w14:ligatures w14:val="standardContextual"/>
            </w:rPr>
          </w:pPr>
          <w:hyperlink w:anchor="_Toc214545120" w:history="1">
            <w:r w:rsidRPr="003A3374">
              <w:rPr>
                <w:rStyle w:val="Hyperlink"/>
                <w:noProof/>
              </w:rPr>
              <w:t>Disrupting the competitor</w:t>
            </w:r>
            <w:r w:rsidRPr="003A3374">
              <w:rPr>
                <w:noProof/>
                <w:webHidden/>
              </w:rPr>
              <w:tab/>
            </w:r>
            <w:r w:rsidRPr="003A3374">
              <w:rPr>
                <w:noProof/>
                <w:webHidden/>
              </w:rPr>
              <w:fldChar w:fldCharType="begin"/>
            </w:r>
            <w:r w:rsidRPr="003A3374">
              <w:rPr>
                <w:noProof/>
                <w:webHidden/>
              </w:rPr>
              <w:instrText xml:space="preserve"> PAGEREF _Toc214545120 \h </w:instrText>
            </w:r>
            <w:r w:rsidRPr="003A3374">
              <w:rPr>
                <w:noProof/>
                <w:webHidden/>
              </w:rPr>
            </w:r>
            <w:r w:rsidRPr="003A3374">
              <w:rPr>
                <w:noProof/>
                <w:webHidden/>
              </w:rPr>
              <w:fldChar w:fldCharType="separate"/>
            </w:r>
            <w:r w:rsidRPr="003A3374">
              <w:rPr>
                <w:noProof/>
                <w:webHidden/>
              </w:rPr>
              <w:t>6</w:t>
            </w:r>
            <w:r w:rsidRPr="003A3374">
              <w:rPr>
                <w:noProof/>
                <w:webHidden/>
              </w:rPr>
              <w:fldChar w:fldCharType="end"/>
            </w:r>
          </w:hyperlink>
        </w:p>
        <w:p w14:paraId="23008B51" w14:textId="6DA27328" w:rsidR="00366DD3" w:rsidRPr="003A3374" w:rsidRDefault="00366DD3">
          <w:pPr>
            <w:pStyle w:val="TOC3"/>
            <w:rPr>
              <w:rFonts w:eastAsiaTheme="minorEastAsia" w:cstheme="minorBidi"/>
              <w:noProof/>
              <w:color w:val="auto"/>
              <w:kern w:val="2"/>
              <w:sz w:val="24"/>
              <w:szCs w:val="24"/>
              <w:lang w:eastAsia="zh-CN" w:bidi="he-IL"/>
              <w14:ligatures w14:val="standardContextual"/>
            </w:rPr>
          </w:pPr>
          <w:hyperlink w:anchor="_Toc214545121" w:history="1">
            <w:r w:rsidRPr="003A3374">
              <w:rPr>
                <w:rStyle w:val="Hyperlink"/>
                <w:noProof/>
              </w:rPr>
              <w:t>Changing hands</w:t>
            </w:r>
            <w:r w:rsidRPr="003A3374">
              <w:rPr>
                <w:noProof/>
                <w:webHidden/>
              </w:rPr>
              <w:tab/>
            </w:r>
            <w:r w:rsidRPr="003A3374">
              <w:rPr>
                <w:noProof/>
                <w:webHidden/>
              </w:rPr>
              <w:fldChar w:fldCharType="begin"/>
            </w:r>
            <w:r w:rsidRPr="003A3374">
              <w:rPr>
                <w:noProof/>
                <w:webHidden/>
              </w:rPr>
              <w:instrText xml:space="preserve"> PAGEREF _Toc214545121 \h </w:instrText>
            </w:r>
            <w:r w:rsidRPr="003A3374">
              <w:rPr>
                <w:noProof/>
                <w:webHidden/>
              </w:rPr>
            </w:r>
            <w:r w:rsidRPr="003A3374">
              <w:rPr>
                <w:noProof/>
                <w:webHidden/>
              </w:rPr>
              <w:fldChar w:fldCharType="separate"/>
            </w:r>
            <w:r w:rsidRPr="003A3374">
              <w:rPr>
                <w:noProof/>
                <w:webHidden/>
              </w:rPr>
              <w:t>7</w:t>
            </w:r>
            <w:r w:rsidRPr="003A3374">
              <w:rPr>
                <w:noProof/>
                <w:webHidden/>
              </w:rPr>
              <w:fldChar w:fldCharType="end"/>
            </w:r>
          </w:hyperlink>
        </w:p>
        <w:p w14:paraId="66ED7837" w14:textId="0F8A9943" w:rsidR="00366DD3" w:rsidRPr="003A3374" w:rsidRDefault="00366DD3">
          <w:pPr>
            <w:pStyle w:val="TOC2"/>
            <w:rPr>
              <w:rFonts w:eastAsiaTheme="minorEastAsia" w:cstheme="minorBidi"/>
              <w:b w:val="0"/>
              <w:noProof/>
              <w:color w:val="auto"/>
              <w:kern w:val="2"/>
              <w:sz w:val="24"/>
              <w:szCs w:val="24"/>
              <w:lang w:eastAsia="zh-CN" w:bidi="he-IL"/>
              <w14:ligatures w14:val="standardContextual"/>
            </w:rPr>
          </w:pPr>
          <w:hyperlink w:anchor="_Toc214545122" w:history="1">
            <w:r w:rsidRPr="003A3374">
              <w:rPr>
                <w:rStyle w:val="Hyperlink"/>
                <w:noProof/>
              </w:rPr>
              <w:t>The British footprint</w:t>
            </w:r>
            <w:r w:rsidRPr="003A3374">
              <w:rPr>
                <w:noProof/>
                <w:webHidden/>
              </w:rPr>
              <w:tab/>
            </w:r>
            <w:r w:rsidRPr="003A3374">
              <w:rPr>
                <w:noProof/>
                <w:webHidden/>
              </w:rPr>
              <w:fldChar w:fldCharType="begin"/>
            </w:r>
            <w:r w:rsidRPr="003A3374">
              <w:rPr>
                <w:noProof/>
                <w:webHidden/>
              </w:rPr>
              <w:instrText xml:space="preserve"> PAGEREF _Toc214545122 \h </w:instrText>
            </w:r>
            <w:r w:rsidRPr="003A3374">
              <w:rPr>
                <w:noProof/>
                <w:webHidden/>
              </w:rPr>
            </w:r>
            <w:r w:rsidRPr="003A3374">
              <w:rPr>
                <w:noProof/>
                <w:webHidden/>
              </w:rPr>
              <w:fldChar w:fldCharType="separate"/>
            </w:r>
            <w:r w:rsidRPr="003A3374">
              <w:rPr>
                <w:noProof/>
                <w:webHidden/>
              </w:rPr>
              <w:t>10</w:t>
            </w:r>
            <w:r w:rsidRPr="003A3374">
              <w:rPr>
                <w:noProof/>
                <w:webHidden/>
              </w:rPr>
              <w:fldChar w:fldCharType="end"/>
            </w:r>
          </w:hyperlink>
        </w:p>
        <w:p w14:paraId="3F29D55C" w14:textId="00ED85F9" w:rsidR="00366DD3" w:rsidRPr="003A3374" w:rsidRDefault="00366DD3">
          <w:pPr>
            <w:pStyle w:val="TOC2"/>
            <w:rPr>
              <w:rFonts w:eastAsiaTheme="minorEastAsia" w:cstheme="minorBidi"/>
              <w:b w:val="0"/>
              <w:noProof/>
              <w:color w:val="auto"/>
              <w:kern w:val="2"/>
              <w:sz w:val="24"/>
              <w:szCs w:val="24"/>
              <w:lang w:eastAsia="zh-CN" w:bidi="he-IL"/>
              <w14:ligatures w14:val="standardContextual"/>
            </w:rPr>
          </w:pPr>
          <w:hyperlink w:anchor="_Toc214545123" w:history="1">
            <w:r w:rsidRPr="003A3374">
              <w:rPr>
                <w:rStyle w:val="Hyperlink"/>
                <w:noProof/>
              </w:rPr>
              <w:t>Site visit: Wakefield production plant</w:t>
            </w:r>
            <w:r w:rsidRPr="003A3374">
              <w:rPr>
                <w:noProof/>
                <w:webHidden/>
              </w:rPr>
              <w:tab/>
            </w:r>
            <w:r w:rsidRPr="003A3374">
              <w:rPr>
                <w:noProof/>
                <w:webHidden/>
              </w:rPr>
              <w:fldChar w:fldCharType="begin"/>
            </w:r>
            <w:r w:rsidRPr="003A3374">
              <w:rPr>
                <w:noProof/>
                <w:webHidden/>
              </w:rPr>
              <w:instrText xml:space="preserve"> PAGEREF _Toc214545123 \h </w:instrText>
            </w:r>
            <w:r w:rsidRPr="003A3374">
              <w:rPr>
                <w:noProof/>
                <w:webHidden/>
              </w:rPr>
            </w:r>
            <w:r w:rsidRPr="003A3374">
              <w:rPr>
                <w:noProof/>
                <w:webHidden/>
              </w:rPr>
              <w:fldChar w:fldCharType="separate"/>
            </w:r>
            <w:r w:rsidRPr="003A3374">
              <w:rPr>
                <w:noProof/>
                <w:webHidden/>
              </w:rPr>
              <w:t>11</w:t>
            </w:r>
            <w:r w:rsidRPr="003A3374">
              <w:rPr>
                <w:noProof/>
                <w:webHidden/>
              </w:rPr>
              <w:fldChar w:fldCharType="end"/>
            </w:r>
          </w:hyperlink>
        </w:p>
        <w:p w14:paraId="42EAFC2B" w14:textId="37799DA6" w:rsidR="00366DD3" w:rsidRPr="003A3374" w:rsidRDefault="00366DD3">
          <w:pPr>
            <w:pStyle w:val="TOC2"/>
            <w:rPr>
              <w:rFonts w:eastAsiaTheme="minorEastAsia" w:cstheme="minorBidi"/>
              <w:b w:val="0"/>
              <w:noProof/>
              <w:color w:val="auto"/>
              <w:kern w:val="2"/>
              <w:sz w:val="24"/>
              <w:szCs w:val="24"/>
              <w:lang w:eastAsia="zh-CN" w:bidi="he-IL"/>
              <w14:ligatures w14:val="standardContextual"/>
            </w:rPr>
          </w:pPr>
          <w:hyperlink w:anchor="_Toc214545124" w:history="1">
            <w:r w:rsidRPr="003A3374">
              <w:rPr>
                <w:rStyle w:val="Hyperlink"/>
                <w:noProof/>
              </w:rPr>
              <w:t>The British soft drinks market</w:t>
            </w:r>
            <w:r w:rsidRPr="003A3374">
              <w:rPr>
                <w:noProof/>
                <w:webHidden/>
              </w:rPr>
              <w:tab/>
            </w:r>
            <w:r w:rsidRPr="003A3374">
              <w:rPr>
                <w:noProof/>
                <w:webHidden/>
              </w:rPr>
              <w:fldChar w:fldCharType="begin"/>
            </w:r>
            <w:r w:rsidRPr="003A3374">
              <w:rPr>
                <w:noProof/>
                <w:webHidden/>
              </w:rPr>
              <w:instrText xml:space="preserve"> PAGEREF _Toc214545124 \h </w:instrText>
            </w:r>
            <w:r w:rsidRPr="003A3374">
              <w:rPr>
                <w:noProof/>
                <w:webHidden/>
              </w:rPr>
            </w:r>
            <w:r w:rsidRPr="003A3374">
              <w:rPr>
                <w:noProof/>
                <w:webHidden/>
              </w:rPr>
              <w:fldChar w:fldCharType="separate"/>
            </w:r>
            <w:r w:rsidRPr="003A3374">
              <w:rPr>
                <w:noProof/>
                <w:webHidden/>
              </w:rPr>
              <w:t>12</w:t>
            </w:r>
            <w:r w:rsidRPr="003A3374">
              <w:rPr>
                <w:noProof/>
                <w:webHidden/>
              </w:rPr>
              <w:fldChar w:fldCharType="end"/>
            </w:r>
          </w:hyperlink>
        </w:p>
        <w:p w14:paraId="4BD8DDFA" w14:textId="0900C416" w:rsidR="00366DD3" w:rsidRPr="003A3374" w:rsidRDefault="00366DD3">
          <w:pPr>
            <w:pStyle w:val="TOC3"/>
            <w:rPr>
              <w:rFonts w:eastAsiaTheme="minorEastAsia" w:cstheme="minorBidi"/>
              <w:noProof/>
              <w:color w:val="auto"/>
              <w:kern w:val="2"/>
              <w:sz w:val="24"/>
              <w:szCs w:val="24"/>
              <w:lang w:eastAsia="zh-CN" w:bidi="he-IL"/>
              <w14:ligatures w14:val="standardContextual"/>
            </w:rPr>
          </w:pPr>
          <w:hyperlink w:anchor="_Toc214545125" w:history="1">
            <w:r w:rsidRPr="003A3374">
              <w:rPr>
                <w:rStyle w:val="Hyperlink"/>
                <w:noProof/>
              </w:rPr>
              <w:t>The out-of-home recovery story…</w:t>
            </w:r>
            <w:r w:rsidRPr="003A3374">
              <w:rPr>
                <w:noProof/>
                <w:webHidden/>
              </w:rPr>
              <w:tab/>
            </w:r>
            <w:r w:rsidRPr="003A3374">
              <w:rPr>
                <w:noProof/>
                <w:webHidden/>
              </w:rPr>
              <w:fldChar w:fldCharType="begin"/>
            </w:r>
            <w:r w:rsidRPr="003A3374">
              <w:rPr>
                <w:noProof/>
                <w:webHidden/>
              </w:rPr>
              <w:instrText xml:space="preserve"> PAGEREF _Toc214545125 \h </w:instrText>
            </w:r>
            <w:r w:rsidRPr="003A3374">
              <w:rPr>
                <w:noProof/>
                <w:webHidden/>
              </w:rPr>
            </w:r>
            <w:r w:rsidRPr="003A3374">
              <w:rPr>
                <w:noProof/>
                <w:webHidden/>
              </w:rPr>
              <w:fldChar w:fldCharType="separate"/>
            </w:r>
            <w:r w:rsidRPr="003A3374">
              <w:rPr>
                <w:noProof/>
                <w:webHidden/>
              </w:rPr>
              <w:t>13</w:t>
            </w:r>
            <w:r w:rsidRPr="003A3374">
              <w:rPr>
                <w:noProof/>
                <w:webHidden/>
              </w:rPr>
              <w:fldChar w:fldCharType="end"/>
            </w:r>
          </w:hyperlink>
        </w:p>
        <w:p w14:paraId="59C8B049" w14:textId="30DF3432" w:rsidR="00366DD3" w:rsidRPr="003A3374" w:rsidRDefault="00366DD3">
          <w:pPr>
            <w:pStyle w:val="TOC3"/>
            <w:rPr>
              <w:rFonts w:eastAsiaTheme="minorEastAsia" w:cstheme="minorBidi"/>
              <w:noProof/>
              <w:color w:val="auto"/>
              <w:kern w:val="2"/>
              <w:sz w:val="24"/>
              <w:szCs w:val="24"/>
              <w:lang w:eastAsia="zh-CN" w:bidi="he-IL"/>
              <w14:ligatures w14:val="standardContextual"/>
            </w:rPr>
          </w:pPr>
          <w:hyperlink w:anchor="_Toc214545126" w:history="1">
            <w:r w:rsidRPr="003A3374">
              <w:rPr>
                <w:rStyle w:val="Hyperlink"/>
                <w:noProof/>
              </w:rPr>
              <w:t>Winning in the away-from-home channel</w:t>
            </w:r>
            <w:r w:rsidRPr="003A3374">
              <w:rPr>
                <w:noProof/>
                <w:webHidden/>
              </w:rPr>
              <w:tab/>
            </w:r>
            <w:r w:rsidRPr="003A3374">
              <w:rPr>
                <w:noProof/>
                <w:webHidden/>
              </w:rPr>
              <w:fldChar w:fldCharType="begin"/>
            </w:r>
            <w:r w:rsidRPr="003A3374">
              <w:rPr>
                <w:noProof/>
                <w:webHidden/>
              </w:rPr>
              <w:instrText xml:space="preserve"> PAGEREF _Toc214545126 \h </w:instrText>
            </w:r>
            <w:r w:rsidRPr="003A3374">
              <w:rPr>
                <w:noProof/>
                <w:webHidden/>
              </w:rPr>
            </w:r>
            <w:r w:rsidRPr="003A3374">
              <w:rPr>
                <w:noProof/>
                <w:webHidden/>
              </w:rPr>
              <w:fldChar w:fldCharType="separate"/>
            </w:r>
            <w:r w:rsidRPr="003A3374">
              <w:rPr>
                <w:noProof/>
                <w:webHidden/>
              </w:rPr>
              <w:t>15</w:t>
            </w:r>
            <w:r w:rsidRPr="003A3374">
              <w:rPr>
                <w:noProof/>
                <w:webHidden/>
              </w:rPr>
              <w:fldChar w:fldCharType="end"/>
            </w:r>
          </w:hyperlink>
        </w:p>
        <w:p w14:paraId="031FD304" w14:textId="676A6EF8" w:rsidR="00366DD3" w:rsidRPr="003A3374" w:rsidRDefault="00366DD3">
          <w:pPr>
            <w:pStyle w:val="TOC3"/>
            <w:rPr>
              <w:rFonts w:eastAsiaTheme="minorEastAsia" w:cstheme="minorBidi"/>
              <w:noProof/>
              <w:color w:val="auto"/>
              <w:kern w:val="2"/>
              <w:sz w:val="24"/>
              <w:szCs w:val="24"/>
              <w:lang w:eastAsia="zh-CN" w:bidi="he-IL"/>
              <w14:ligatures w14:val="standardContextual"/>
            </w:rPr>
          </w:pPr>
          <w:hyperlink w:anchor="_Toc214545127" w:history="1">
            <w:r w:rsidRPr="003A3374">
              <w:rPr>
                <w:rStyle w:val="Hyperlink"/>
                <w:noProof/>
              </w:rPr>
              <w:t>The evolving grocery landscape</w:t>
            </w:r>
            <w:r w:rsidRPr="003A3374">
              <w:rPr>
                <w:noProof/>
                <w:webHidden/>
              </w:rPr>
              <w:tab/>
            </w:r>
            <w:r w:rsidRPr="003A3374">
              <w:rPr>
                <w:noProof/>
                <w:webHidden/>
              </w:rPr>
              <w:fldChar w:fldCharType="begin"/>
            </w:r>
            <w:r w:rsidRPr="003A3374">
              <w:rPr>
                <w:noProof/>
                <w:webHidden/>
              </w:rPr>
              <w:instrText xml:space="preserve"> PAGEREF _Toc214545127 \h </w:instrText>
            </w:r>
            <w:r w:rsidRPr="003A3374">
              <w:rPr>
                <w:noProof/>
                <w:webHidden/>
              </w:rPr>
            </w:r>
            <w:r w:rsidRPr="003A3374">
              <w:rPr>
                <w:noProof/>
                <w:webHidden/>
              </w:rPr>
              <w:fldChar w:fldCharType="separate"/>
            </w:r>
            <w:r w:rsidRPr="003A3374">
              <w:rPr>
                <w:noProof/>
                <w:webHidden/>
              </w:rPr>
              <w:t>16</w:t>
            </w:r>
            <w:r w:rsidRPr="003A3374">
              <w:rPr>
                <w:noProof/>
                <w:webHidden/>
              </w:rPr>
              <w:fldChar w:fldCharType="end"/>
            </w:r>
          </w:hyperlink>
        </w:p>
        <w:p w14:paraId="76EEE28B" w14:textId="4459EC0B" w:rsidR="00366DD3" w:rsidRPr="003A3374" w:rsidRDefault="00366DD3">
          <w:pPr>
            <w:pStyle w:val="TOC3"/>
            <w:rPr>
              <w:rFonts w:eastAsiaTheme="minorEastAsia" w:cstheme="minorBidi"/>
              <w:noProof/>
              <w:color w:val="auto"/>
              <w:kern w:val="2"/>
              <w:sz w:val="24"/>
              <w:szCs w:val="24"/>
              <w:lang w:eastAsia="zh-CN" w:bidi="he-IL"/>
              <w14:ligatures w14:val="standardContextual"/>
            </w:rPr>
          </w:pPr>
          <w:hyperlink w:anchor="_Toc214545128" w:history="1">
            <w:r w:rsidRPr="003A3374">
              <w:rPr>
                <w:rStyle w:val="Hyperlink"/>
                <w:noProof/>
              </w:rPr>
              <w:t>Imitation is the sincerest form of flattery</w:t>
            </w:r>
            <w:r w:rsidRPr="003A3374">
              <w:rPr>
                <w:noProof/>
                <w:webHidden/>
              </w:rPr>
              <w:tab/>
            </w:r>
            <w:r w:rsidRPr="003A3374">
              <w:rPr>
                <w:noProof/>
                <w:webHidden/>
              </w:rPr>
              <w:fldChar w:fldCharType="begin"/>
            </w:r>
            <w:r w:rsidRPr="003A3374">
              <w:rPr>
                <w:noProof/>
                <w:webHidden/>
              </w:rPr>
              <w:instrText xml:space="preserve"> PAGEREF _Toc214545128 \h </w:instrText>
            </w:r>
            <w:r w:rsidRPr="003A3374">
              <w:rPr>
                <w:noProof/>
                <w:webHidden/>
              </w:rPr>
            </w:r>
            <w:r w:rsidRPr="003A3374">
              <w:rPr>
                <w:noProof/>
                <w:webHidden/>
              </w:rPr>
              <w:fldChar w:fldCharType="separate"/>
            </w:r>
            <w:r w:rsidRPr="003A3374">
              <w:rPr>
                <w:noProof/>
                <w:webHidden/>
              </w:rPr>
              <w:t>18</w:t>
            </w:r>
            <w:r w:rsidRPr="003A3374">
              <w:rPr>
                <w:noProof/>
                <w:webHidden/>
              </w:rPr>
              <w:fldChar w:fldCharType="end"/>
            </w:r>
          </w:hyperlink>
        </w:p>
        <w:p w14:paraId="4575E124" w14:textId="378BD924" w:rsidR="00366DD3" w:rsidRPr="003A3374" w:rsidRDefault="00366DD3">
          <w:pPr>
            <w:pStyle w:val="TOC3"/>
            <w:rPr>
              <w:rFonts w:eastAsiaTheme="minorEastAsia" w:cstheme="minorBidi"/>
              <w:noProof/>
              <w:color w:val="auto"/>
              <w:kern w:val="2"/>
              <w:sz w:val="24"/>
              <w:szCs w:val="24"/>
              <w:lang w:eastAsia="zh-CN" w:bidi="he-IL"/>
              <w14:ligatures w14:val="standardContextual"/>
            </w:rPr>
          </w:pPr>
          <w:hyperlink w:anchor="_Toc214545129" w:history="1">
            <w:r w:rsidRPr="003A3374">
              <w:rPr>
                <w:rStyle w:val="Hyperlink"/>
                <w:noProof/>
              </w:rPr>
              <w:t>What does the shift to discounters mean for CCGB?</w:t>
            </w:r>
            <w:r w:rsidRPr="003A3374">
              <w:rPr>
                <w:noProof/>
                <w:webHidden/>
              </w:rPr>
              <w:tab/>
            </w:r>
            <w:r w:rsidRPr="003A3374">
              <w:rPr>
                <w:noProof/>
                <w:webHidden/>
              </w:rPr>
              <w:fldChar w:fldCharType="begin"/>
            </w:r>
            <w:r w:rsidRPr="003A3374">
              <w:rPr>
                <w:noProof/>
                <w:webHidden/>
              </w:rPr>
              <w:instrText xml:space="preserve"> PAGEREF _Toc214545129 \h </w:instrText>
            </w:r>
            <w:r w:rsidRPr="003A3374">
              <w:rPr>
                <w:noProof/>
                <w:webHidden/>
              </w:rPr>
            </w:r>
            <w:r w:rsidRPr="003A3374">
              <w:rPr>
                <w:noProof/>
                <w:webHidden/>
              </w:rPr>
              <w:fldChar w:fldCharType="separate"/>
            </w:r>
            <w:r w:rsidRPr="003A3374">
              <w:rPr>
                <w:noProof/>
                <w:webHidden/>
              </w:rPr>
              <w:t>20</w:t>
            </w:r>
            <w:r w:rsidRPr="003A3374">
              <w:rPr>
                <w:noProof/>
                <w:webHidden/>
              </w:rPr>
              <w:fldChar w:fldCharType="end"/>
            </w:r>
          </w:hyperlink>
        </w:p>
        <w:p w14:paraId="564AE92F" w14:textId="66944C3C" w:rsidR="00366DD3" w:rsidRPr="003A3374" w:rsidRDefault="00366DD3">
          <w:pPr>
            <w:pStyle w:val="TOC2"/>
            <w:rPr>
              <w:rFonts w:eastAsiaTheme="minorEastAsia" w:cstheme="minorBidi"/>
              <w:b w:val="0"/>
              <w:noProof/>
              <w:color w:val="auto"/>
              <w:kern w:val="2"/>
              <w:sz w:val="24"/>
              <w:szCs w:val="24"/>
              <w:lang w:eastAsia="zh-CN" w:bidi="he-IL"/>
              <w14:ligatures w14:val="standardContextual"/>
            </w:rPr>
          </w:pPr>
          <w:hyperlink w:anchor="_Toc214545130" w:history="1">
            <w:r w:rsidRPr="003A3374">
              <w:rPr>
                <w:rStyle w:val="Hyperlink"/>
                <w:noProof/>
              </w:rPr>
              <w:t>Market visit: tour around Leeds</w:t>
            </w:r>
            <w:r w:rsidRPr="003A3374">
              <w:rPr>
                <w:noProof/>
                <w:webHidden/>
              </w:rPr>
              <w:tab/>
            </w:r>
            <w:r w:rsidRPr="003A3374">
              <w:rPr>
                <w:noProof/>
                <w:webHidden/>
              </w:rPr>
              <w:fldChar w:fldCharType="begin"/>
            </w:r>
            <w:r w:rsidRPr="003A3374">
              <w:rPr>
                <w:noProof/>
                <w:webHidden/>
              </w:rPr>
              <w:instrText xml:space="preserve"> PAGEREF _Toc214545130 \h </w:instrText>
            </w:r>
            <w:r w:rsidRPr="003A3374">
              <w:rPr>
                <w:noProof/>
                <w:webHidden/>
              </w:rPr>
            </w:r>
            <w:r w:rsidRPr="003A3374">
              <w:rPr>
                <w:noProof/>
                <w:webHidden/>
              </w:rPr>
              <w:fldChar w:fldCharType="separate"/>
            </w:r>
            <w:r w:rsidRPr="003A3374">
              <w:rPr>
                <w:noProof/>
                <w:webHidden/>
              </w:rPr>
              <w:t>21</w:t>
            </w:r>
            <w:r w:rsidRPr="003A3374">
              <w:rPr>
                <w:noProof/>
                <w:webHidden/>
              </w:rPr>
              <w:fldChar w:fldCharType="end"/>
            </w:r>
          </w:hyperlink>
        </w:p>
        <w:p w14:paraId="12E09861" w14:textId="6CDFEAFC" w:rsidR="00366DD3" w:rsidRPr="003A3374" w:rsidRDefault="00366DD3">
          <w:pPr>
            <w:pStyle w:val="TOC3"/>
            <w:rPr>
              <w:rFonts w:eastAsiaTheme="minorEastAsia" w:cstheme="minorBidi"/>
              <w:noProof/>
              <w:color w:val="auto"/>
              <w:kern w:val="2"/>
              <w:sz w:val="24"/>
              <w:szCs w:val="24"/>
              <w:lang w:eastAsia="zh-CN" w:bidi="he-IL"/>
              <w14:ligatures w14:val="standardContextual"/>
            </w:rPr>
          </w:pPr>
          <w:hyperlink w:anchor="_Toc214545131" w:history="1">
            <w:r w:rsidRPr="003A3374">
              <w:rPr>
                <w:rStyle w:val="Hyperlink"/>
                <w:noProof/>
              </w:rPr>
              <w:t>Tesco visit</w:t>
            </w:r>
            <w:r w:rsidRPr="003A3374">
              <w:rPr>
                <w:noProof/>
                <w:webHidden/>
              </w:rPr>
              <w:tab/>
            </w:r>
            <w:r w:rsidRPr="003A3374">
              <w:rPr>
                <w:noProof/>
                <w:webHidden/>
              </w:rPr>
              <w:fldChar w:fldCharType="begin"/>
            </w:r>
            <w:r w:rsidRPr="003A3374">
              <w:rPr>
                <w:noProof/>
                <w:webHidden/>
              </w:rPr>
              <w:instrText xml:space="preserve"> PAGEREF _Toc214545131 \h </w:instrText>
            </w:r>
            <w:r w:rsidRPr="003A3374">
              <w:rPr>
                <w:noProof/>
                <w:webHidden/>
              </w:rPr>
            </w:r>
            <w:r w:rsidRPr="003A3374">
              <w:rPr>
                <w:noProof/>
                <w:webHidden/>
              </w:rPr>
              <w:fldChar w:fldCharType="separate"/>
            </w:r>
            <w:r w:rsidRPr="003A3374">
              <w:rPr>
                <w:noProof/>
                <w:webHidden/>
              </w:rPr>
              <w:t>22</w:t>
            </w:r>
            <w:r w:rsidRPr="003A3374">
              <w:rPr>
                <w:noProof/>
                <w:webHidden/>
              </w:rPr>
              <w:fldChar w:fldCharType="end"/>
            </w:r>
          </w:hyperlink>
        </w:p>
        <w:p w14:paraId="4D426EB8" w14:textId="65120008" w:rsidR="00366DD3" w:rsidRPr="003A3374" w:rsidRDefault="00366DD3">
          <w:pPr>
            <w:pStyle w:val="TOC3"/>
            <w:rPr>
              <w:rFonts w:eastAsiaTheme="minorEastAsia" w:cstheme="minorBidi"/>
              <w:noProof/>
              <w:color w:val="auto"/>
              <w:kern w:val="2"/>
              <w:sz w:val="24"/>
              <w:szCs w:val="24"/>
              <w:lang w:eastAsia="zh-CN" w:bidi="he-IL"/>
              <w14:ligatures w14:val="standardContextual"/>
            </w:rPr>
          </w:pPr>
          <w:hyperlink w:anchor="_Toc214545132" w:history="1">
            <w:r w:rsidRPr="003A3374">
              <w:rPr>
                <w:rStyle w:val="Hyperlink"/>
                <w:noProof/>
              </w:rPr>
              <w:t>Bestway visit</w:t>
            </w:r>
            <w:r w:rsidRPr="003A3374">
              <w:rPr>
                <w:noProof/>
                <w:webHidden/>
              </w:rPr>
              <w:tab/>
            </w:r>
            <w:r w:rsidRPr="003A3374">
              <w:rPr>
                <w:noProof/>
                <w:webHidden/>
              </w:rPr>
              <w:fldChar w:fldCharType="begin"/>
            </w:r>
            <w:r w:rsidRPr="003A3374">
              <w:rPr>
                <w:noProof/>
                <w:webHidden/>
              </w:rPr>
              <w:instrText xml:space="preserve"> PAGEREF _Toc214545132 \h </w:instrText>
            </w:r>
            <w:r w:rsidRPr="003A3374">
              <w:rPr>
                <w:noProof/>
                <w:webHidden/>
              </w:rPr>
            </w:r>
            <w:r w:rsidRPr="003A3374">
              <w:rPr>
                <w:noProof/>
                <w:webHidden/>
              </w:rPr>
              <w:fldChar w:fldCharType="separate"/>
            </w:r>
            <w:r w:rsidRPr="003A3374">
              <w:rPr>
                <w:noProof/>
                <w:webHidden/>
              </w:rPr>
              <w:t>24</w:t>
            </w:r>
            <w:r w:rsidRPr="003A3374">
              <w:rPr>
                <w:noProof/>
                <w:webHidden/>
              </w:rPr>
              <w:fldChar w:fldCharType="end"/>
            </w:r>
          </w:hyperlink>
        </w:p>
        <w:p w14:paraId="089E6C81" w14:textId="2E527D57" w:rsidR="00366DD3" w:rsidRPr="003A3374" w:rsidRDefault="00366DD3">
          <w:pPr>
            <w:pStyle w:val="TOC3"/>
            <w:rPr>
              <w:rFonts w:eastAsiaTheme="minorEastAsia" w:cstheme="minorBidi"/>
              <w:noProof/>
              <w:color w:val="auto"/>
              <w:kern w:val="2"/>
              <w:sz w:val="24"/>
              <w:szCs w:val="24"/>
              <w:lang w:eastAsia="zh-CN" w:bidi="he-IL"/>
              <w14:ligatures w14:val="standardContextual"/>
            </w:rPr>
          </w:pPr>
          <w:hyperlink w:anchor="_Toc214545133" w:history="1">
            <w:r w:rsidRPr="003A3374">
              <w:rPr>
                <w:rStyle w:val="Hyperlink"/>
                <w:noProof/>
              </w:rPr>
              <w:t>AFH blitz</w:t>
            </w:r>
            <w:r w:rsidRPr="003A3374">
              <w:rPr>
                <w:noProof/>
                <w:webHidden/>
              </w:rPr>
              <w:tab/>
            </w:r>
            <w:r w:rsidRPr="003A3374">
              <w:rPr>
                <w:noProof/>
                <w:webHidden/>
              </w:rPr>
              <w:fldChar w:fldCharType="begin"/>
            </w:r>
            <w:r w:rsidRPr="003A3374">
              <w:rPr>
                <w:noProof/>
                <w:webHidden/>
              </w:rPr>
              <w:instrText xml:space="preserve"> PAGEREF _Toc214545133 \h </w:instrText>
            </w:r>
            <w:r w:rsidRPr="003A3374">
              <w:rPr>
                <w:noProof/>
                <w:webHidden/>
              </w:rPr>
            </w:r>
            <w:r w:rsidRPr="003A3374">
              <w:rPr>
                <w:noProof/>
                <w:webHidden/>
              </w:rPr>
              <w:fldChar w:fldCharType="separate"/>
            </w:r>
            <w:r w:rsidRPr="003A3374">
              <w:rPr>
                <w:noProof/>
                <w:webHidden/>
              </w:rPr>
              <w:t>25</w:t>
            </w:r>
            <w:r w:rsidRPr="003A3374">
              <w:rPr>
                <w:noProof/>
                <w:webHidden/>
              </w:rPr>
              <w:fldChar w:fldCharType="end"/>
            </w:r>
          </w:hyperlink>
        </w:p>
        <w:p w14:paraId="40B5344E" w14:textId="4F8A2E05" w:rsidR="00366DD3" w:rsidRPr="003A3374" w:rsidRDefault="00366DD3">
          <w:pPr>
            <w:pStyle w:val="TOC2"/>
            <w:rPr>
              <w:rFonts w:eastAsiaTheme="minorEastAsia" w:cstheme="minorBidi"/>
              <w:b w:val="0"/>
              <w:noProof/>
              <w:color w:val="auto"/>
              <w:kern w:val="2"/>
              <w:sz w:val="24"/>
              <w:szCs w:val="24"/>
              <w:lang w:eastAsia="zh-CN" w:bidi="he-IL"/>
              <w14:ligatures w14:val="standardContextual"/>
            </w:rPr>
          </w:pPr>
          <w:hyperlink w:anchor="_Toc214545134" w:history="1">
            <w:r w:rsidRPr="003A3374">
              <w:rPr>
                <w:rStyle w:val="Hyperlink"/>
                <w:noProof/>
              </w:rPr>
              <w:t>The road ahead</w:t>
            </w:r>
            <w:r w:rsidRPr="003A3374">
              <w:rPr>
                <w:noProof/>
                <w:webHidden/>
              </w:rPr>
              <w:tab/>
            </w:r>
            <w:r w:rsidRPr="003A3374">
              <w:rPr>
                <w:noProof/>
                <w:webHidden/>
              </w:rPr>
              <w:fldChar w:fldCharType="begin"/>
            </w:r>
            <w:r w:rsidRPr="003A3374">
              <w:rPr>
                <w:noProof/>
                <w:webHidden/>
              </w:rPr>
              <w:instrText xml:space="preserve"> PAGEREF _Toc214545134 \h </w:instrText>
            </w:r>
            <w:r w:rsidRPr="003A3374">
              <w:rPr>
                <w:noProof/>
                <w:webHidden/>
              </w:rPr>
            </w:r>
            <w:r w:rsidRPr="003A3374">
              <w:rPr>
                <w:noProof/>
                <w:webHidden/>
              </w:rPr>
              <w:fldChar w:fldCharType="separate"/>
            </w:r>
            <w:r w:rsidRPr="003A3374">
              <w:rPr>
                <w:noProof/>
                <w:webHidden/>
              </w:rPr>
              <w:t>26</w:t>
            </w:r>
            <w:r w:rsidRPr="003A3374">
              <w:rPr>
                <w:noProof/>
                <w:webHidden/>
              </w:rPr>
              <w:fldChar w:fldCharType="end"/>
            </w:r>
          </w:hyperlink>
        </w:p>
        <w:p w14:paraId="02A46AF5" w14:textId="4100C682" w:rsidR="00366DD3" w:rsidRPr="003A3374" w:rsidRDefault="00366DD3">
          <w:pPr>
            <w:pStyle w:val="TOC3"/>
            <w:rPr>
              <w:rFonts w:eastAsiaTheme="minorEastAsia" w:cstheme="minorBidi"/>
              <w:noProof/>
              <w:color w:val="auto"/>
              <w:kern w:val="2"/>
              <w:sz w:val="24"/>
              <w:szCs w:val="24"/>
              <w:lang w:eastAsia="zh-CN" w:bidi="he-IL"/>
              <w14:ligatures w14:val="standardContextual"/>
            </w:rPr>
          </w:pPr>
          <w:hyperlink w:anchor="_Toc214545135" w:history="1">
            <w:r w:rsidRPr="003A3374">
              <w:rPr>
                <w:rStyle w:val="Hyperlink"/>
                <w:noProof/>
              </w:rPr>
              <w:t>Implications of Carlsberg-Britvic</w:t>
            </w:r>
            <w:r w:rsidRPr="003A3374">
              <w:rPr>
                <w:noProof/>
                <w:webHidden/>
              </w:rPr>
              <w:tab/>
            </w:r>
            <w:r w:rsidRPr="003A3374">
              <w:rPr>
                <w:noProof/>
                <w:webHidden/>
              </w:rPr>
              <w:fldChar w:fldCharType="begin"/>
            </w:r>
            <w:r w:rsidRPr="003A3374">
              <w:rPr>
                <w:noProof/>
                <w:webHidden/>
              </w:rPr>
              <w:instrText xml:space="preserve"> PAGEREF _Toc214545135 \h </w:instrText>
            </w:r>
            <w:r w:rsidRPr="003A3374">
              <w:rPr>
                <w:noProof/>
                <w:webHidden/>
              </w:rPr>
            </w:r>
            <w:r w:rsidRPr="003A3374">
              <w:rPr>
                <w:noProof/>
                <w:webHidden/>
              </w:rPr>
              <w:fldChar w:fldCharType="separate"/>
            </w:r>
            <w:r w:rsidRPr="003A3374">
              <w:rPr>
                <w:noProof/>
                <w:webHidden/>
              </w:rPr>
              <w:t>26</w:t>
            </w:r>
            <w:r w:rsidRPr="003A3374">
              <w:rPr>
                <w:noProof/>
                <w:webHidden/>
              </w:rPr>
              <w:fldChar w:fldCharType="end"/>
            </w:r>
          </w:hyperlink>
        </w:p>
        <w:p w14:paraId="78A7EB94" w14:textId="18D6C49C" w:rsidR="00366DD3" w:rsidRPr="003A3374" w:rsidRDefault="00366DD3">
          <w:pPr>
            <w:pStyle w:val="TOC3"/>
            <w:rPr>
              <w:rFonts w:eastAsiaTheme="minorEastAsia" w:cstheme="minorBidi"/>
              <w:noProof/>
              <w:color w:val="auto"/>
              <w:kern w:val="2"/>
              <w:sz w:val="24"/>
              <w:szCs w:val="24"/>
              <w:lang w:eastAsia="zh-CN" w:bidi="he-IL"/>
              <w14:ligatures w14:val="standardContextual"/>
            </w:rPr>
          </w:pPr>
          <w:hyperlink w:anchor="_Toc214545136" w:history="1">
            <w:r w:rsidRPr="003A3374">
              <w:rPr>
                <w:rStyle w:val="Hyperlink"/>
                <w:noProof/>
              </w:rPr>
              <w:t>Better competition in sparkling</w:t>
            </w:r>
            <w:r w:rsidRPr="003A3374">
              <w:rPr>
                <w:noProof/>
                <w:webHidden/>
              </w:rPr>
              <w:tab/>
            </w:r>
            <w:r w:rsidRPr="003A3374">
              <w:rPr>
                <w:noProof/>
                <w:webHidden/>
              </w:rPr>
              <w:fldChar w:fldCharType="begin"/>
            </w:r>
            <w:r w:rsidRPr="003A3374">
              <w:rPr>
                <w:noProof/>
                <w:webHidden/>
              </w:rPr>
              <w:instrText xml:space="preserve"> PAGEREF _Toc214545136 \h </w:instrText>
            </w:r>
            <w:r w:rsidRPr="003A3374">
              <w:rPr>
                <w:noProof/>
                <w:webHidden/>
              </w:rPr>
            </w:r>
            <w:r w:rsidRPr="003A3374">
              <w:rPr>
                <w:noProof/>
                <w:webHidden/>
              </w:rPr>
              <w:fldChar w:fldCharType="separate"/>
            </w:r>
            <w:r w:rsidRPr="003A3374">
              <w:rPr>
                <w:noProof/>
                <w:webHidden/>
              </w:rPr>
              <w:t>27</w:t>
            </w:r>
            <w:r w:rsidRPr="003A3374">
              <w:rPr>
                <w:noProof/>
                <w:webHidden/>
              </w:rPr>
              <w:fldChar w:fldCharType="end"/>
            </w:r>
          </w:hyperlink>
        </w:p>
        <w:p w14:paraId="5D057DE9" w14:textId="21B55AB9" w:rsidR="00366DD3" w:rsidRPr="003A3374" w:rsidRDefault="00366DD3">
          <w:pPr>
            <w:pStyle w:val="TOC3"/>
            <w:rPr>
              <w:rFonts w:eastAsiaTheme="minorEastAsia" w:cstheme="minorBidi"/>
              <w:noProof/>
              <w:color w:val="auto"/>
              <w:kern w:val="2"/>
              <w:sz w:val="24"/>
              <w:szCs w:val="24"/>
              <w:lang w:eastAsia="zh-CN" w:bidi="he-IL"/>
              <w14:ligatures w14:val="standardContextual"/>
            </w:rPr>
          </w:pPr>
          <w:hyperlink w:anchor="_Toc214545137" w:history="1">
            <w:r w:rsidRPr="003A3374">
              <w:rPr>
                <w:rStyle w:val="Hyperlink"/>
                <w:noProof/>
              </w:rPr>
              <w:t>Washed up Rockstar</w:t>
            </w:r>
            <w:r w:rsidRPr="003A3374">
              <w:rPr>
                <w:noProof/>
                <w:webHidden/>
              </w:rPr>
              <w:tab/>
            </w:r>
            <w:r w:rsidRPr="003A3374">
              <w:rPr>
                <w:noProof/>
                <w:webHidden/>
              </w:rPr>
              <w:fldChar w:fldCharType="begin"/>
            </w:r>
            <w:r w:rsidRPr="003A3374">
              <w:rPr>
                <w:noProof/>
                <w:webHidden/>
              </w:rPr>
              <w:instrText xml:space="preserve"> PAGEREF _Toc214545137 \h </w:instrText>
            </w:r>
            <w:r w:rsidRPr="003A3374">
              <w:rPr>
                <w:noProof/>
                <w:webHidden/>
              </w:rPr>
            </w:r>
            <w:r w:rsidRPr="003A3374">
              <w:rPr>
                <w:noProof/>
                <w:webHidden/>
              </w:rPr>
              <w:fldChar w:fldCharType="separate"/>
            </w:r>
            <w:r w:rsidRPr="003A3374">
              <w:rPr>
                <w:noProof/>
                <w:webHidden/>
              </w:rPr>
              <w:t>30</w:t>
            </w:r>
            <w:r w:rsidRPr="003A3374">
              <w:rPr>
                <w:noProof/>
                <w:webHidden/>
              </w:rPr>
              <w:fldChar w:fldCharType="end"/>
            </w:r>
          </w:hyperlink>
        </w:p>
        <w:p w14:paraId="36BC28D7" w14:textId="7C8587C9" w:rsidR="00366DD3" w:rsidRPr="003A3374" w:rsidRDefault="00366DD3">
          <w:pPr>
            <w:pStyle w:val="TOC3"/>
            <w:rPr>
              <w:rFonts w:eastAsiaTheme="minorEastAsia" w:cstheme="minorBidi"/>
              <w:noProof/>
              <w:color w:val="auto"/>
              <w:kern w:val="2"/>
              <w:sz w:val="24"/>
              <w:szCs w:val="24"/>
              <w:lang w:eastAsia="zh-CN" w:bidi="he-IL"/>
              <w14:ligatures w14:val="standardContextual"/>
            </w:rPr>
          </w:pPr>
          <w:hyperlink w:anchor="_Toc214545138" w:history="1">
            <w:r w:rsidRPr="003A3374">
              <w:rPr>
                <w:rStyle w:val="Hyperlink"/>
                <w:noProof/>
              </w:rPr>
              <w:t>The next territories?</w:t>
            </w:r>
            <w:r w:rsidRPr="003A3374">
              <w:rPr>
                <w:noProof/>
                <w:webHidden/>
              </w:rPr>
              <w:tab/>
            </w:r>
            <w:r w:rsidRPr="003A3374">
              <w:rPr>
                <w:noProof/>
                <w:webHidden/>
              </w:rPr>
              <w:fldChar w:fldCharType="begin"/>
            </w:r>
            <w:r w:rsidRPr="003A3374">
              <w:rPr>
                <w:noProof/>
                <w:webHidden/>
              </w:rPr>
              <w:instrText xml:space="preserve"> PAGEREF _Toc214545138 \h </w:instrText>
            </w:r>
            <w:r w:rsidRPr="003A3374">
              <w:rPr>
                <w:noProof/>
                <w:webHidden/>
              </w:rPr>
            </w:r>
            <w:r w:rsidRPr="003A3374">
              <w:rPr>
                <w:noProof/>
                <w:webHidden/>
              </w:rPr>
              <w:fldChar w:fldCharType="separate"/>
            </w:r>
            <w:r w:rsidRPr="003A3374">
              <w:rPr>
                <w:noProof/>
                <w:webHidden/>
              </w:rPr>
              <w:t>32</w:t>
            </w:r>
            <w:r w:rsidRPr="003A3374">
              <w:rPr>
                <w:noProof/>
                <w:webHidden/>
              </w:rPr>
              <w:fldChar w:fldCharType="end"/>
            </w:r>
          </w:hyperlink>
        </w:p>
        <w:p w14:paraId="6B7787BC" w14:textId="71A52C6B" w:rsidR="00366DD3" w:rsidRPr="003A3374" w:rsidRDefault="00366DD3">
          <w:pPr>
            <w:pStyle w:val="TOC2"/>
            <w:rPr>
              <w:rFonts w:eastAsiaTheme="minorEastAsia" w:cstheme="minorBidi"/>
              <w:b w:val="0"/>
              <w:noProof/>
              <w:color w:val="auto"/>
              <w:kern w:val="2"/>
              <w:sz w:val="24"/>
              <w:szCs w:val="24"/>
              <w:lang w:eastAsia="zh-CN" w:bidi="he-IL"/>
              <w14:ligatures w14:val="standardContextual"/>
            </w:rPr>
          </w:pPr>
          <w:hyperlink w:anchor="_Toc214545139" w:history="1">
            <w:r w:rsidRPr="003A3374">
              <w:rPr>
                <w:rStyle w:val="Hyperlink"/>
                <w:noProof/>
              </w:rPr>
              <w:t>Sugar taxes, Extended Producer Responsibility and Deposit Return Schemes</w:t>
            </w:r>
            <w:r w:rsidRPr="003A3374">
              <w:rPr>
                <w:noProof/>
                <w:webHidden/>
              </w:rPr>
              <w:tab/>
            </w:r>
            <w:r w:rsidRPr="003A3374">
              <w:rPr>
                <w:noProof/>
                <w:webHidden/>
              </w:rPr>
              <w:fldChar w:fldCharType="begin"/>
            </w:r>
            <w:r w:rsidRPr="003A3374">
              <w:rPr>
                <w:noProof/>
                <w:webHidden/>
              </w:rPr>
              <w:instrText xml:space="preserve"> PAGEREF _Toc214545139 \h </w:instrText>
            </w:r>
            <w:r w:rsidRPr="003A3374">
              <w:rPr>
                <w:noProof/>
                <w:webHidden/>
              </w:rPr>
            </w:r>
            <w:r w:rsidRPr="003A3374">
              <w:rPr>
                <w:noProof/>
                <w:webHidden/>
              </w:rPr>
              <w:fldChar w:fldCharType="separate"/>
            </w:r>
            <w:r w:rsidRPr="003A3374">
              <w:rPr>
                <w:noProof/>
                <w:webHidden/>
              </w:rPr>
              <w:t>33</w:t>
            </w:r>
            <w:r w:rsidRPr="003A3374">
              <w:rPr>
                <w:noProof/>
                <w:webHidden/>
              </w:rPr>
              <w:fldChar w:fldCharType="end"/>
            </w:r>
          </w:hyperlink>
        </w:p>
        <w:p w14:paraId="639F2A03" w14:textId="42CD2ADB" w:rsidR="00366DD3" w:rsidRPr="003A3374" w:rsidRDefault="00366DD3">
          <w:pPr>
            <w:pStyle w:val="TOC3"/>
            <w:rPr>
              <w:rFonts w:eastAsiaTheme="minorEastAsia" w:cstheme="minorBidi"/>
              <w:noProof/>
              <w:color w:val="auto"/>
              <w:kern w:val="2"/>
              <w:sz w:val="24"/>
              <w:szCs w:val="24"/>
              <w:lang w:eastAsia="zh-CN" w:bidi="he-IL"/>
              <w14:ligatures w14:val="standardContextual"/>
            </w:rPr>
          </w:pPr>
          <w:hyperlink w:anchor="_Toc214545140" w:history="1">
            <w:r w:rsidRPr="003A3374">
              <w:rPr>
                <w:rStyle w:val="Hyperlink"/>
                <w:noProof/>
              </w:rPr>
              <w:t>Not so sweet</w:t>
            </w:r>
            <w:r w:rsidRPr="003A3374">
              <w:rPr>
                <w:noProof/>
                <w:webHidden/>
              </w:rPr>
              <w:tab/>
            </w:r>
            <w:r w:rsidRPr="003A3374">
              <w:rPr>
                <w:noProof/>
                <w:webHidden/>
              </w:rPr>
              <w:fldChar w:fldCharType="begin"/>
            </w:r>
            <w:r w:rsidRPr="003A3374">
              <w:rPr>
                <w:noProof/>
                <w:webHidden/>
              </w:rPr>
              <w:instrText xml:space="preserve"> PAGEREF _Toc214545140 \h </w:instrText>
            </w:r>
            <w:r w:rsidRPr="003A3374">
              <w:rPr>
                <w:noProof/>
                <w:webHidden/>
              </w:rPr>
            </w:r>
            <w:r w:rsidRPr="003A3374">
              <w:rPr>
                <w:noProof/>
                <w:webHidden/>
              </w:rPr>
              <w:fldChar w:fldCharType="separate"/>
            </w:r>
            <w:r w:rsidRPr="003A3374">
              <w:rPr>
                <w:noProof/>
                <w:webHidden/>
              </w:rPr>
              <w:t>33</w:t>
            </w:r>
            <w:r w:rsidRPr="003A3374">
              <w:rPr>
                <w:noProof/>
                <w:webHidden/>
              </w:rPr>
              <w:fldChar w:fldCharType="end"/>
            </w:r>
          </w:hyperlink>
        </w:p>
        <w:p w14:paraId="6C1B9286" w14:textId="02B75908" w:rsidR="00366DD3" w:rsidRPr="003A3374" w:rsidRDefault="00366DD3">
          <w:pPr>
            <w:pStyle w:val="TOC3"/>
            <w:rPr>
              <w:rFonts w:eastAsiaTheme="minorEastAsia" w:cstheme="minorBidi"/>
              <w:noProof/>
              <w:color w:val="auto"/>
              <w:kern w:val="2"/>
              <w:sz w:val="24"/>
              <w:szCs w:val="24"/>
              <w:lang w:eastAsia="zh-CN" w:bidi="he-IL"/>
              <w14:ligatures w14:val="standardContextual"/>
            </w:rPr>
          </w:pPr>
          <w:hyperlink w:anchor="_Toc214545141" w:history="1">
            <w:r w:rsidRPr="003A3374">
              <w:rPr>
                <w:rStyle w:val="Hyperlink"/>
                <w:noProof/>
              </w:rPr>
              <w:t>Disaster Rocks Soft drinks</w:t>
            </w:r>
            <w:r w:rsidRPr="003A3374">
              <w:rPr>
                <w:noProof/>
                <w:webHidden/>
              </w:rPr>
              <w:tab/>
            </w:r>
            <w:r w:rsidRPr="003A3374">
              <w:rPr>
                <w:noProof/>
                <w:webHidden/>
              </w:rPr>
              <w:fldChar w:fldCharType="begin"/>
            </w:r>
            <w:r w:rsidRPr="003A3374">
              <w:rPr>
                <w:noProof/>
                <w:webHidden/>
              </w:rPr>
              <w:instrText xml:space="preserve"> PAGEREF _Toc214545141 \h </w:instrText>
            </w:r>
            <w:r w:rsidRPr="003A3374">
              <w:rPr>
                <w:noProof/>
                <w:webHidden/>
              </w:rPr>
            </w:r>
            <w:r w:rsidRPr="003A3374">
              <w:rPr>
                <w:noProof/>
                <w:webHidden/>
              </w:rPr>
              <w:fldChar w:fldCharType="separate"/>
            </w:r>
            <w:r w:rsidRPr="003A3374">
              <w:rPr>
                <w:noProof/>
                <w:webHidden/>
              </w:rPr>
              <w:t>34</w:t>
            </w:r>
            <w:r w:rsidRPr="003A3374">
              <w:rPr>
                <w:noProof/>
                <w:webHidden/>
              </w:rPr>
              <w:fldChar w:fldCharType="end"/>
            </w:r>
          </w:hyperlink>
        </w:p>
        <w:p w14:paraId="78D10BEC" w14:textId="6737B647" w:rsidR="00366DD3" w:rsidRPr="003A3374" w:rsidRDefault="00366DD3">
          <w:pPr>
            <w:pStyle w:val="TOC3"/>
            <w:rPr>
              <w:rFonts w:eastAsiaTheme="minorEastAsia" w:cstheme="minorBidi"/>
              <w:noProof/>
              <w:color w:val="auto"/>
              <w:kern w:val="2"/>
              <w:sz w:val="24"/>
              <w:szCs w:val="24"/>
              <w:lang w:eastAsia="zh-CN" w:bidi="he-IL"/>
              <w14:ligatures w14:val="standardContextual"/>
            </w:rPr>
          </w:pPr>
          <w:hyperlink w:anchor="_Toc214545142" w:history="1">
            <w:r w:rsidRPr="003A3374">
              <w:rPr>
                <w:rStyle w:val="Hyperlink"/>
                <w:noProof/>
              </w:rPr>
              <w:t>What does the DRS mean for CCGB?</w:t>
            </w:r>
            <w:r w:rsidRPr="003A3374">
              <w:rPr>
                <w:noProof/>
                <w:webHidden/>
              </w:rPr>
              <w:tab/>
            </w:r>
            <w:r w:rsidRPr="003A3374">
              <w:rPr>
                <w:noProof/>
                <w:webHidden/>
              </w:rPr>
              <w:fldChar w:fldCharType="begin"/>
            </w:r>
            <w:r w:rsidRPr="003A3374">
              <w:rPr>
                <w:noProof/>
                <w:webHidden/>
              </w:rPr>
              <w:instrText xml:space="preserve"> PAGEREF _Toc214545142 \h </w:instrText>
            </w:r>
            <w:r w:rsidRPr="003A3374">
              <w:rPr>
                <w:noProof/>
                <w:webHidden/>
              </w:rPr>
            </w:r>
            <w:r w:rsidRPr="003A3374">
              <w:rPr>
                <w:noProof/>
                <w:webHidden/>
              </w:rPr>
              <w:fldChar w:fldCharType="separate"/>
            </w:r>
            <w:r w:rsidRPr="003A3374">
              <w:rPr>
                <w:noProof/>
                <w:webHidden/>
              </w:rPr>
              <w:t>35</w:t>
            </w:r>
            <w:r w:rsidRPr="003A3374">
              <w:rPr>
                <w:noProof/>
                <w:webHidden/>
              </w:rPr>
              <w:fldChar w:fldCharType="end"/>
            </w:r>
          </w:hyperlink>
        </w:p>
        <w:p w14:paraId="06C356A6" w14:textId="6B116591" w:rsidR="00366DD3" w:rsidRPr="003A3374" w:rsidRDefault="00366DD3">
          <w:pPr>
            <w:pStyle w:val="TOC3"/>
            <w:rPr>
              <w:rFonts w:eastAsiaTheme="minorEastAsia" w:cstheme="minorBidi"/>
              <w:noProof/>
              <w:color w:val="auto"/>
              <w:kern w:val="2"/>
              <w:sz w:val="24"/>
              <w:szCs w:val="24"/>
              <w:lang w:eastAsia="zh-CN" w:bidi="he-IL"/>
              <w14:ligatures w14:val="standardContextual"/>
            </w:rPr>
          </w:pPr>
          <w:hyperlink w:anchor="_Toc214545143" w:history="1">
            <w:r w:rsidRPr="003A3374">
              <w:rPr>
                <w:rStyle w:val="Hyperlink"/>
                <w:noProof/>
              </w:rPr>
              <w:t>Neverending regulation</w:t>
            </w:r>
            <w:r w:rsidRPr="003A3374">
              <w:rPr>
                <w:noProof/>
                <w:webHidden/>
              </w:rPr>
              <w:tab/>
            </w:r>
            <w:r w:rsidRPr="003A3374">
              <w:rPr>
                <w:noProof/>
                <w:webHidden/>
              </w:rPr>
              <w:fldChar w:fldCharType="begin"/>
            </w:r>
            <w:r w:rsidRPr="003A3374">
              <w:rPr>
                <w:noProof/>
                <w:webHidden/>
              </w:rPr>
              <w:instrText xml:space="preserve"> PAGEREF _Toc214545143 \h </w:instrText>
            </w:r>
            <w:r w:rsidRPr="003A3374">
              <w:rPr>
                <w:noProof/>
                <w:webHidden/>
              </w:rPr>
            </w:r>
            <w:r w:rsidRPr="003A3374">
              <w:rPr>
                <w:noProof/>
                <w:webHidden/>
              </w:rPr>
              <w:fldChar w:fldCharType="separate"/>
            </w:r>
            <w:r w:rsidRPr="003A3374">
              <w:rPr>
                <w:noProof/>
                <w:webHidden/>
              </w:rPr>
              <w:t>36</w:t>
            </w:r>
            <w:r w:rsidRPr="003A3374">
              <w:rPr>
                <w:noProof/>
                <w:webHidden/>
              </w:rPr>
              <w:fldChar w:fldCharType="end"/>
            </w:r>
          </w:hyperlink>
        </w:p>
        <w:p w14:paraId="0EDFBFCD" w14:textId="5D0C9D40" w:rsidR="00366DD3" w:rsidRPr="003A3374" w:rsidRDefault="00366DD3">
          <w:pPr>
            <w:pStyle w:val="TOC2"/>
            <w:rPr>
              <w:rFonts w:eastAsiaTheme="minorEastAsia" w:cstheme="minorBidi"/>
              <w:b w:val="0"/>
              <w:noProof/>
              <w:color w:val="auto"/>
              <w:kern w:val="2"/>
              <w:sz w:val="24"/>
              <w:szCs w:val="24"/>
              <w:lang w:eastAsia="zh-CN" w:bidi="he-IL"/>
              <w14:ligatures w14:val="standardContextual"/>
            </w:rPr>
          </w:pPr>
          <w:hyperlink w:anchor="_Toc214545144" w:history="1">
            <w:r w:rsidRPr="003A3374">
              <w:rPr>
                <w:rStyle w:val="Hyperlink"/>
                <w:noProof/>
              </w:rPr>
              <w:t>Updated estimates</w:t>
            </w:r>
            <w:r w:rsidRPr="003A3374">
              <w:rPr>
                <w:noProof/>
                <w:webHidden/>
              </w:rPr>
              <w:tab/>
            </w:r>
            <w:r w:rsidRPr="003A3374">
              <w:rPr>
                <w:noProof/>
                <w:webHidden/>
              </w:rPr>
              <w:fldChar w:fldCharType="begin"/>
            </w:r>
            <w:r w:rsidRPr="003A3374">
              <w:rPr>
                <w:noProof/>
                <w:webHidden/>
              </w:rPr>
              <w:instrText xml:space="preserve"> PAGEREF _Toc214545144 \h </w:instrText>
            </w:r>
            <w:r w:rsidRPr="003A3374">
              <w:rPr>
                <w:noProof/>
                <w:webHidden/>
              </w:rPr>
            </w:r>
            <w:r w:rsidRPr="003A3374">
              <w:rPr>
                <w:noProof/>
                <w:webHidden/>
              </w:rPr>
              <w:fldChar w:fldCharType="separate"/>
            </w:r>
            <w:r w:rsidRPr="003A3374">
              <w:rPr>
                <w:noProof/>
                <w:webHidden/>
              </w:rPr>
              <w:t>38</w:t>
            </w:r>
            <w:r w:rsidRPr="003A3374">
              <w:rPr>
                <w:noProof/>
                <w:webHidden/>
              </w:rPr>
              <w:fldChar w:fldCharType="end"/>
            </w:r>
          </w:hyperlink>
        </w:p>
        <w:p w14:paraId="38CDD65E" w14:textId="48CAB628" w:rsidR="00366DD3" w:rsidRPr="003A3374" w:rsidRDefault="00366DD3">
          <w:pPr>
            <w:pStyle w:val="TOC3"/>
            <w:rPr>
              <w:rFonts w:eastAsiaTheme="minorEastAsia" w:cstheme="minorBidi"/>
              <w:noProof/>
              <w:color w:val="auto"/>
              <w:kern w:val="2"/>
              <w:sz w:val="24"/>
              <w:szCs w:val="24"/>
              <w:lang w:eastAsia="zh-CN" w:bidi="he-IL"/>
              <w14:ligatures w14:val="standardContextual"/>
            </w:rPr>
          </w:pPr>
          <w:hyperlink w:anchor="_Toc214545145" w:history="1">
            <w:r w:rsidRPr="003A3374">
              <w:rPr>
                <w:rStyle w:val="Hyperlink"/>
                <w:noProof/>
              </w:rPr>
              <w:t>No change to our long-term forecasts</w:t>
            </w:r>
            <w:r w:rsidRPr="003A3374">
              <w:rPr>
                <w:noProof/>
                <w:webHidden/>
              </w:rPr>
              <w:tab/>
            </w:r>
            <w:r w:rsidRPr="003A3374">
              <w:rPr>
                <w:noProof/>
                <w:webHidden/>
              </w:rPr>
              <w:fldChar w:fldCharType="begin"/>
            </w:r>
            <w:r w:rsidRPr="003A3374">
              <w:rPr>
                <w:noProof/>
                <w:webHidden/>
              </w:rPr>
              <w:instrText xml:space="preserve"> PAGEREF _Toc214545145 \h </w:instrText>
            </w:r>
            <w:r w:rsidRPr="003A3374">
              <w:rPr>
                <w:noProof/>
                <w:webHidden/>
              </w:rPr>
            </w:r>
            <w:r w:rsidRPr="003A3374">
              <w:rPr>
                <w:noProof/>
                <w:webHidden/>
              </w:rPr>
              <w:fldChar w:fldCharType="separate"/>
            </w:r>
            <w:r w:rsidRPr="003A3374">
              <w:rPr>
                <w:noProof/>
                <w:webHidden/>
              </w:rPr>
              <w:t>39</w:t>
            </w:r>
            <w:r w:rsidRPr="003A3374">
              <w:rPr>
                <w:noProof/>
                <w:webHidden/>
              </w:rPr>
              <w:fldChar w:fldCharType="end"/>
            </w:r>
          </w:hyperlink>
        </w:p>
        <w:p w14:paraId="4BA5A525" w14:textId="571745D8" w:rsidR="00366DD3" w:rsidRPr="003A3374" w:rsidRDefault="00366DD3">
          <w:pPr>
            <w:pStyle w:val="TOC3"/>
            <w:rPr>
              <w:rFonts w:eastAsiaTheme="minorEastAsia" w:cstheme="minorBidi"/>
              <w:noProof/>
              <w:color w:val="auto"/>
              <w:kern w:val="2"/>
              <w:sz w:val="24"/>
              <w:szCs w:val="24"/>
              <w:lang w:eastAsia="zh-CN" w:bidi="he-IL"/>
              <w14:ligatures w14:val="standardContextual"/>
            </w:rPr>
          </w:pPr>
          <w:hyperlink w:anchor="_Toc214545146" w:history="1">
            <w:r w:rsidRPr="003A3374">
              <w:rPr>
                <w:rStyle w:val="Hyperlink"/>
                <w:noProof/>
              </w:rPr>
              <w:t>Changes to forecasts</w:t>
            </w:r>
            <w:r w:rsidRPr="003A3374">
              <w:rPr>
                <w:noProof/>
                <w:webHidden/>
              </w:rPr>
              <w:tab/>
            </w:r>
            <w:r w:rsidRPr="003A3374">
              <w:rPr>
                <w:noProof/>
                <w:webHidden/>
              </w:rPr>
              <w:fldChar w:fldCharType="begin"/>
            </w:r>
            <w:r w:rsidRPr="003A3374">
              <w:rPr>
                <w:noProof/>
                <w:webHidden/>
              </w:rPr>
              <w:instrText xml:space="preserve"> PAGEREF _Toc214545146 \h </w:instrText>
            </w:r>
            <w:r w:rsidRPr="003A3374">
              <w:rPr>
                <w:noProof/>
                <w:webHidden/>
              </w:rPr>
            </w:r>
            <w:r w:rsidRPr="003A3374">
              <w:rPr>
                <w:noProof/>
                <w:webHidden/>
              </w:rPr>
              <w:fldChar w:fldCharType="separate"/>
            </w:r>
            <w:r w:rsidRPr="003A3374">
              <w:rPr>
                <w:noProof/>
                <w:webHidden/>
              </w:rPr>
              <w:t>40</w:t>
            </w:r>
            <w:r w:rsidRPr="003A3374">
              <w:rPr>
                <w:noProof/>
                <w:webHidden/>
              </w:rPr>
              <w:fldChar w:fldCharType="end"/>
            </w:r>
          </w:hyperlink>
        </w:p>
        <w:p w14:paraId="2CBD63D8" w14:textId="3F369D64" w:rsidR="00366DD3" w:rsidRPr="003A3374" w:rsidRDefault="00366DD3">
          <w:pPr>
            <w:pStyle w:val="TOC2"/>
            <w:rPr>
              <w:rFonts w:eastAsiaTheme="minorEastAsia" w:cstheme="minorBidi"/>
              <w:b w:val="0"/>
              <w:noProof/>
              <w:color w:val="auto"/>
              <w:kern w:val="2"/>
              <w:sz w:val="24"/>
              <w:szCs w:val="24"/>
              <w:lang w:eastAsia="zh-CN" w:bidi="he-IL"/>
              <w14:ligatures w14:val="standardContextual"/>
            </w:rPr>
          </w:pPr>
          <w:hyperlink w:anchor="_Toc214545147" w:history="1">
            <w:r w:rsidRPr="003A3374">
              <w:rPr>
                <w:rStyle w:val="Hyperlink"/>
                <w:noProof/>
              </w:rPr>
              <w:t>Valuation</w:t>
            </w:r>
            <w:r w:rsidRPr="003A3374">
              <w:rPr>
                <w:noProof/>
                <w:webHidden/>
              </w:rPr>
              <w:tab/>
            </w:r>
            <w:r w:rsidRPr="003A3374">
              <w:rPr>
                <w:noProof/>
                <w:webHidden/>
              </w:rPr>
              <w:fldChar w:fldCharType="begin"/>
            </w:r>
            <w:r w:rsidRPr="003A3374">
              <w:rPr>
                <w:noProof/>
                <w:webHidden/>
              </w:rPr>
              <w:instrText xml:space="preserve"> PAGEREF _Toc214545147 \h </w:instrText>
            </w:r>
            <w:r w:rsidRPr="003A3374">
              <w:rPr>
                <w:noProof/>
                <w:webHidden/>
              </w:rPr>
            </w:r>
            <w:r w:rsidRPr="003A3374">
              <w:rPr>
                <w:noProof/>
                <w:webHidden/>
              </w:rPr>
              <w:fldChar w:fldCharType="separate"/>
            </w:r>
            <w:r w:rsidRPr="003A3374">
              <w:rPr>
                <w:noProof/>
                <w:webHidden/>
              </w:rPr>
              <w:t>41</w:t>
            </w:r>
            <w:r w:rsidRPr="003A3374">
              <w:rPr>
                <w:noProof/>
                <w:webHidden/>
              </w:rPr>
              <w:fldChar w:fldCharType="end"/>
            </w:r>
          </w:hyperlink>
        </w:p>
        <w:p w14:paraId="29872FC2" w14:textId="78AC226B" w:rsidR="00C5560D" w:rsidRPr="003A3374" w:rsidRDefault="00C5560D">
          <w:r w:rsidRPr="003A3374">
            <w:rPr>
              <w:b/>
              <w:bCs/>
              <w:noProof/>
            </w:rPr>
            <w:fldChar w:fldCharType="end"/>
          </w:r>
        </w:p>
      </w:sdtContent>
    </w:sdt>
    <w:p w14:paraId="550AD26A" w14:textId="77777777" w:rsidR="00C5560D" w:rsidRPr="003A3374" w:rsidRDefault="00C5560D">
      <w:pPr>
        <w:jc w:val="left"/>
        <w:rPr>
          <w:rFonts w:asciiTheme="majorHAnsi" w:hAnsiTheme="majorHAnsi"/>
          <w:b/>
          <w:color w:val="1C355E" w:themeColor="text2"/>
          <w:sz w:val="24"/>
        </w:rPr>
      </w:pPr>
      <w:r w:rsidRPr="003A3374">
        <w:br w:type="page"/>
      </w:r>
    </w:p>
    <w:p w14:paraId="13139AC8" w14:textId="76B9E81F" w:rsidR="00156819" w:rsidRPr="003A3374" w:rsidRDefault="00B548EB" w:rsidP="009B5BCF">
      <w:pPr>
        <w:pStyle w:val="Heading10"/>
      </w:pPr>
      <w:bookmarkStart w:id="8" w:name="_Toc214545119"/>
      <w:r w:rsidRPr="003A3374">
        <w:lastRenderedPageBreak/>
        <w:t>Brief British h</w:t>
      </w:r>
      <w:r w:rsidR="00D758DC" w:rsidRPr="003A3374">
        <w:t>istory</w:t>
      </w:r>
      <w:bookmarkEnd w:id="8"/>
    </w:p>
    <w:p w14:paraId="4713C593" w14:textId="2004AE28" w:rsidR="00157C1C" w:rsidRPr="003A3374" w:rsidRDefault="00157C1C" w:rsidP="00C565EC">
      <w:pPr>
        <w:pStyle w:val="BodyText"/>
      </w:pPr>
      <w:r w:rsidRPr="003A3374">
        <w:t>Great Britain has a longstanding affinity towards soft drinks</w:t>
      </w:r>
      <w:r w:rsidR="00D20B51" w:rsidRPr="003A3374">
        <w:t>, starting with the arrival of</w:t>
      </w:r>
      <w:r w:rsidRPr="003A3374">
        <w:t xml:space="preserve"> cordials from Italy in the 15</w:t>
      </w:r>
      <w:r w:rsidRPr="003A3374">
        <w:rPr>
          <w:vertAlign w:val="superscript"/>
        </w:rPr>
        <w:t>th</w:t>
      </w:r>
      <w:r w:rsidRPr="003A3374">
        <w:t xml:space="preserve"> century. In 1767, British </w:t>
      </w:r>
      <w:r w:rsidR="00AC1E14" w:rsidRPr="003A3374">
        <w:t>chemist</w:t>
      </w:r>
      <w:r w:rsidRPr="003A3374">
        <w:t xml:space="preserve"> Joseph Priestly discover</w:t>
      </w:r>
      <w:r w:rsidR="00E52128" w:rsidRPr="003A3374">
        <w:t>ed</w:t>
      </w:r>
      <w:r w:rsidRPr="003A3374">
        <w:t xml:space="preserve"> a process for carbonating water that he published in a 1772 paper </w:t>
      </w:r>
      <w:r w:rsidR="00941DB4" w:rsidRPr="003A3374">
        <w:rPr>
          <w:i/>
          <w:iCs/>
        </w:rPr>
        <w:t>Directions for</w:t>
      </w:r>
      <w:r w:rsidR="00941DB4" w:rsidRPr="003A3374">
        <w:t xml:space="preserve"> </w:t>
      </w:r>
      <w:r w:rsidRPr="003A3374">
        <w:rPr>
          <w:i/>
          <w:iCs/>
        </w:rPr>
        <w:t>Impregnating Water with Fixed Air</w:t>
      </w:r>
      <w:r w:rsidRPr="003A3374">
        <w:t xml:space="preserve">. </w:t>
      </w:r>
      <w:r w:rsidR="00AC1E14" w:rsidRPr="003A3374">
        <w:t>Building on Priestly’s work, a young Swiss watchmaker named Johann Jacob Schweppe developed the first commercial process for producing carbonated mineral water in Geneva in 1783</w:t>
      </w:r>
      <w:r w:rsidR="001C7AAE" w:rsidRPr="003A3374">
        <w:t>. His new company – Schweppes Company – expanded in</w:t>
      </w:r>
      <w:r w:rsidR="00AC1E14" w:rsidRPr="003A3374">
        <w:t>to Great Britain in 1792</w:t>
      </w:r>
      <w:r w:rsidR="001C7AAE" w:rsidRPr="003A3374">
        <w:t>, producing soda water</w:t>
      </w:r>
      <w:r w:rsidR="00634DC0" w:rsidRPr="003A3374">
        <w:t xml:space="preserve"> for medicinal purposes </w:t>
      </w:r>
      <w:r w:rsidR="001C7AAE" w:rsidRPr="003A3374">
        <w:t>at a small factory on D</w:t>
      </w:r>
      <w:r w:rsidR="00CD6BF7" w:rsidRPr="003A3374">
        <w:t>r</w:t>
      </w:r>
      <w:r w:rsidR="001C7AAE" w:rsidRPr="003A3374">
        <w:t>ury Lane in London.</w:t>
      </w:r>
      <w:r w:rsidR="00634DC0" w:rsidRPr="003A3374">
        <w:t xml:space="preserve"> In 1835, Schweppes Company launched a lemonade, kickstarting a wave of copycat competitors (e.g. R White’s in 1845, now part of Britvic), before expanding into ginger ale (1870) and</w:t>
      </w:r>
      <w:r w:rsidR="000472E2" w:rsidRPr="003A3374">
        <w:t xml:space="preserve"> the eponymous</w:t>
      </w:r>
      <w:r w:rsidR="00634DC0" w:rsidRPr="003A3374">
        <w:t xml:space="preserve"> tonic water (1871).</w:t>
      </w:r>
    </w:p>
    <w:p w14:paraId="489DDE78" w14:textId="5BCF4FD7" w:rsidR="00284B78" w:rsidRPr="003A3374" w:rsidRDefault="004F45D5" w:rsidP="00900E46">
      <w:pPr>
        <w:pStyle w:val="BodyText"/>
      </w:pPr>
      <w:r w:rsidRPr="003A3374">
        <w:t>Coca-Cola was</w:t>
      </w:r>
      <w:r w:rsidR="00900E46" w:rsidRPr="003A3374">
        <w:t xml:space="preserve"> a relative latecomer,</w:t>
      </w:r>
      <w:r w:rsidRPr="003A3374">
        <w:t xml:space="preserve"> first introduced to Great Britain in 1900</w:t>
      </w:r>
      <w:r w:rsidR="00370D48" w:rsidRPr="003A3374">
        <w:t xml:space="preserve"> by the son of Asa Candler (who incorporated </w:t>
      </w:r>
      <w:r w:rsidR="00370D48" w:rsidRPr="003A3374">
        <w:rPr>
          <w:i/>
          <w:iCs/>
        </w:rPr>
        <w:t>The</w:t>
      </w:r>
      <w:r w:rsidR="00370D48" w:rsidRPr="003A3374">
        <w:t xml:space="preserve"> Coca-Cola Company (TCCC) in 1892)</w:t>
      </w:r>
      <w:r w:rsidR="00C85176" w:rsidRPr="003A3374">
        <w:t xml:space="preserve"> and sold in Spence’s Department store next to St Paul’s Cathedral</w:t>
      </w:r>
      <w:r w:rsidR="00370D48" w:rsidRPr="003A3374">
        <w:t>.</w:t>
      </w:r>
      <w:r w:rsidR="00900E46" w:rsidRPr="003A3374">
        <w:t xml:space="preserve"> </w:t>
      </w:r>
      <w:r w:rsidR="00CB5199" w:rsidRPr="003A3374">
        <w:t xml:space="preserve">Local </w:t>
      </w:r>
      <w:r w:rsidR="00930EF4" w:rsidRPr="003A3374">
        <w:t>Coca-Cola</w:t>
      </w:r>
      <w:r w:rsidR="009F4E1C" w:rsidRPr="003A3374">
        <w:t xml:space="preserve"> bottling </w:t>
      </w:r>
      <w:r w:rsidR="00CB5199" w:rsidRPr="003A3374">
        <w:t xml:space="preserve">began </w:t>
      </w:r>
      <w:r w:rsidR="005D7A35" w:rsidRPr="003A3374">
        <w:t xml:space="preserve">in Brighton in 1932 and </w:t>
      </w:r>
      <w:r w:rsidR="00934261" w:rsidRPr="003A3374">
        <w:t xml:space="preserve">1,250 cases were sold in the first year of operation. This rapidly rose to </w:t>
      </w:r>
      <w:r w:rsidR="00C11CBA" w:rsidRPr="003A3374">
        <w:t>seven</w:t>
      </w:r>
      <w:r w:rsidR="00934261" w:rsidRPr="003A3374">
        <w:t xml:space="preserve"> plants selling 90,000 cases by the end of </w:t>
      </w:r>
      <w:r w:rsidR="00CC68A5" w:rsidRPr="003A3374">
        <w:t xml:space="preserve">the Second </w:t>
      </w:r>
      <w:r w:rsidR="00934261" w:rsidRPr="003A3374">
        <w:t>World War</w:t>
      </w:r>
      <w:r w:rsidR="005D7A35" w:rsidRPr="003A3374">
        <w:t>,</w:t>
      </w:r>
      <w:r w:rsidR="00691587" w:rsidRPr="003A3374">
        <w:t xml:space="preserve"> but </w:t>
      </w:r>
      <w:r w:rsidR="00934261" w:rsidRPr="003A3374">
        <w:t xml:space="preserve">over the following decades </w:t>
      </w:r>
      <w:r w:rsidR="00CB5199" w:rsidRPr="003A3374">
        <w:t xml:space="preserve">the </w:t>
      </w:r>
      <w:r w:rsidR="002A00DB" w:rsidRPr="003A3374">
        <w:t xml:space="preserve">British </w:t>
      </w:r>
      <w:r w:rsidR="00CB5199" w:rsidRPr="003A3374">
        <w:t xml:space="preserve">network </w:t>
      </w:r>
      <w:r w:rsidR="00934261" w:rsidRPr="003A3374">
        <w:t>remained</w:t>
      </w:r>
      <w:r w:rsidR="009F4E1C" w:rsidRPr="003A3374">
        <w:t xml:space="preserve"> </w:t>
      </w:r>
      <w:r w:rsidR="00930EF4" w:rsidRPr="003A3374">
        <w:t xml:space="preserve">fragmented and </w:t>
      </w:r>
      <w:r w:rsidR="00C337AB" w:rsidRPr="003A3374">
        <w:t xml:space="preserve">Coca-Cola </w:t>
      </w:r>
      <w:r w:rsidR="00934261" w:rsidRPr="003A3374">
        <w:t xml:space="preserve">bottling was </w:t>
      </w:r>
      <w:r w:rsidR="009F4E1C" w:rsidRPr="003A3374">
        <w:t>performed by</w:t>
      </w:r>
      <w:r w:rsidR="00930EF4" w:rsidRPr="003A3374">
        <w:t xml:space="preserve"> partners that were not focused on soft drinks, such as</w:t>
      </w:r>
      <w:r w:rsidR="009F4E1C" w:rsidRPr="003A3374">
        <w:t xml:space="preserve"> Grand Metropolitan (now Diageo (Neutral rated)). </w:t>
      </w:r>
      <w:r w:rsidR="00C337AB" w:rsidRPr="003A3374">
        <w:t>Paired with an increasingly competitive local market</w:t>
      </w:r>
      <w:r w:rsidR="008C3016" w:rsidRPr="003A3374">
        <w:t xml:space="preserve">, </w:t>
      </w:r>
      <w:r w:rsidR="00C337AB" w:rsidRPr="003A3374">
        <w:t xml:space="preserve">this meant that </w:t>
      </w:r>
      <w:r w:rsidR="008C3016" w:rsidRPr="003A3374">
        <w:t xml:space="preserve">per capita consumption </w:t>
      </w:r>
      <w:r w:rsidR="00CD7BF4" w:rsidRPr="003A3374">
        <w:t xml:space="preserve">of TCCC’s beverages </w:t>
      </w:r>
      <w:r w:rsidR="008C3016" w:rsidRPr="003A3374">
        <w:t>in Great Britain remained low</w:t>
      </w:r>
      <w:r w:rsidR="00284B78" w:rsidRPr="003A3374">
        <w:t>.</w:t>
      </w:r>
    </w:p>
    <w:p w14:paraId="7328F337" w14:textId="1CC6ACF4" w:rsidR="00930EF4" w:rsidRPr="003A3374" w:rsidRDefault="00284B78" w:rsidP="00945CC1">
      <w:pPr>
        <w:pStyle w:val="BodyText"/>
      </w:pPr>
      <w:r w:rsidRPr="003A3374">
        <w:t>In 1981,</w:t>
      </w:r>
      <w:r w:rsidR="008C3016" w:rsidRPr="003A3374">
        <w:t xml:space="preserve"> </w:t>
      </w:r>
      <w:r w:rsidR="00CD7BF4" w:rsidRPr="003A3374">
        <w:t xml:space="preserve">Roberto Goizueta </w:t>
      </w:r>
      <w:r w:rsidRPr="003A3374">
        <w:t xml:space="preserve">was appointed CEO of </w:t>
      </w:r>
      <w:r w:rsidR="00CD7BF4" w:rsidRPr="003A3374">
        <w:t>TCCC</w:t>
      </w:r>
      <w:r w:rsidR="00945CC1" w:rsidRPr="003A3374">
        <w:t xml:space="preserve">. One of his many legacies was strengthening TCCC’s </w:t>
      </w:r>
      <w:r w:rsidRPr="003A3374">
        <w:t xml:space="preserve">international </w:t>
      </w:r>
      <w:r w:rsidR="00945CC1" w:rsidRPr="003A3374">
        <w:t xml:space="preserve">business and at the time Great Britain was an outlier – despite </w:t>
      </w:r>
      <w:r w:rsidR="00C95F24" w:rsidRPr="003A3374">
        <w:t xml:space="preserve">the territory’s </w:t>
      </w:r>
      <w:r w:rsidR="00945CC1" w:rsidRPr="003A3374">
        <w:t xml:space="preserve">soft drinks heritage, </w:t>
      </w:r>
      <w:r w:rsidR="00C95F24" w:rsidRPr="003A3374">
        <w:t xml:space="preserve">Great Britain’s </w:t>
      </w:r>
      <w:r w:rsidR="00CD7BF4" w:rsidRPr="003A3374">
        <w:t xml:space="preserve">per capita consumption </w:t>
      </w:r>
      <w:r w:rsidR="00DA5FB1" w:rsidRPr="003A3374">
        <w:t xml:space="preserve">was </w:t>
      </w:r>
      <w:r w:rsidR="00B763AB" w:rsidRPr="003A3374">
        <w:t>below</w:t>
      </w:r>
      <w:r w:rsidR="00DA5FB1" w:rsidRPr="003A3374">
        <w:t xml:space="preserve"> </w:t>
      </w:r>
      <w:r w:rsidR="00764576" w:rsidRPr="003A3374">
        <w:t xml:space="preserve">both </w:t>
      </w:r>
      <w:r w:rsidR="00DA5FB1" w:rsidRPr="003A3374">
        <w:t>the world average</w:t>
      </w:r>
      <w:r w:rsidR="00945CC1" w:rsidRPr="003A3374">
        <w:t xml:space="preserve"> </w:t>
      </w:r>
      <w:r w:rsidR="00DA5FB1" w:rsidRPr="003A3374">
        <w:t xml:space="preserve">and </w:t>
      </w:r>
      <w:r w:rsidR="00945CC1" w:rsidRPr="003A3374">
        <w:t>other Anglospher</w:t>
      </w:r>
      <w:r w:rsidR="00202DF7" w:rsidRPr="003A3374">
        <w:t>e</w:t>
      </w:r>
      <w:r w:rsidR="00DA5FB1" w:rsidRPr="003A3374">
        <w:t xml:space="preserve"> markets like the US and Australia (</w:t>
      </w:r>
      <w:r w:rsidR="00D20B51" w:rsidRPr="003A3374">
        <w:t>Fig </w:t>
      </w:r>
      <w:r w:rsidR="00D20B51" w:rsidRPr="003A3374">
        <w:fldChar w:fldCharType="begin"/>
      </w:r>
      <w:r w:rsidR="00D20B51" w:rsidRPr="003A3374">
        <w:instrText xml:space="preserve"> REF LINK_079511 \h </w:instrText>
      </w:r>
      <w:r w:rsidR="00D20B51" w:rsidRPr="003A3374">
        <w:fldChar w:fldCharType="separate"/>
      </w:r>
      <w:r w:rsidR="006A4635" w:rsidRPr="003A3374">
        <w:rPr>
          <w:noProof/>
        </w:rPr>
        <w:t>3</w:t>
      </w:r>
      <w:r w:rsidR="00D20B51" w:rsidRPr="003A3374">
        <w:fldChar w:fldCharType="end"/>
      </w:r>
      <w:r w:rsidR="00DA5FB1" w:rsidRPr="003A3374">
        <w:t>).</w:t>
      </w:r>
      <w:r w:rsidR="008C3016" w:rsidRPr="003A3374">
        <w:t xml:space="preserve"> </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E83CCD" w:rsidRPr="003A3374" w14:paraId="307FC991" w14:textId="77777777" w:rsidTr="00691587">
        <w:trPr>
          <w:cantSplit/>
          <w:tblHeader/>
        </w:trPr>
        <w:tc>
          <w:tcPr>
            <w:tcW w:w="7653" w:type="dxa"/>
            <w:tcBorders>
              <w:bottom w:val="single" w:sz="8" w:space="0" w:color="000000" w:themeColor="text1"/>
            </w:tcBorders>
            <w:vAlign w:val="bottom"/>
          </w:tcPr>
          <w:p w14:paraId="56C0761B" w14:textId="2F4F9D3E" w:rsidR="00E83CCD" w:rsidRPr="003A3374" w:rsidRDefault="00E83CCD" w:rsidP="00E83CCD">
            <w:pPr>
              <w:pStyle w:val="TableTitle"/>
            </w:pPr>
            <w:bookmarkStart w:id="9" w:name="PH_1_4_1_066493"/>
            <w:r w:rsidRPr="003A3374">
              <w:t xml:space="preserve">Fig </w:t>
            </w:r>
            <w:bookmarkStart w:id="10" w:name="LINK_079511"/>
            <w:r w:rsidRPr="003A3374">
              <w:fldChar w:fldCharType="begin"/>
            </w:r>
            <w:r w:rsidRPr="003A3374">
              <w:instrText xml:space="preserve"> SEQ Fig </w:instrText>
            </w:r>
            <w:r w:rsidRPr="003A3374">
              <w:fldChar w:fldCharType="separate"/>
            </w:r>
            <w:r w:rsidR="006A4635" w:rsidRPr="003A3374">
              <w:rPr>
                <w:noProof/>
              </w:rPr>
              <w:t>3</w:t>
            </w:r>
            <w:r w:rsidRPr="003A3374">
              <w:fldChar w:fldCharType="end"/>
            </w:r>
            <w:bookmarkEnd w:id="10"/>
            <w:r w:rsidRPr="003A3374">
              <w:t xml:space="preserve">: </w:t>
            </w:r>
            <w:r w:rsidR="00A841BE" w:rsidRPr="003A3374">
              <w:t>Late British bloomer</w:t>
            </w:r>
          </w:p>
        </w:tc>
      </w:tr>
      <w:tr w:rsidR="00E83CCD" w:rsidRPr="003A3374" w14:paraId="7C2B6592" w14:textId="77777777" w:rsidTr="00691587">
        <w:trPr>
          <w:cantSplit/>
        </w:trPr>
        <w:tc>
          <w:tcPr>
            <w:tcW w:w="7653" w:type="dxa"/>
            <w:tcBorders>
              <w:top w:val="single" w:sz="8" w:space="0" w:color="000000" w:themeColor="text1"/>
              <w:bottom w:val="single" w:sz="8" w:space="0" w:color="000000" w:themeColor="text1"/>
            </w:tcBorders>
          </w:tcPr>
          <w:p w14:paraId="31649EC3" w14:textId="6169BC6D" w:rsidR="00E83CCD" w:rsidRPr="003A3374" w:rsidRDefault="00E83CCD" w:rsidP="00E83CCD">
            <w:pPr>
              <w:pStyle w:val="Tableplaceholder"/>
            </w:pPr>
            <w:r w:rsidRPr="003A3374">
              <w:rPr>
                <w:noProof/>
              </w:rPr>
              <w:drawing>
                <wp:inline distT="0" distB="0" distL="0" distR="0" wp14:anchorId="5FAFB88F" wp14:editId="68E98394">
                  <wp:extent cx="4860290" cy="2156460"/>
                  <wp:effectExtent l="0" t="0" r="0" b="0"/>
                  <wp:docPr id="1371854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60290" cy="2156460"/>
                          </a:xfrm>
                          <a:prstGeom prst="rect">
                            <a:avLst/>
                          </a:prstGeom>
                          <a:noFill/>
                          <a:ln>
                            <a:noFill/>
                          </a:ln>
                        </pic:spPr>
                      </pic:pic>
                    </a:graphicData>
                  </a:graphic>
                </wp:inline>
              </w:drawing>
            </w:r>
          </w:p>
        </w:tc>
      </w:tr>
      <w:tr w:rsidR="00E83CCD" w:rsidRPr="003A3374" w14:paraId="03BD4973" w14:textId="77777777" w:rsidTr="00691587">
        <w:trPr>
          <w:cantSplit/>
        </w:trPr>
        <w:tc>
          <w:tcPr>
            <w:tcW w:w="7653" w:type="dxa"/>
            <w:tcBorders>
              <w:top w:val="single" w:sz="8" w:space="0" w:color="000000" w:themeColor="text1"/>
            </w:tcBorders>
          </w:tcPr>
          <w:p w14:paraId="27E47DDD" w14:textId="31E8A144" w:rsidR="00E83CCD" w:rsidRPr="003A3374" w:rsidRDefault="00E83CCD" w:rsidP="00E83CCD">
            <w:pPr>
              <w:pStyle w:val="TableSource"/>
            </w:pPr>
            <w:r w:rsidRPr="003A3374">
              <w:t>Source: Rothschild &amp; Co Redburn, UN</w:t>
            </w:r>
          </w:p>
        </w:tc>
      </w:tr>
      <w:bookmarkEnd w:id="9"/>
    </w:tbl>
    <w:p w14:paraId="0FB7832B" w14:textId="77777777" w:rsidR="00E83CCD" w:rsidRPr="003A3374" w:rsidRDefault="00E83CCD" w:rsidP="00694885">
      <w:pPr>
        <w:pStyle w:val="Tablespaceafter"/>
      </w:pPr>
    </w:p>
    <w:p w14:paraId="2169B451" w14:textId="5A39DBEC" w:rsidR="00EF6041" w:rsidRPr="003A3374" w:rsidRDefault="00691587" w:rsidP="00DA1C67">
      <w:pPr>
        <w:pStyle w:val="BodyText"/>
      </w:pPr>
      <w:r w:rsidRPr="003A3374">
        <w:t xml:space="preserve">This presented </w:t>
      </w:r>
      <w:r w:rsidR="00A05B21" w:rsidRPr="003A3374">
        <w:t xml:space="preserve">TCCC with </w:t>
      </w:r>
      <w:r w:rsidRPr="003A3374">
        <w:t xml:space="preserve">a clear </w:t>
      </w:r>
      <w:r w:rsidR="00A05B21" w:rsidRPr="003A3374">
        <w:t xml:space="preserve">growth </w:t>
      </w:r>
      <w:r w:rsidRPr="003A3374">
        <w:t>opportunity and o</w:t>
      </w:r>
      <w:r w:rsidR="002C11AE" w:rsidRPr="003A3374">
        <w:t>n 1 June 1984</w:t>
      </w:r>
      <w:r w:rsidR="00A05B21" w:rsidRPr="003A3374">
        <w:t xml:space="preserve"> it </w:t>
      </w:r>
      <w:r w:rsidR="002C11AE" w:rsidRPr="003A3374">
        <w:t xml:space="preserve">acquired Grand Metropolitan’s Coca-Cola bottling business </w:t>
      </w:r>
      <w:r w:rsidR="00477FCC" w:rsidRPr="003A3374">
        <w:t xml:space="preserve">and </w:t>
      </w:r>
      <w:r w:rsidR="004E0006" w:rsidRPr="003A3374">
        <w:t>then</w:t>
      </w:r>
      <w:r w:rsidR="00477FCC" w:rsidRPr="003A3374">
        <w:t xml:space="preserve"> began </w:t>
      </w:r>
      <w:r w:rsidR="00B2679E" w:rsidRPr="003A3374">
        <w:t xml:space="preserve">consolidating the bottling </w:t>
      </w:r>
      <w:r w:rsidR="00B6698C" w:rsidRPr="003A3374">
        <w:t>network</w:t>
      </w:r>
      <w:r w:rsidR="00B2679E" w:rsidRPr="003A3374">
        <w:t xml:space="preserve"> in Great Britain</w:t>
      </w:r>
      <w:r w:rsidR="00477FCC" w:rsidRPr="003A3374">
        <w:t xml:space="preserve"> into a single bottler</w:t>
      </w:r>
      <w:r w:rsidR="00DA1C67" w:rsidRPr="003A3374">
        <w:t xml:space="preserve"> – Amalgamated Beverages</w:t>
      </w:r>
      <w:r w:rsidR="00477FCC" w:rsidRPr="003A3374">
        <w:t>.</w:t>
      </w:r>
    </w:p>
    <w:p w14:paraId="23331F81" w14:textId="3D122861" w:rsidR="00CD46AA" w:rsidRPr="003A3374" w:rsidRDefault="003C12CB" w:rsidP="001F3105">
      <w:pPr>
        <w:pStyle w:val="BodyText"/>
      </w:pPr>
      <w:r w:rsidRPr="003A3374">
        <w:lastRenderedPageBreak/>
        <w:t>I</w:t>
      </w:r>
      <w:r w:rsidR="00EF6041" w:rsidRPr="003A3374">
        <w:t>n</w:t>
      </w:r>
      <w:r w:rsidR="008307DF" w:rsidRPr="003A3374">
        <w:t xml:space="preserve"> January 1987</w:t>
      </w:r>
      <w:r w:rsidR="00DA1C67" w:rsidRPr="003A3374">
        <w:t>,</w:t>
      </w:r>
      <w:r w:rsidR="008307DF" w:rsidRPr="003A3374">
        <w:t xml:space="preserve"> </w:t>
      </w:r>
      <w:r w:rsidR="00DA1C67" w:rsidRPr="003A3374">
        <w:t xml:space="preserve">TCCC merged Amalgamated Beverages with the UK soft drinks business of </w:t>
      </w:r>
      <w:r w:rsidR="008307DF" w:rsidRPr="003A3374">
        <w:t>Cadbury Schweppes plc</w:t>
      </w:r>
      <w:r w:rsidR="00797253" w:rsidRPr="003A3374">
        <w:t xml:space="preserve"> (Cadbury merged with Schweppes in 1969)</w:t>
      </w:r>
      <w:r w:rsidR="00EF6041" w:rsidRPr="003A3374">
        <w:t xml:space="preserve">, forming </w:t>
      </w:r>
      <w:r w:rsidR="008307DF" w:rsidRPr="003A3374">
        <w:t xml:space="preserve">a joint venture called </w:t>
      </w:r>
      <w:r w:rsidR="00477FCC" w:rsidRPr="003A3374">
        <w:t>Coca-Cola &amp; Schweppes Beverages (CCSB)</w:t>
      </w:r>
      <w:r w:rsidR="00AC49A1" w:rsidRPr="003A3374">
        <w:t xml:space="preserve"> (Fig </w:t>
      </w:r>
      <w:r w:rsidR="00AC49A1" w:rsidRPr="003A3374">
        <w:fldChar w:fldCharType="begin"/>
      </w:r>
      <w:r w:rsidR="00AC49A1" w:rsidRPr="003A3374">
        <w:instrText xml:space="preserve"> REF LINK_073671 \h </w:instrText>
      </w:r>
      <w:r w:rsidR="00AC49A1" w:rsidRPr="003A3374">
        <w:fldChar w:fldCharType="separate"/>
      </w:r>
      <w:r w:rsidR="006A4635" w:rsidRPr="003A3374">
        <w:rPr>
          <w:noProof/>
        </w:rPr>
        <w:t>4</w:t>
      </w:r>
      <w:r w:rsidR="00AC49A1" w:rsidRPr="003A3374">
        <w:fldChar w:fldCharType="end"/>
      </w:r>
      <w:r w:rsidR="00AC49A1" w:rsidRPr="003A3374">
        <w:t>)</w:t>
      </w:r>
      <w:r w:rsidR="00B56EE6" w:rsidRPr="003A3374">
        <w:t xml:space="preserve">. This </w:t>
      </w:r>
      <w:r w:rsidR="00FC41C5" w:rsidRPr="003A3374">
        <w:t xml:space="preserve">combined the Coca-Cola portfolio with </w:t>
      </w:r>
      <w:r w:rsidR="00A423F3" w:rsidRPr="003A3374">
        <w:t xml:space="preserve">the Schweppes brand, </w:t>
      </w:r>
      <w:r w:rsidR="00EF6041" w:rsidRPr="003A3374">
        <w:t xml:space="preserve">Appletiser, </w:t>
      </w:r>
      <w:r w:rsidR="00E90F99" w:rsidRPr="003A3374">
        <w:t xml:space="preserve">Oasis, Capri-Sun, </w:t>
      </w:r>
      <w:r w:rsidR="00A423F3" w:rsidRPr="003A3374">
        <w:t>Rose</w:t>
      </w:r>
      <w:r w:rsidR="003E6CB1" w:rsidRPr="003A3374">
        <w:t>’</w:t>
      </w:r>
      <w:r w:rsidR="00A423F3" w:rsidRPr="003A3374">
        <w:t>s cordials and Kia-Ora</w:t>
      </w:r>
      <w:r w:rsidR="00500175" w:rsidRPr="003A3374">
        <w:t>.</w:t>
      </w:r>
      <w:r w:rsidR="00553DBB" w:rsidRPr="003A3374">
        <w:t xml:space="preserve"> </w:t>
      </w:r>
    </w:p>
    <w:p w14:paraId="126AD5EC" w14:textId="34C9223C" w:rsidR="001F3105" w:rsidRPr="003A3374" w:rsidRDefault="00864FFD" w:rsidP="001F3105">
      <w:pPr>
        <w:pStyle w:val="BodyText"/>
      </w:pPr>
      <w:r w:rsidRPr="003A3374">
        <w:t>CCSB accounted for one-third of total UK soft drinks market volumes in 1987 and its formation transformed the UK soft drinks market.</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C17F72" w:rsidRPr="003A3374" w14:paraId="2C3AE67C" w14:textId="77777777" w:rsidTr="00671A63">
        <w:trPr>
          <w:cantSplit/>
          <w:tblHeader/>
        </w:trPr>
        <w:tc>
          <w:tcPr>
            <w:tcW w:w="7653" w:type="dxa"/>
            <w:tcBorders>
              <w:bottom w:val="single" w:sz="8" w:space="0" w:color="000000" w:themeColor="text1"/>
            </w:tcBorders>
            <w:vAlign w:val="bottom"/>
          </w:tcPr>
          <w:p w14:paraId="56984FD1" w14:textId="169F4D3A" w:rsidR="00C17F72" w:rsidRPr="003A3374" w:rsidRDefault="00C17F72" w:rsidP="00671A63">
            <w:pPr>
              <w:pStyle w:val="TableTitle"/>
            </w:pPr>
            <w:r w:rsidRPr="003A3374">
              <w:t xml:space="preserve">Fig </w:t>
            </w:r>
            <w:bookmarkStart w:id="11" w:name="LINK_073671"/>
            <w:r w:rsidRPr="003A3374">
              <w:fldChar w:fldCharType="begin"/>
            </w:r>
            <w:r w:rsidRPr="003A3374">
              <w:instrText xml:space="preserve"> SEQ Fig </w:instrText>
            </w:r>
            <w:r w:rsidRPr="003A3374">
              <w:fldChar w:fldCharType="separate"/>
            </w:r>
            <w:r w:rsidR="006A4635" w:rsidRPr="003A3374">
              <w:rPr>
                <w:noProof/>
              </w:rPr>
              <w:t>4</w:t>
            </w:r>
            <w:r w:rsidRPr="003A3374">
              <w:fldChar w:fldCharType="end"/>
            </w:r>
            <w:bookmarkEnd w:id="11"/>
            <w:r w:rsidRPr="003A3374">
              <w:t xml:space="preserve">: </w:t>
            </w:r>
            <w:r w:rsidR="003E6CB1" w:rsidRPr="003A3374">
              <w:t>Great Britain sales have grown at a c5% CAGR since 1987</w:t>
            </w:r>
          </w:p>
        </w:tc>
      </w:tr>
      <w:tr w:rsidR="00C17F72" w:rsidRPr="003A3374" w14:paraId="6D14C380" w14:textId="77777777" w:rsidTr="00671A63">
        <w:trPr>
          <w:cantSplit/>
        </w:trPr>
        <w:tc>
          <w:tcPr>
            <w:tcW w:w="7653" w:type="dxa"/>
            <w:tcBorders>
              <w:top w:val="single" w:sz="8" w:space="0" w:color="000000" w:themeColor="text1"/>
              <w:bottom w:val="single" w:sz="8" w:space="0" w:color="000000" w:themeColor="text1"/>
            </w:tcBorders>
          </w:tcPr>
          <w:p w14:paraId="6AA8E98D" w14:textId="202ACE94" w:rsidR="00C17F72" w:rsidRPr="003A3374" w:rsidRDefault="007D010B" w:rsidP="00671A63">
            <w:pPr>
              <w:pStyle w:val="Tableplaceholder"/>
            </w:pPr>
            <w:r w:rsidRPr="003A3374">
              <w:rPr>
                <w:noProof/>
              </w:rPr>
              <w:drawing>
                <wp:inline distT="0" distB="0" distL="0" distR="0" wp14:anchorId="1622F956" wp14:editId="2A1C7114">
                  <wp:extent cx="4859655" cy="2155825"/>
                  <wp:effectExtent l="0" t="0" r="0" b="0"/>
                  <wp:docPr id="178883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59655" cy="2155825"/>
                          </a:xfrm>
                          <a:prstGeom prst="rect">
                            <a:avLst/>
                          </a:prstGeom>
                          <a:noFill/>
                          <a:ln>
                            <a:noFill/>
                          </a:ln>
                        </pic:spPr>
                      </pic:pic>
                    </a:graphicData>
                  </a:graphic>
                </wp:inline>
              </w:drawing>
            </w:r>
          </w:p>
        </w:tc>
      </w:tr>
      <w:tr w:rsidR="00C17F72" w:rsidRPr="003A3374" w14:paraId="313BAFCC" w14:textId="77777777" w:rsidTr="00671A63">
        <w:trPr>
          <w:cantSplit/>
        </w:trPr>
        <w:tc>
          <w:tcPr>
            <w:tcW w:w="7653" w:type="dxa"/>
            <w:tcBorders>
              <w:top w:val="single" w:sz="8" w:space="0" w:color="000000" w:themeColor="text1"/>
            </w:tcBorders>
          </w:tcPr>
          <w:p w14:paraId="509CFA50" w14:textId="77777777" w:rsidR="00C17F72" w:rsidRPr="003A3374" w:rsidRDefault="00C17F72" w:rsidP="00671A63">
            <w:pPr>
              <w:pStyle w:val="TableSource"/>
            </w:pPr>
            <w:r w:rsidRPr="003A3374">
              <w:t>Source: Rothschild &amp; Co Redburn, company</w:t>
            </w:r>
          </w:p>
        </w:tc>
      </w:tr>
    </w:tbl>
    <w:p w14:paraId="791CF07B" w14:textId="77777777" w:rsidR="00B771A4" w:rsidRPr="003A3374" w:rsidRDefault="00B771A4" w:rsidP="009B5BCF">
      <w:pPr>
        <w:pStyle w:val="Heading20"/>
      </w:pPr>
      <w:bookmarkStart w:id="12" w:name="_Toc214545120"/>
      <w:r w:rsidRPr="003A3374">
        <w:t>Disrupting the competitor</w:t>
      </w:r>
      <w:bookmarkEnd w:id="12"/>
    </w:p>
    <w:p w14:paraId="007CF8A7" w14:textId="332C4B00" w:rsidR="00DF0B03" w:rsidRPr="003A3374" w:rsidRDefault="00B771A4" w:rsidP="0009566A">
      <w:pPr>
        <w:pStyle w:val="BodyText"/>
      </w:pPr>
      <w:r w:rsidRPr="003A3374">
        <w:t xml:space="preserve">Cadbury Schweppes </w:t>
      </w:r>
      <w:r w:rsidR="00DB33C6" w:rsidRPr="003A3374">
        <w:t>had been</w:t>
      </w:r>
      <w:r w:rsidRPr="003A3374">
        <w:t xml:space="preserve"> a Pepsi bottler for over </w:t>
      </w:r>
      <w:r w:rsidR="0062670E" w:rsidRPr="003A3374">
        <w:t>20 years</w:t>
      </w:r>
      <w:r w:rsidRPr="003A3374">
        <w:t xml:space="preserve"> in Great Britain and its switch to Coca-Cola in 1987 prompted PepsiCo to consolidate and strengthen its own UK bottling network into a single bottler – Britvic – which acquired the soft drinks brands of Beecham Group</w:t>
      </w:r>
      <w:r w:rsidRPr="003A3374">
        <w:rPr>
          <w:rStyle w:val="FootnoteReference"/>
        </w:rPr>
        <w:footnoteReference w:id="2"/>
      </w:r>
      <w:r w:rsidRPr="003A3374">
        <w:t xml:space="preserve"> (Tango etc) in 1987 to create a scaled soft drinks competitor with a 20% volume share of the UK soft drinks market.</w:t>
      </w:r>
      <w:r w:rsidR="00DB33C6" w:rsidRPr="003A3374">
        <w:t xml:space="preserve"> </w:t>
      </w:r>
    </w:p>
    <w:p w14:paraId="6642A8C6" w14:textId="0F80C0A2" w:rsidR="00B771A4" w:rsidRPr="003A3374" w:rsidRDefault="00DB33C6" w:rsidP="0009566A">
      <w:pPr>
        <w:pStyle w:val="BodyText"/>
      </w:pPr>
      <w:r w:rsidRPr="003A3374">
        <w:t>As part of the licensing deal, PepsiCo acquired a 10% stake in Britvic from its owner Britannia Soft Drinks</w:t>
      </w:r>
      <w:r w:rsidR="00233F2B" w:rsidRPr="003A3374">
        <w:t>;</w:t>
      </w:r>
      <w:r w:rsidRPr="003A3374">
        <w:t xml:space="preserve"> a division of brewer Allied-Lyons that was created in 1980 by </w:t>
      </w:r>
      <w:r w:rsidR="00485200" w:rsidRPr="003A3374">
        <w:t>merging</w:t>
      </w:r>
      <w:r w:rsidRPr="003A3374">
        <w:t xml:space="preserve"> the soft drinks business</w:t>
      </w:r>
      <w:r w:rsidR="004F275E" w:rsidRPr="003A3374">
        <w:t>es</w:t>
      </w:r>
      <w:r w:rsidRPr="003A3374">
        <w:t xml:space="preserve"> of Allied</w:t>
      </w:r>
      <w:r w:rsidR="00CC2727" w:rsidRPr="003A3374">
        <w:t xml:space="preserve"> Breweries</w:t>
      </w:r>
      <w:r w:rsidRPr="003A3374">
        <w:t xml:space="preserve">, Whitbread and Bass </w:t>
      </w:r>
      <w:r w:rsidR="0028025D" w:rsidRPr="003A3374">
        <w:t>B</w:t>
      </w:r>
      <w:r w:rsidRPr="003A3374">
        <w:t>rew</w:t>
      </w:r>
      <w:r w:rsidR="0028025D" w:rsidRPr="003A3374">
        <w:t>ery</w:t>
      </w:r>
      <w:r w:rsidRPr="003A3374">
        <w:t xml:space="preserve">. This </w:t>
      </w:r>
      <w:r w:rsidR="00233F2B" w:rsidRPr="003A3374">
        <w:t xml:space="preserve">deal </w:t>
      </w:r>
      <w:r w:rsidR="00DF0B03" w:rsidRPr="003A3374">
        <w:t>strengthened</w:t>
      </w:r>
      <w:r w:rsidRPr="003A3374">
        <w:t xml:space="preserve"> Pepsi</w:t>
      </w:r>
      <w:r w:rsidR="00DF0B03" w:rsidRPr="003A3374">
        <w:t>’s</w:t>
      </w:r>
      <w:r w:rsidRPr="003A3374">
        <w:t xml:space="preserve"> access to the</w:t>
      </w:r>
      <w:r w:rsidR="00113AF3" w:rsidRPr="003A3374">
        <w:t xml:space="preserve"> </w:t>
      </w:r>
      <w:r w:rsidR="00DF0B03" w:rsidRPr="003A3374">
        <w:t xml:space="preserve">AFH channel – </w:t>
      </w:r>
      <w:r w:rsidR="0009566A" w:rsidRPr="003A3374">
        <w:t xml:space="preserve">Bass owned what is now Mitchells &amp; Butlers, one of the UK’s largest </w:t>
      </w:r>
      <w:r w:rsidR="00233F2B" w:rsidRPr="003A3374">
        <w:t xml:space="preserve">managed </w:t>
      </w:r>
      <w:r w:rsidR="0009566A" w:rsidRPr="003A3374">
        <w:t>pub operators</w:t>
      </w:r>
      <w:r w:rsidR="00DF0B03" w:rsidRPr="003A3374">
        <w:t>, while Whitbread owned 1,600 managed pubs as well as franchises for Pizza Hut</w:t>
      </w:r>
      <w:r w:rsidR="005B44A8" w:rsidRPr="003A3374">
        <w:t xml:space="preserve"> and T</w:t>
      </w:r>
      <w:r w:rsidR="004D49A9" w:rsidRPr="003A3374">
        <w:t>.</w:t>
      </w:r>
      <w:r w:rsidR="005B44A8" w:rsidRPr="003A3374">
        <w:t>G</w:t>
      </w:r>
      <w:r w:rsidR="004D49A9" w:rsidRPr="003A3374">
        <w:t>.</w:t>
      </w:r>
      <w:r w:rsidR="005B44A8" w:rsidRPr="003A3374">
        <w:t>I</w:t>
      </w:r>
      <w:r w:rsidR="004D49A9" w:rsidRPr="003A3374">
        <w:t>.</w:t>
      </w:r>
      <w:r w:rsidR="005B44A8" w:rsidRPr="003A3374">
        <w:t xml:space="preserve"> Fridays</w:t>
      </w:r>
      <w:r w:rsidR="00DF0B03" w:rsidRPr="003A3374">
        <w:t xml:space="preserve"> – </w:t>
      </w:r>
      <w:r w:rsidR="00931A40" w:rsidRPr="003A3374">
        <w:t>and created a stronger</w:t>
      </w:r>
      <w:r w:rsidR="00DF0B03" w:rsidRPr="003A3374">
        <w:t xml:space="preserve"> </w:t>
      </w:r>
      <w:r w:rsidR="00931A40" w:rsidRPr="003A3374">
        <w:t xml:space="preserve">cola competitor to </w:t>
      </w:r>
      <w:r w:rsidR="00DF0B03" w:rsidRPr="003A3374">
        <w:t>Coca-Cola</w:t>
      </w:r>
      <w:r w:rsidR="0009566A" w:rsidRPr="003A3374">
        <w:t>.</w:t>
      </w:r>
    </w:p>
    <w:p w14:paraId="4E5A1B36" w14:textId="66393141" w:rsidR="00B771A4" w:rsidRPr="003A3374" w:rsidRDefault="00B771A4" w:rsidP="00B771A4">
      <w:pPr>
        <w:pStyle w:val="Heading30"/>
      </w:pPr>
      <w:r w:rsidRPr="003A3374">
        <w:t xml:space="preserve">Keep calm and </w:t>
      </w:r>
      <w:r w:rsidR="00227E6C" w:rsidRPr="003A3374">
        <w:t>drink cola</w:t>
      </w:r>
    </w:p>
    <w:p w14:paraId="6068006F" w14:textId="77777777" w:rsidR="005F497D" w:rsidRPr="003A3374" w:rsidRDefault="00B771A4" w:rsidP="005F497D">
      <w:pPr>
        <w:pStyle w:val="BodyText"/>
      </w:pPr>
      <w:r w:rsidRPr="003A3374">
        <w:t>As such, we tend to focus on the UK soft drinks market from 1987 given it largely reflects the competitor dynamics of today.</w:t>
      </w:r>
      <w:r w:rsidR="00142118" w:rsidRPr="003A3374">
        <w:t xml:space="preserve"> </w:t>
      </w:r>
    </w:p>
    <w:p w14:paraId="0BA98B11" w14:textId="2220EF96" w:rsidR="004C0E7B" w:rsidRPr="003A3374" w:rsidRDefault="009B59FE" w:rsidP="007F0140">
      <w:pPr>
        <w:pStyle w:val="BodyText"/>
      </w:pPr>
      <w:r w:rsidRPr="003A3374">
        <w:t xml:space="preserve">CCSB’s greater scale, focus and investment drove significant growth for the overall soft drinks category </w:t>
      </w:r>
      <w:r w:rsidR="003E2BA0" w:rsidRPr="003A3374">
        <w:t xml:space="preserve">– especially </w:t>
      </w:r>
      <w:r w:rsidR="00AF7E90" w:rsidRPr="003A3374">
        <w:t xml:space="preserve">for </w:t>
      </w:r>
      <w:r w:rsidR="003E2BA0" w:rsidRPr="003A3374">
        <w:t>the cola category</w:t>
      </w:r>
      <w:r w:rsidR="008375A3" w:rsidRPr="003A3374">
        <w:t xml:space="preserve"> – </w:t>
      </w:r>
      <w:r w:rsidR="007F0140" w:rsidRPr="003A3374">
        <w:t>since 1987, we estimate that Trademark Coca-Cola has grown at a 2% volume CAGR (Fig </w:t>
      </w:r>
      <w:r w:rsidR="007F0140" w:rsidRPr="003A3374">
        <w:fldChar w:fldCharType="begin"/>
      </w:r>
      <w:r w:rsidR="007F0140" w:rsidRPr="003A3374">
        <w:instrText xml:space="preserve"> REF LINK_087103 \h </w:instrText>
      </w:r>
      <w:r w:rsidR="007F0140" w:rsidRPr="003A3374">
        <w:fldChar w:fldCharType="separate"/>
      </w:r>
      <w:r w:rsidR="007F0140" w:rsidRPr="003A3374">
        <w:rPr>
          <w:noProof/>
        </w:rPr>
        <w:t>5</w:t>
      </w:r>
      <w:r w:rsidR="007F0140" w:rsidRPr="003A3374">
        <w:fldChar w:fldCharType="end"/>
      </w:r>
      <w:r w:rsidR="007F0140" w:rsidRPr="003A3374">
        <w:t xml:space="preserve">). </w:t>
      </w:r>
    </w:p>
    <w:p w14:paraId="1E5A6BBB" w14:textId="561D4A7F" w:rsidR="007F0140" w:rsidRPr="003A3374" w:rsidRDefault="00AF7E90" w:rsidP="007F0140">
      <w:pPr>
        <w:pStyle w:val="BodyText"/>
      </w:pPr>
      <w:r w:rsidRPr="003A3374">
        <w:lastRenderedPageBreak/>
        <w:t>This growth was underpinned by</w:t>
      </w:r>
      <w:r w:rsidR="000F2BB9" w:rsidRPr="003A3374">
        <w:t xml:space="preserve"> a</w:t>
      </w:r>
      <w:r w:rsidR="009B59FE" w:rsidRPr="003A3374">
        <w:t xml:space="preserve"> major capital expenditure programme </w:t>
      </w:r>
      <w:r w:rsidRPr="003A3374">
        <w:t>that CCSB started upon its creation</w:t>
      </w:r>
      <w:r w:rsidR="009B59FE" w:rsidRPr="003A3374">
        <w:t>, including the commissioning of the Wakefield production plant. Wakefield was (and still is) the largest soft drinks plant in Europe and once this new mega plant ramped up production in 1990, CCSB then closed two older plants to unlock cost savings, which were partially reinvested behind top-line growth initiatives.</w:t>
      </w:r>
      <w:r w:rsidR="007F0140" w:rsidRPr="003A3374">
        <w:t xml:space="preserve"> Growth was also supported by higher marketing spend by TCCC</w:t>
      </w:r>
      <w:r w:rsidR="00512541" w:rsidRPr="003A3374">
        <w:t xml:space="preserve">, </w:t>
      </w:r>
      <w:r w:rsidR="007F0140" w:rsidRPr="003A3374">
        <w:t xml:space="preserve">including the iconic 1995 UK “Diet Coke Break” advert – today the UK is still the second largest market for Diet Coke behind the US. </w:t>
      </w:r>
    </w:p>
    <w:p w14:paraId="76645A86" w14:textId="3D13EB63" w:rsidR="00D52BA6" w:rsidRPr="003A3374" w:rsidRDefault="003E2BA0" w:rsidP="00AF7E90">
      <w:pPr>
        <w:pStyle w:val="BodyText"/>
      </w:pPr>
      <w:r w:rsidRPr="003A3374">
        <w:t xml:space="preserve">Meanwhile, </w:t>
      </w:r>
      <w:r w:rsidR="009B59FE" w:rsidRPr="003A3374">
        <w:t>Britvic</w:t>
      </w:r>
      <w:r w:rsidR="001D7976" w:rsidRPr="003A3374">
        <w:t xml:space="preserve"> </w:t>
      </w:r>
      <w:r w:rsidR="009B59FE" w:rsidRPr="003A3374">
        <w:t xml:space="preserve">raised the competitive intensity in the </w:t>
      </w:r>
      <w:r w:rsidR="000F2BB9" w:rsidRPr="003A3374">
        <w:t xml:space="preserve">overall </w:t>
      </w:r>
      <w:r w:rsidR="009B59FE" w:rsidRPr="003A3374">
        <w:t>soft drinks industry. This was particularly acute in the cola category, helped by the successful launch of the sweet</w:t>
      </w:r>
      <w:r w:rsidR="00382342" w:rsidRPr="003A3374">
        <w:t>er</w:t>
      </w:r>
      <w:r w:rsidR="009B59FE" w:rsidRPr="003A3374">
        <w:t xml:space="preserve"> tasting</w:t>
      </w:r>
      <w:r w:rsidR="001D7976" w:rsidRPr="003A3374">
        <w:t>, sugar free</w:t>
      </w:r>
      <w:r w:rsidR="009B59FE" w:rsidRPr="003A3374">
        <w:t xml:space="preserve"> Pepsi Max in 1993. Trademark Pepsi (Pepsi, Diet Pepsi, Pepsi Max etc) gradually started to win volume share from Trademark Coca-Cola (Classic, Diet, Zero Sugar etc), helped by affordability challenges in the Global Financial Crisis (Pepsi generally retails at a discount to Coca-Cola) and </w:t>
      </w:r>
      <w:r w:rsidR="005F497D" w:rsidRPr="003A3374">
        <w:t>by</w:t>
      </w:r>
      <w:r w:rsidR="009B59FE" w:rsidRPr="003A3374">
        <w:t xml:space="preserve"> upscaling the on-the-go Pepsi Max format from a 500ml to a 600ml PET bottle in 2010</w:t>
      </w:r>
      <w:r w:rsidR="005F497D" w:rsidRPr="003A3374">
        <w:t xml:space="preserve"> but keeping the price the same (a de facto price cut on a per 100ml basis)</w:t>
      </w:r>
      <w:r w:rsidR="009B59FE" w:rsidRPr="003A3374">
        <w:t xml:space="preserve">. </w:t>
      </w:r>
      <w:r w:rsidR="00AF7E90" w:rsidRPr="003A3374">
        <w:t xml:space="preserve">Since 1987, we estimate that </w:t>
      </w:r>
      <w:r w:rsidR="00D52BA6" w:rsidRPr="003A3374">
        <w:t>Trademark Pepsi grew at a 5% CAGR</w:t>
      </w:r>
      <w:r w:rsidR="00AF7E90" w:rsidRPr="003A3374">
        <w:t xml:space="preserve"> in Great Britain, faster than Trademark Coca-Cola, albeit off a smaller base</w:t>
      </w:r>
      <w:r w:rsidR="00D52BA6" w:rsidRPr="003A3374">
        <w:t xml:space="preserve">. </w:t>
      </w:r>
    </w:p>
    <w:p w14:paraId="3563A90B" w14:textId="6CB2631F" w:rsidR="009B59FE" w:rsidRPr="003A3374" w:rsidRDefault="005F497D" w:rsidP="009B59FE">
      <w:pPr>
        <w:pStyle w:val="BodyText"/>
      </w:pPr>
      <w:r w:rsidRPr="003A3374">
        <w:t>Britvic was acquired by Carlsberg (Buy rated) in January 2025 as part of the Danish brewer’s strategy to expand beyond beer. We discuss some of the potential implications for CCEP later in this report.</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9B59FE" w:rsidRPr="003A3374" w14:paraId="2B360417" w14:textId="77777777" w:rsidTr="006D2966">
        <w:trPr>
          <w:cantSplit/>
          <w:tblHeader/>
        </w:trPr>
        <w:tc>
          <w:tcPr>
            <w:tcW w:w="7654" w:type="dxa"/>
            <w:tcBorders>
              <w:bottom w:val="single" w:sz="8" w:space="0" w:color="000000" w:themeColor="text1"/>
            </w:tcBorders>
            <w:vAlign w:val="bottom"/>
          </w:tcPr>
          <w:p w14:paraId="4B58DD7E" w14:textId="0F5DFD83" w:rsidR="009B59FE" w:rsidRPr="003A3374" w:rsidRDefault="009B59FE" w:rsidP="006D2966">
            <w:pPr>
              <w:pStyle w:val="TableTitle"/>
            </w:pPr>
            <w:bookmarkStart w:id="13" w:name="PH_1_4_1_058522"/>
            <w:r w:rsidRPr="003A3374">
              <w:t xml:space="preserve">Fig </w:t>
            </w:r>
            <w:bookmarkStart w:id="14" w:name="LINK_087103"/>
            <w:r w:rsidRPr="003A3374">
              <w:fldChar w:fldCharType="begin"/>
            </w:r>
            <w:r w:rsidRPr="003A3374">
              <w:instrText xml:space="preserve"> SEQ Fig </w:instrText>
            </w:r>
            <w:r w:rsidRPr="003A3374">
              <w:fldChar w:fldCharType="separate"/>
            </w:r>
            <w:r w:rsidR="006A4635" w:rsidRPr="003A3374">
              <w:rPr>
                <w:noProof/>
              </w:rPr>
              <w:t>5</w:t>
            </w:r>
            <w:r w:rsidRPr="003A3374">
              <w:fldChar w:fldCharType="end"/>
            </w:r>
            <w:bookmarkEnd w:id="14"/>
            <w:r w:rsidRPr="003A3374">
              <w:t>: Red versus Blue</w:t>
            </w:r>
          </w:p>
        </w:tc>
      </w:tr>
      <w:tr w:rsidR="009B59FE" w:rsidRPr="003A3374" w14:paraId="22DC2FE9" w14:textId="77777777" w:rsidTr="006D2966">
        <w:trPr>
          <w:cantSplit/>
        </w:trPr>
        <w:tc>
          <w:tcPr>
            <w:tcW w:w="7654" w:type="dxa"/>
            <w:tcBorders>
              <w:top w:val="single" w:sz="8" w:space="0" w:color="000000" w:themeColor="text1"/>
              <w:bottom w:val="single" w:sz="8" w:space="0" w:color="000000" w:themeColor="text1"/>
            </w:tcBorders>
          </w:tcPr>
          <w:p w14:paraId="5247AD9D" w14:textId="3A9D9D3E" w:rsidR="009B59FE" w:rsidRPr="003A3374" w:rsidRDefault="003D6444" w:rsidP="006D2966">
            <w:pPr>
              <w:pStyle w:val="Tableplaceholder"/>
            </w:pPr>
            <w:r w:rsidRPr="003A3374">
              <w:rPr>
                <w:noProof/>
              </w:rPr>
              <w:drawing>
                <wp:inline distT="0" distB="0" distL="0" distR="0" wp14:anchorId="650C550B" wp14:editId="4C6ADC98">
                  <wp:extent cx="4859655" cy="2155825"/>
                  <wp:effectExtent l="0" t="0" r="0" b="0"/>
                  <wp:docPr id="73324398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59655" cy="2155825"/>
                          </a:xfrm>
                          <a:prstGeom prst="rect">
                            <a:avLst/>
                          </a:prstGeom>
                          <a:noFill/>
                          <a:ln>
                            <a:noFill/>
                          </a:ln>
                        </pic:spPr>
                      </pic:pic>
                    </a:graphicData>
                  </a:graphic>
                </wp:inline>
              </w:drawing>
            </w:r>
          </w:p>
        </w:tc>
      </w:tr>
      <w:tr w:rsidR="009B59FE" w:rsidRPr="003A3374" w14:paraId="0F035A4B" w14:textId="77777777" w:rsidTr="006D2966">
        <w:trPr>
          <w:cantSplit/>
        </w:trPr>
        <w:tc>
          <w:tcPr>
            <w:tcW w:w="7654" w:type="dxa"/>
            <w:tcBorders>
              <w:top w:val="single" w:sz="8" w:space="0" w:color="000000" w:themeColor="text1"/>
            </w:tcBorders>
          </w:tcPr>
          <w:p w14:paraId="7426C93F" w14:textId="77777777" w:rsidR="009B59FE" w:rsidRPr="003A3374" w:rsidRDefault="009B59FE" w:rsidP="006D2966">
            <w:pPr>
              <w:pStyle w:val="TableSource"/>
            </w:pPr>
            <w:r w:rsidRPr="003A3374">
              <w:t>Source: Rothschild &amp; Co Redburn, company, GDI, Nielsen</w:t>
            </w:r>
          </w:p>
        </w:tc>
      </w:tr>
    </w:tbl>
    <w:p w14:paraId="3DC3673C" w14:textId="00EDF300" w:rsidR="009B59FE" w:rsidRPr="003A3374" w:rsidRDefault="00AF7E90" w:rsidP="009B5BCF">
      <w:pPr>
        <w:pStyle w:val="Heading20"/>
      </w:pPr>
      <w:bookmarkStart w:id="15" w:name="_Toc214545121"/>
      <w:bookmarkEnd w:id="13"/>
      <w:r w:rsidRPr="003A3374">
        <w:t>Changing hands</w:t>
      </w:r>
      <w:bookmarkEnd w:id="15"/>
    </w:p>
    <w:p w14:paraId="575664AE" w14:textId="59CB729F" w:rsidR="000F2BB9" w:rsidRPr="003A3374" w:rsidRDefault="00AF7E90" w:rsidP="00AF7E90">
      <w:pPr>
        <w:pStyle w:val="BodyText"/>
      </w:pPr>
      <w:r w:rsidRPr="003A3374">
        <w:t xml:space="preserve">Despite </w:t>
      </w:r>
      <w:r w:rsidR="005F497D" w:rsidRPr="003A3374">
        <w:t>a healthy rivalry with</w:t>
      </w:r>
      <w:r w:rsidRPr="003A3374">
        <w:t xml:space="preserve"> Britvic in the cola category, w</w:t>
      </w:r>
      <w:r w:rsidR="00B771A4" w:rsidRPr="003A3374">
        <w:t>e estimate that Coca-Cola Great Britain (CCGB) has averaged 5.3% organic sales growth since 1988, although growth skews to the earlier years when the business was operated by CCSB (Fig </w:t>
      </w:r>
      <w:r w:rsidR="00B771A4" w:rsidRPr="003A3374">
        <w:fldChar w:fldCharType="begin"/>
      </w:r>
      <w:r w:rsidR="00B771A4" w:rsidRPr="003A3374">
        <w:instrText xml:space="preserve"> REF LINK_073601 \h </w:instrText>
      </w:r>
      <w:r w:rsidR="00B771A4" w:rsidRPr="003A3374">
        <w:fldChar w:fldCharType="separate"/>
      </w:r>
      <w:r w:rsidR="006A4635" w:rsidRPr="003A3374">
        <w:rPr>
          <w:noProof/>
        </w:rPr>
        <w:t>6</w:t>
      </w:r>
      <w:r w:rsidR="00B771A4" w:rsidRPr="003A3374">
        <w:fldChar w:fldCharType="end"/>
      </w:r>
      <w:r w:rsidR="00B771A4" w:rsidRPr="003A3374">
        <w:t>).</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B771A4" w:rsidRPr="003A3374" w14:paraId="077B4954" w14:textId="77777777" w:rsidTr="006D2966">
        <w:trPr>
          <w:cantSplit/>
          <w:tblHeader/>
        </w:trPr>
        <w:tc>
          <w:tcPr>
            <w:tcW w:w="7653" w:type="dxa"/>
            <w:tcBorders>
              <w:bottom w:val="single" w:sz="8" w:space="0" w:color="000000" w:themeColor="text1"/>
            </w:tcBorders>
            <w:vAlign w:val="bottom"/>
          </w:tcPr>
          <w:p w14:paraId="4EA0BCE4" w14:textId="41D17C51" w:rsidR="00B771A4" w:rsidRPr="003A3374" w:rsidRDefault="00B771A4" w:rsidP="006D2966">
            <w:pPr>
              <w:pStyle w:val="TableTitle"/>
            </w:pPr>
            <w:bookmarkStart w:id="16" w:name="PH_1_4_1_040982"/>
            <w:r w:rsidRPr="003A3374">
              <w:lastRenderedPageBreak/>
              <w:t xml:space="preserve">Fig </w:t>
            </w:r>
            <w:bookmarkStart w:id="17" w:name="LINK_073601"/>
            <w:r w:rsidRPr="003A3374">
              <w:fldChar w:fldCharType="begin"/>
            </w:r>
            <w:r w:rsidRPr="003A3374">
              <w:instrText xml:space="preserve"> SEQ Fig </w:instrText>
            </w:r>
            <w:r w:rsidRPr="003A3374">
              <w:fldChar w:fldCharType="separate"/>
            </w:r>
            <w:r w:rsidR="006A4635" w:rsidRPr="003A3374">
              <w:rPr>
                <w:noProof/>
              </w:rPr>
              <w:t>6</w:t>
            </w:r>
            <w:r w:rsidRPr="003A3374">
              <w:fldChar w:fldCharType="end"/>
            </w:r>
            <w:bookmarkEnd w:id="17"/>
            <w:r w:rsidRPr="003A3374">
              <w:t>: Coca-Cola Great Britain organic sales growth by operator</w:t>
            </w:r>
          </w:p>
        </w:tc>
      </w:tr>
      <w:tr w:rsidR="00B771A4" w:rsidRPr="003A3374" w14:paraId="1FA43432" w14:textId="77777777" w:rsidTr="006D2966">
        <w:trPr>
          <w:cantSplit/>
        </w:trPr>
        <w:tc>
          <w:tcPr>
            <w:tcW w:w="7653" w:type="dxa"/>
            <w:tcBorders>
              <w:top w:val="single" w:sz="8" w:space="0" w:color="000000" w:themeColor="text1"/>
              <w:bottom w:val="single" w:sz="8" w:space="0" w:color="000000" w:themeColor="text1"/>
            </w:tcBorders>
          </w:tcPr>
          <w:tbl>
            <w:tblPr>
              <w:tblStyle w:val="Dataholder"/>
              <w:tblW w:w="0" w:type="auto"/>
              <w:tblLayout w:type="fixed"/>
              <w:tblLook w:val="06A0" w:firstRow="1" w:lastRow="0" w:firstColumn="1" w:lastColumn="0" w:noHBand="1" w:noVBand="1"/>
            </w:tblPr>
            <w:tblGrid>
              <w:gridCol w:w="1340"/>
              <w:gridCol w:w="1420"/>
              <w:gridCol w:w="1102"/>
              <w:gridCol w:w="1419"/>
              <w:gridCol w:w="1102"/>
              <w:gridCol w:w="1270"/>
            </w:tblGrid>
            <w:tr w:rsidR="00B771A4" w:rsidRPr="003A3374" w14:paraId="01725DF9" w14:textId="77777777" w:rsidTr="006D29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0" w:type="dxa"/>
                  <w:tcBorders>
                    <w:bottom w:val="none" w:sz="0" w:space="0" w:color="auto"/>
                  </w:tcBorders>
                  <w:vAlign w:val="bottom"/>
                </w:tcPr>
                <w:p w14:paraId="1FB8CE78" w14:textId="77777777" w:rsidR="00B771A4" w:rsidRPr="003A3374" w:rsidRDefault="00B771A4" w:rsidP="006D2966">
                  <w:pPr>
                    <w:pStyle w:val="TableText0"/>
                  </w:pPr>
                  <w:r w:rsidRPr="003A3374">
                    <w:t>Operator</w:t>
                  </w:r>
                </w:p>
              </w:tc>
              <w:tc>
                <w:tcPr>
                  <w:tcW w:w="1420" w:type="dxa"/>
                  <w:tcBorders>
                    <w:bottom w:val="none" w:sz="0" w:space="0" w:color="auto"/>
                  </w:tcBorders>
                  <w:vAlign w:val="bottom"/>
                </w:tcPr>
                <w:p w14:paraId="0FD598DB" w14:textId="77777777" w:rsidR="00B771A4" w:rsidRPr="003A3374" w:rsidRDefault="00B771A4" w:rsidP="006D2966">
                  <w:pPr>
                    <w:pStyle w:val="TableText0"/>
                    <w:cnfStyle w:val="100000000000" w:firstRow="1" w:lastRow="0" w:firstColumn="0" w:lastColumn="0" w:oddVBand="0" w:evenVBand="0" w:oddHBand="0" w:evenHBand="0" w:firstRowFirstColumn="0" w:firstRowLastColumn="0" w:lastRowFirstColumn="0" w:lastRowLastColumn="0"/>
                  </w:pPr>
                  <w:r w:rsidRPr="003A3374">
                    <w:t>Total</w:t>
                  </w:r>
                </w:p>
              </w:tc>
              <w:tc>
                <w:tcPr>
                  <w:tcW w:w="1102" w:type="dxa"/>
                  <w:tcBorders>
                    <w:bottom w:val="none" w:sz="0" w:space="0" w:color="auto"/>
                  </w:tcBorders>
                  <w:vAlign w:val="bottom"/>
                </w:tcPr>
                <w:p w14:paraId="1055B312" w14:textId="77777777" w:rsidR="00B771A4" w:rsidRPr="003A3374" w:rsidRDefault="00B771A4" w:rsidP="006D2966">
                  <w:pPr>
                    <w:pStyle w:val="TableText0"/>
                    <w:cnfStyle w:val="100000000000" w:firstRow="1" w:lastRow="0" w:firstColumn="0" w:lastColumn="0" w:oddVBand="0" w:evenVBand="0" w:oddHBand="0" w:evenHBand="0" w:firstRowFirstColumn="0" w:firstRowLastColumn="0" w:lastRowFirstColumn="0" w:lastRowLastColumn="0"/>
                  </w:pPr>
                  <w:r w:rsidRPr="003A3374">
                    <w:t>CCSB</w:t>
                  </w:r>
                </w:p>
              </w:tc>
              <w:tc>
                <w:tcPr>
                  <w:tcW w:w="1419" w:type="dxa"/>
                  <w:tcBorders>
                    <w:bottom w:val="none" w:sz="0" w:space="0" w:color="auto"/>
                  </w:tcBorders>
                  <w:vAlign w:val="bottom"/>
                </w:tcPr>
                <w:p w14:paraId="42C38524" w14:textId="77777777" w:rsidR="00B771A4" w:rsidRPr="003A3374" w:rsidRDefault="00B771A4" w:rsidP="006D2966">
                  <w:pPr>
                    <w:pStyle w:val="TableText0"/>
                    <w:cnfStyle w:val="100000000000" w:firstRow="1" w:lastRow="0" w:firstColumn="0" w:lastColumn="0" w:oddVBand="0" w:evenVBand="0" w:oddHBand="0" w:evenHBand="0" w:firstRowFirstColumn="0" w:firstRowLastColumn="0" w:lastRowFirstColumn="0" w:lastRowLastColumn="0"/>
                  </w:pPr>
                  <w:r w:rsidRPr="003A3374">
                    <w:t>CCE</w:t>
                  </w:r>
                </w:p>
              </w:tc>
              <w:tc>
                <w:tcPr>
                  <w:tcW w:w="1102" w:type="dxa"/>
                  <w:tcBorders>
                    <w:bottom w:val="none" w:sz="0" w:space="0" w:color="auto"/>
                  </w:tcBorders>
                  <w:vAlign w:val="bottom"/>
                </w:tcPr>
                <w:p w14:paraId="61D79A7B" w14:textId="77777777" w:rsidR="00B771A4" w:rsidRPr="003A3374" w:rsidRDefault="00B771A4" w:rsidP="006D2966">
                  <w:pPr>
                    <w:pStyle w:val="TableText0"/>
                    <w:cnfStyle w:val="100000000000" w:firstRow="1" w:lastRow="0" w:firstColumn="0" w:lastColumn="0" w:oddVBand="0" w:evenVBand="0" w:oddHBand="0" w:evenHBand="0" w:firstRowFirstColumn="0" w:firstRowLastColumn="0" w:lastRowFirstColumn="0" w:lastRowLastColumn="0"/>
                  </w:pPr>
                  <w:r w:rsidRPr="003A3374">
                    <w:t>CCEP</w:t>
                  </w:r>
                </w:p>
              </w:tc>
              <w:tc>
                <w:tcPr>
                  <w:tcW w:w="1270" w:type="dxa"/>
                  <w:tcBorders>
                    <w:bottom w:val="none" w:sz="0" w:space="0" w:color="auto"/>
                  </w:tcBorders>
                  <w:vAlign w:val="bottom"/>
                </w:tcPr>
                <w:p w14:paraId="274E49CF" w14:textId="77777777" w:rsidR="00B771A4" w:rsidRPr="003A3374" w:rsidRDefault="00B771A4" w:rsidP="006D2966">
                  <w:pPr>
                    <w:pStyle w:val="TableText0"/>
                    <w:cnfStyle w:val="100000000000" w:firstRow="1" w:lastRow="0" w:firstColumn="0" w:lastColumn="0" w:oddVBand="0" w:evenVBand="0" w:oddHBand="0" w:evenHBand="0" w:firstRowFirstColumn="0" w:firstRowLastColumn="0" w:lastRowFirstColumn="0" w:lastRowLastColumn="0"/>
                  </w:pPr>
                  <w:r w:rsidRPr="003A3374">
                    <w:t>CCEP</w:t>
                  </w:r>
                </w:p>
              </w:tc>
            </w:tr>
            <w:tr w:rsidR="00B771A4" w:rsidRPr="003A3374" w14:paraId="5F530CB2" w14:textId="77777777" w:rsidTr="006D2966">
              <w:tc>
                <w:tcPr>
                  <w:cnfStyle w:val="001000000000" w:firstRow="0" w:lastRow="0" w:firstColumn="1" w:lastColumn="0" w:oddVBand="0" w:evenVBand="0" w:oddHBand="0" w:evenHBand="0" w:firstRowFirstColumn="0" w:firstRowLastColumn="0" w:lastRowFirstColumn="0" w:lastRowLastColumn="0"/>
                  <w:tcW w:w="1340" w:type="dxa"/>
                  <w:tcBorders>
                    <w:bottom w:val="single" w:sz="4" w:space="0" w:color="auto"/>
                  </w:tcBorders>
                </w:tcPr>
                <w:p w14:paraId="1B8BCFC8" w14:textId="77777777" w:rsidR="00B771A4" w:rsidRPr="003A3374" w:rsidRDefault="00B771A4" w:rsidP="006D2966">
                  <w:pPr>
                    <w:pStyle w:val="TableText0"/>
                    <w:rPr>
                      <w:b/>
                      <w:bCs/>
                    </w:rPr>
                  </w:pPr>
                  <w:r w:rsidRPr="003A3374">
                    <w:rPr>
                      <w:b/>
                      <w:bCs/>
                    </w:rPr>
                    <w:t>Period</w:t>
                  </w:r>
                </w:p>
              </w:tc>
              <w:tc>
                <w:tcPr>
                  <w:tcW w:w="1420" w:type="dxa"/>
                  <w:tcBorders>
                    <w:bottom w:val="single" w:sz="4" w:space="0" w:color="auto"/>
                  </w:tcBorders>
                </w:tcPr>
                <w:p w14:paraId="5DAEF995" w14:textId="77777777" w:rsidR="00B771A4" w:rsidRPr="003A3374" w:rsidRDefault="00B771A4"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1988-2024</w:t>
                  </w:r>
                </w:p>
              </w:tc>
              <w:tc>
                <w:tcPr>
                  <w:tcW w:w="1102" w:type="dxa"/>
                  <w:tcBorders>
                    <w:bottom w:val="single" w:sz="4" w:space="0" w:color="auto"/>
                  </w:tcBorders>
                </w:tcPr>
                <w:p w14:paraId="1CA9AAE0" w14:textId="77777777" w:rsidR="00B771A4" w:rsidRPr="003A3374" w:rsidRDefault="00B771A4"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1988-96</w:t>
                  </w:r>
                </w:p>
              </w:tc>
              <w:tc>
                <w:tcPr>
                  <w:tcW w:w="1419" w:type="dxa"/>
                  <w:tcBorders>
                    <w:bottom w:val="single" w:sz="4" w:space="0" w:color="auto"/>
                  </w:tcBorders>
                </w:tcPr>
                <w:p w14:paraId="340D1829" w14:textId="77777777" w:rsidR="00B771A4" w:rsidRPr="003A3374" w:rsidRDefault="00B771A4"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1997-2015</w:t>
                  </w:r>
                </w:p>
              </w:tc>
              <w:tc>
                <w:tcPr>
                  <w:tcW w:w="1102" w:type="dxa"/>
                  <w:tcBorders>
                    <w:bottom w:val="single" w:sz="4" w:space="0" w:color="auto"/>
                  </w:tcBorders>
                </w:tcPr>
                <w:p w14:paraId="7564ACFD" w14:textId="77777777" w:rsidR="00B771A4" w:rsidRPr="003A3374" w:rsidRDefault="00B771A4"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2016-24</w:t>
                  </w:r>
                </w:p>
              </w:tc>
              <w:tc>
                <w:tcPr>
                  <w:tcW w:w="1270" w:type="dxa"/>
                  <w:tcBorders>
                    <w:bottom w:val="single" w:sz="4" w:space="0" w:color="auto"/>
                  </w:tcBorders>
                </w:tcPr>
                <w:p w14:paraId="324D6CC8" w14:textId="77777777" w:rsidR="00B771A4" w:rsidRPr="003A3374" w:rsidRDefault="00B771A4"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2024-30E</w:t>
                  </w:r>
                </w:p>
              </w:tc>
            </w:tr>
            <w:tr w:rsidR="00B771A4" w:rsidRPr="003A3374" w14:paraId="5A4158BE" w14:textId="77777777" w:rsidTr="006D2966">
              <w:tc>
                <w:tcPr>
                  <w:cnfStyle w:val="001000000000" w:firstRow="0" w:lastRow="0" w:firstColumn="1" w:lastColumn="0" w:oddVBand="0" w:evenVBand="0" w:oddHBand="0" w:evenHBand="0" w:firstRowFirstColumn="0" w:firstRowLastColumn="0" w:lastRowFirstColumn="0" w:lastRowLastColumn="0"/>
                  <w:tcW w:w="1340" w:type="dxa"/>
                  <w:tcBorders>
                    <w:top w:val="single" w:sz="4" w:space="0" w:color="auto"/>
                  </w:tcBorders>
                </w:tcPr>
                <w:p w14:paraId="101AF2EA" w14:textId="77777777" w:rsidR="00B771A4" w:rsidRPr="003A3374" w:rsidRDefault="00B771A4" w:rsidP="006D2966">
                  <w:pPr>
                    <w:pStyle w:val="TableText0"/>
                  </w:pPr>
                  <w:r w:rsidRPr="003A3374">
                    <w:t>Volume</w:t>
                  </w:r>
                </w:p>
              </w:tc>
              <w:tc>
                <w:tcPr>
                  <w:tcW w:w="1420" w:type="dxa"/>
                  <w:tcBorders>
                    <w:top w:val="single" w:sz="4" w:space="0" w:color="auto"/>
                  </w:tcBorders>
                </w:tcPr>
                <w:p w14:paraId="74E5C436" w14:textId="77777777" w:rsidR="00B771A4" w:rsidRPr="003A3374" w:rsidRDefault="00B771A4" w:rsidP="006D2966">
                  <w:pPr>
                    <w:pStyle w:val="TableText0"/>
                    <w:cnfStyle w:val="000000000000" w:firstRow="0" w:lastRow="0" w:firstColumn="0" w:lastColumn="0" w:oddVBand="0" w:evenVBand="0" w:oddHBand="0" w:evenHBand="0" w:firstRowFirstColumn="0" w:firstRowLastColumn="0" w:lastRowFirstColumn="0" w:lastRowLastColumn="0"/>
                  </w:pPr>
                  <w:r w:rsidRPr="003A3374">
                    <w:t>2.9%</w:t>
                  </w:r>
                </w:p>
              </w:tc>
              <w:tc>
                <w:tcPr>
                  <w:tcW w:w="1102" w:type="dxa"/>
                  <w:tcBorders>
                    <w:top w:val="single" w:sz="4" w:space="0" w:color="auto"/>
                  </w:tcBorders>
                </w:tcPr>
                <w:p w14:paraId="2DA53737" w14:textId="77777777" w:rsidR="00B771A4" w:rsidRPr="003A3374" w:rsidRDefault="00B771A4" w:rsidP="006D2966">
                  <w:pPr>
                    <w:pStyle w:val="TableText0"/>
                    <w:cnfStyle w:val="000000000000" w:firstRow="0" w:lastRow="0" w:firstColumn="0" w:lastColumn="0" w:oddVBand="0" w:evenVBand="0" w:oddHBand="0" w:evenHBand="0" w:firstRowFirstColumn="0" w:firstRowLastColumn="0" w:lastRowFirstColumn="0" w:lastRowLastColumn="0"/>
                  </w:pPr>
                  <w:r w:rsidRPr="003A3374">
                    <w:t>6.2%</w:t>
                  </w:r>
                </w:p>
              </w:tc>
              <w:tc>
                <w:tcPr>
                  <w:tcW w:w="1419" w:type="dxa"/>
                  <w:tcBorders>
                    <w:top w:val="single" w:sz="4" w:space="0" w:color="auto"/>
                  </w:tcBorders>
                </w:tcPr>
                <w:p w14:paraId="36440C87" w14:textId="77777777" w:rsidR="00B771A4" w:rsidRPr="003A3374" w:rsidRDefault="00B771A4" w:rsidP="006D2966">
                  <w:pPr>
                    <w:pStyle w:val="TableText0"/>
                    <w:cnfStyle w:val="000000000000" w:firstRow="0" w:lastRow="0" w:firstColumn="0" w:lastColumn="0" w:oddVBand="0" w:evenVBand="0" w:oddHBand="0" w:evenHBand="0" w:firstRowFirstColumn="0" w:firstRowLastColumn="0" w:lastRowFirstColumn="0" w:lastRowLastColumn="0"/>
                  </w:pPr>
                  <w:r w:rsidRPr="003A3374">
                    <w:t>1.8%</w:t>
                  </w:r>
                </w:p>
              </w:tc>
              <w:tc>
                <w:tcPr>
                  <w:tcW w:w="1102" w:type="dxa"/>
                  <w:tcBorders>
                    <w:top w:val="single" w:sz="4" w:space="0" w:color="auto"/>
                  </w:tcBorders>
                </w:tcPr>
                <w:p w14:paraId="6BA15ED2" w14:textId="77777777" w:rsidR="00B771A4" w:rsidRPr="003A3374" w:rsidRDefault="00B771A4" w:rsidP="006D2966">
                  <w:pPr>
                    <w:pStyle w:val="TableText0"/>
                    <w:cnfStyle w:val="000000000000" w:firstRow="0" w:lastRow="0" w:firstColumn="0" w:lastColumn="0" w:oddVBand="0" w:evenVBand="0" w:oddHBand="0" w:evenHBand="0" w:firstRowFirstColumn="0" w:firstRowLastColumn="0" w:lastRowFirstColumn="0" w:lastRowLastColumn="0"/>
                  </w:pPr>
                  <w:r w:rsidRPr="003A3374">
                    <w:t>1.8%</w:t>
                  </w:r>
                </w:p>
              </w:tc>
              <w:tc>
                <w:tcPr>
                  <w:tcW w:w="1270" w:type="dxa"/>
                  <w:tcBorders>
                    <w:top w:val="single" w:sz="4" w:space="0" w:color="auto"/>
                  </w:tcBorders>
                </w:tcPr>
                <w:p w14:paraId="28BF9EF1" w14:textId="77777777" w:rsidR="00B771A4" w:rsidRPr="003A3374" w:rsidRDefault="00B771A4" w:rsidP="006D2966">
                  <w:pPr>
                    <w:pStyle w:val="TableText0"/>
                    <w:cnfStyle w:val="000000000000" w:firstRow="0" w:lastRow="0" w:firstColumn="0" w:lastColumn="0" w:oddVBand="0" w:evenVBand="0" w:oddHBand="0" w:evenHBand="0" w:firstRowFirstColumn="0" w:firstRowLastColumn="0" w:lastRowFirstColumn="0" w:lastRowLastColumn="0"/>
                  </w:pPr>
                  <w:r w:rsidRPr="003A3374">
                    <w:t>1.3%</w:t>
                  </w:r>
                </w:p>
              </w:tc>
            </w:tr>
            <w:tr w:rsidR="00B771A4" w:rsidRPr="003A3374" w14:paraId="7552D160" w14:textId="77777777" w:rsidTr="006D2966">
              <w:tc>
                <w:tcPr>
                  <w:cnfStyle w:val="001000000000" w:firstRow="0" w:lastRow="0" w:firstColumn="1" w:lastColumn="0" w:oddVBand="0" w:evenVBand="0" w:oddHBand="0" w:evenHBand="0" w:firstRowFirstColumn="0" w:firstRowLastColumn="0" w:lastRowFirstColumn="0" w:lastRowLastColumn="0"/>
                  <w:tcW w:w="1340" w:type="dxa"/>
                </w:tcPr>
                <w:p w14:paraId="17F65F05" w14:textId="77777777" w:rsidR="00B771A4" w:rsidRPr="003A3374" w:rsidRDefault="00B771A4" w:rsidP="006D2966">
                  <w:pPr>
                    <w:pStyle w:val="TableText0"/>
                  </w:pPr>
                  <w:r w:rsidRPr="003A3374">
                    <w:t>Price/mix</w:t>
                  </w:r>
                </w:p>
              </w:tc>
              <w:tc>
                <w:tcPr>
                  <w:tcW w:w="1420" w:type="dxa"/>
                </w:tcPr>
                <w:p w14:paraId="61A80F2B" w14:textId="77777777" w:rsidR="00B771A4" w:rsidRPr="003A3374" w:rsidRDefault="00B771A4" w:rsidP="006D2966">
                  <w:pPr>
                    <w:pStyle w:val="TableText0"/>
                    <w:cnfStyle w:val="000000000000" w:firstRow="0" w:lastRow="0" w:firstColumn="0" w:lastColumn="0" w:oddVBand="0" w:evenVBand="0" w:oddHBand="0" w:evenHBand="0" w:firstRowFirstColumn="0" w:firstRowLastColumn="0" w:lastRowFirstColumn="0" w:lastRowLastColumn="0"/>
                  </w:pPr>
                  <w:r w:rsidRPr="003A3374">
                    <w:t>2.4%</w:t>
                  </w:r>
                </w:p>
              </w:tc>
              <w:tc>
                <w:tcPr>
                  <w:tcW w:w="1102" w:type="dxa"/>
                </w:tcPr>
                <w:p w14:paraId="075AC1FC" w14:textId="77777777" w:rsidR="00B771A4" w:rsidRPr="003A3374" w:rsidRDefault="00B771A4" w:rsidP="006D2966">
                  <w:pPr>
                    <w:pStyle w:val="TableText0"/>
                    <w:cnfStyle w:val="000000000000" w:firstRow="0" w:lastRow="0" w:firstColumn="0" w:lastColumn="0" w:oddVBand="0" w:evenVBand="0" w:oddHBand="0" w:evenHBand="0" w:firstRowFirstColumn="0" w:firstRowLastColumn="0" w:lastRowFirstColumn="0" w:lastRowLastColumn="0"/>
                  </w:pPr>
                  <w:r w:rsidRPr="003A3374">
                    <w:t>2.5%</w:t>
                  </w:r>
                </w:p>
              </w:tc>
              <w:tc>
                <w:tcPr>
                  <w:tcW w:w="1419" w:type="dxa"/>
                </w:tcPr>
                <w:p w14:paraId="3FD0A076" w14:textId="77777777" w:rsidR="00B771A4" w:rsidRPr="003A3374" w:rsidRDefault="00B771A4" w:rsidP="006D2966">
                  <w:pPr>
                    <w:pStyle w:val="TableText0"/>
                    <w:cnfStyle w:val="000000000000" w:firstRow="0" w:lastRow="0" w:firstColumn="0" w:lastColumn="0" w:oddVBand="0" w:evenVBand="0" w:oddHBand="0" w:evenHBand="0" w:firstRowFirstColumn="0" w:firstRowLastColumn="0" w:lastRowFirstColumn="0" w:lastRowLastColumn="0"/>
                  </w:pPr>
                  <w:r w:rsidRPr="003A3374">
                    <w:t>1.7%</w:t>
                  </w:r>
                </w:p>
              </w:tc>
              <w:tc>
                <w:tcPr>
                  <w:tcW w:w="1102" w:type="dxa"/>
                </w:tcPr>
                <w:p w14:paraId="41A8A662" w14:textId="77777777" w:rsidR="00B771A4" w:rsidRPr="003A3374" w:rsidRDefault="00B771A4" w:rsidP="006D2966">
                  <w:pPr>
                    <w:pStyle w:val="TableText0"/>
                    <w:cnfStyle w:val="000000000000" w:firstRow="0" w:lastRow="0" w:firstColumn="0" w:lastColumn="0" w:oddVBand="0" w:evenVBand="0" w:oddHBand="0" w:evenHBand="0" w:firstRowFirstColumn="0" w:firstRowLastColumn="0" w:lastRowFirstColumn="0" w:lastRowLastColumn="0"/>
                  </w:pPr>
                  <w:r w:rsidRPr="003A3374">
                    <w:t>4.0%</w:t>
                  </w:r>
                </w:p>
              </w:tc>
              <w:tc>
                <w:tcPr>
                  <w:tcW w:w="1270" w:type="dxa"/>
                </w:tcPr>
                <w:p w14:paraId="7E03DD6E" w14:textId="77777777" w:rsidR="00B771A4" w:rsidRPr="003A3374" w:rsidRDefault="00B771A4" w:rsidP="006D2966">
                  <w:pPr>
                    <w:pStyle w:val="TableText0"/>
                    <w:cnfStyle w:val="000000000000" w:firstRow="0" w:lastRow="0" w:firstColumn="0" w:lastColumn="0" w:oddVBand="0" w:evenVBand="0" w:oddHBand="0" w:evenHBand="0" w:firstRowFirstColumn="0" w:firstRowLastColumn="0" w:lastRowFirstColumn="0" w:lastRowLastColumn="0"/>
                  </w:pPr>
                  <w:r w:rsidRPr="003A3374">
                    <w:t>2.4%</w:t>
                  </w:r>
                </w:p>
              </w:tc>
            </w:tr>
            <w:tr w:rsidR="00B771A4" w:rsidRPr="003A3374" w14:paraId="5D1D2D88" w14:textId="77777777" w:rsidTr="006D2966">
              <w:tc>
                <w:tcPr>
                  <w:cnfStyle w:val="001000000000" w:firstRow="0" w:lastRow="0" w:firstColumn="1" w:lastColumn="0" w:oddVBand="0" w:evenVBand="0" w:oddHBand="0" w:evenHBand="0" w:firstRowFirstColumn="0" w:firstRowLastColumn="0" w:lastRowFirstColumn="0" w:lastRowLastColumn="0"/>
                  <w:tcW w:w="1340" w:type="dxa"/>
                  <w:shd w:val="clear" w:color="auto" w:fill="EBD9BA"/>
                </w:tcPr>
                <w:p w14:paraId="05373901" w14:textId="77777777" w:rsidR="00B771A4" w:rsidRPr="003A3374" w:rsidRDefault="00B771A4" w:rsidP="006D2966">
                  <w:pPr>
                    <w:pStyle w:val="TableText0"/>
                    <w:rPr>
                      <w:b/>
                      <w:bCs/>
                    </w:rPr>
                  </w:pPr>
                  <w:r w:rsidRPr="003A3374">
                    <w:rPr>
                      <w:b/>
                      <w:bCs/>
                    </w:rPr>
                    <w:t>Organic</w:t>
                  </w:r>
                </w:p>
              </w:tc>
              <w:tc>
                <w:tcPr>
                  <w:tcW w:w="1420" w:type="dxa"/>
                  <w:shd w:val="clear" w:color="auto" w:fill="EBD9BA"/>
                </w:tcPr>
                <w:p w14:paraId="329288D9" w14:textId="77777777" w:rsidR="00B771A4" w:rsidRPr="003A3374" w:rsidRDefault="00B771A4"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5.3%</w:t>
                  </w:r>
                </w:p>
              </w:tc>
              <w:tc>
                <w:tcPr>
                  <w:tcW w:w="1102" w:type="dxa"/>
                  <w:shd w:val="clear" w:color="auto" w:fill="EBD9BA"/>
                </w:tcPr>
                <w:p w14:paraId="3A98AA20" w14:textId="77777777" w:rsidR="00B771A4" w:rsidRPr="003A3374" w:rsidRDefault="00B771A4"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8.8%</w:t>
                  </w:r>
                </w:p>
              </w:tc>
              <w:tc>
                <w:tcPr>
                  <w:tcW w:w="1419" w:type="dxa"/>
                  <w:shd w:val="clear" w:color="auto" w:fill="EBD9BA"/>
                </w:tcPr>
                <w:p w14:paraId="0DC3576F" w14:textId="77777777" w:rsidR="00B771A4" w:rsidRPr="003A3374" w:rsidRDefault="00B771A4"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3.4%</w:t>
                  </w:r>
                </w:p>
              </w:tc>
              <w:tc>
                <w:tcPr>
                  <w:tcW w:w="1102" w:type="dxa"/>
                  <w:shd w:val="clear" w:color="auto" w:fill="EBD9BA"/>
                </w:tcPr>
                <w:p w14:paraId="19FDED95" w14:textId="77777777" w:rsidR="00B771A4" w:rsidRPr="003A3374" w:rsidRDefault="00B771A4"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5.8%</w:t>
                  </w:r>
                </w:p>
              </w:tc>
              <w:tc>
                <w:tcPr>
                  <w:tcW w:w="1270" w:type="dxa"/>
                  <w:shd w:val="clear" w:color="auto" w:fill="EBD9BA"/>
                </w:tcPr>
                <w:p w14:paraId="3D901FB5" w14:textId="77777777" w:rsidR="00B771A4" w:rsidRPr="003A3374" w:rsidRDefault="00B771A4"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3.7%</w:t>
                  </w:r>
                </w:p>
              </w:tc>
            </w:tr>
          </w:tbl>
          <w:p w14:paraId="43689EE3" w14:textId="77777777" w:rsidR="00B771A4" w:rsidRPr="003A3374" w:rsidRDefault="00B771A4" w:rsidP="006D2966">
            <w:pPr>
              <w:pStyle w:val="Tableplaceholder"/>
            </w:pPr>
          </w:p>
        </w:tc>
      </w:tr>
      <w:tr w:rsidR="00B771A4" w:rsidRPr="003A3374" w14:paraId="534AD59F" w14:textId="77777777" w:rsidTr="006D2966">
        <w:trPr>
          <w:cantSplit/>
        </w:trPr>
        <w:tc>
          <w:tcPr>
            <w:tcW w:w="7653" w:type="dxa"/>
            <w:tcBorders>
              <w:top w:val="single" w:sz="8" w:space="0" w:color="000000" w:themeColor="text1"/>
            </w:tcBorders>
          </w:tcPr>
          <w:p w14:paraId="797331CF" w14:textId="77777777" w:rsidR="00B771A4" w:rsidRPr="003A3374" w:rsidRDefault="00B771A4" w:rsidP="006D2966">
            <w:pPr>
              <w:pStyle w:val="TableSource"/>
            </w:pPr>
            <w:r w:rsidRPr="003A3374">
              <w:t>Source: Rothschild &amp; Co Redburn, company</w:t>
            </w:r>
          </w:p>
        </w:tc>
      </w:tr>
    </w:tbl>
    <w:bookmarkEnd w:id="16"/>
    <w:p w14:paraId="1F4E1B48" w14:textId="61A0D13F" w:rsidR="00AF7E90" w:rsidRPr="003A3374" w:rsidRDefault="001C5295" w:rsidP="00AF7E90">
      <w:pPr>
        <w:pStyle w:val="BodyText"/>
      </w:pPr>
      <w:r w:rsidRPr="003A3374">
        <w:t xml:space="preserve">Coca-Cola Enterprises (CCE) </w:t>
      </w:r>
      <w:r w:rsidR="00AF7E90" w:rsidRPr="003A3374">
        <w:t>acquired CC</w:t>
      </w:r>
      <w:r w:rsidR="006D231C" w:rsidRPr="003A3374">
        <w:t>G</w:t>
      </w:r>
      <w:r w:rsidR="00AF7E90" w:rsidRPr="003A3374">
        <w:t xml:space="preserve">B in 1997 as part of the then North American bottler’s plans to diversify internationally, and TCCC committed to a five-year </w:t>
      </w:r>
      <w:r w:rsidRPr="003A3374">
        <w:t xml:space="preserve">upweighted </w:t>
      </w:r>
      <w:r w:rsidR="00AF7E90" w:rsidRPr="003A3374">
        <w:t xml:space="preserve">marketing plan to support strong volume growth from 1997-2002. </w:t>
      </w:r>
    </w:p>
    <w:p w14:paraId="6488726F" w14:textId="3B617EEC" w:rsidR="00AF7E90" w:rsidRPr="003A3374" w:rsidRDefault="00AF7E90" w:rsidP="00AF7E90">
      <w:pPr>
        <w:pStyle w:val="BodyText"/>
      </w:pPr>
      <w:r w:rsidRPr="003A3374">
        <w:t>This drove mid-single-digit growth for six consecutive years, as shown in Fig </w:t>
      </w:r>
      <w:r w:rsidRPr="003A3374">
        <w:fldChar w:fldCharType="begin"/>
      </w:r>
      <w:r w:rsidRPr="003A3374">
        <w:instrText xml:space="preserve"> REF LINK_023445 \h </w:instrText>
      </w:r>
      <w:r w:rsidRPr="003A3374">
        <w:fldChar w:fldCharType="separate"/>
      </w:r>
      <w:r w:rsidR="006A4635" w:rsidRPr="003A3374">
        <w:rPr>
          <w:noProof/>
        </w:rPr>
        <w:t>7</w:t>
      </w:r>
      <w:r w:rsidRPr="003A3374">
        <w:fldChar w:fldCharType="end"/>
      </w:r>
      <w:r w:rsidRPr="003A3374">
        <w:t>. But thereafter CC</w:t>
      </w:r>
      <w:r w:rsidR="004678C9" w:rsidRPr="003A3374">
        <w:t>G</w:t>
      </w:r>
      <w:r w:rsidRPr="003A3374">
        <w:t>B’s volume growth faced challenges, such as in February 2004 when it infamously expanded into the bottled water category with Dasani, only to discontinue the brand in March 2004 following poor consumer reception and a product recall. The launches of Coca-Cola Zero Sugar (2005) and Monster Energy (2008) helped spur volume growth to 2010, when TCCC acquired the US operations of CCE as part of its North American bottler refranchising – discussed in ‘</w:t>
      </w:r>
      <w:hyperlink r:id="rId31" w:history="1">
        <w:r w:rsidRPr="003A3374">
          <w:rPr>
            <w:rStyle w:val="Hyperlink"/>
          </w:rPr>
          <w:t>Super System</w:t>
        </w:r>
      </w:hyperlink>
      <w:r w:rsidRPr="003A3374">
        <w:t>’ (8 September 2023).</w:t>
      </w:r>
    </w:p>
    <w:p w14:paraId="0F799F8D" w14:textId="1092255F" w:rsidR="00AF7E90" w:rsidRPr="003A3374" w:rsidRDefault="004678C9" w:rsidP="004678C9">
      <w:pPr>
        <w:pStyle w:val="BodyText"/>
      </w:pPr>
      <w:r w:rsidRPr="003A3374">
        <w:t xml:space="preserve">Thereafter, CCE became a Europe-only bottler, but despite this heightened focus it </w:t>
      </w:r>
      <w:r w:rsidR="00AF7E90" w:rsidRPr="003A3374">
        <w:t>struggled to combat the rise of Pepsi Max</w:t>
      </w:r>
      <w:r w:rsidR="00ED2BD0" w:rsidRPr="003A3374">
        <w:t xml:space="preserve"> in the 2010s</w:t>
      </w:r>
      <w:r w:rsidR="00AF7E90" w:rsidRPr="003A3374">
        <w:t xml:space="preserve">, contributing to </w:t>
      </w:r>
      <w:r w:rsidR="00ED2BD0" w:rsidRPr="003A3374">
        <w:t>CCGB’s</w:t>
      </w:r>
      <w:r w:rsidR="00AF7E90" w:rsidRPr="003A3374">
        <w:t xml:space="preserve"> weak organic sales growth </w:t>
      </w:r>
      <w:r w:rsidR="00ED2BD0" w:rsidRPr="003A3374">
        <w:t xml:space="preserve">performance </w:t>
      </w:r>
      <w:r w:rsidRPr="003A3374">
        <w:t>in 2012-15</w:t>
      </w:r>
      <w:r w:rsidR="00AF7E90" w:rsidRPr="003A3374">
        <w:t>.</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33249D" w:rsidRPr="003A3374" w14:paraId="57027A35" w14:textId="77777777" w:rsidTr="006D2966">
        <w:trPr>
          <w:cantSplit/>
          <w:tblHeader/>
        </w:trPr>
        <w:tc>
          <w:tcPr>
            <w:tcW w:w="7653" w:type="dxa"/>
            <w:tcBorders>
              <w:bottom w:val="single" w:sz="8" w:space="0" w:color="000000" w:themeColor="text1"/>
            </w:tcBorders>
            <w:vAlign w:val="bottom"/>
          </w:tcPr>
          <w:p w14:paraId="4A6670CE" w14:textId="516174CF" w:rsidR="0033249D" w:rsidRPr="003A3374" w:rsidRDefault="0033249D" w:rsidP="006D2966">
            <w:pPr>
              <w:pStyle w:val="TableTitle"/>
            </w:pPr>
            <w:bookmarkStart w:id="18" w:name="PH_1_4_1_045989"/>
            <w:r w:rsidRPr="003A3374">
              <w:t xml:space="preserve">Fig </w:t>
            </w:r>
            <w:bookmarkStart w:id="19" w:name="LINK_023445"/>
            <w:r w:rsidRPr="003A3374">
              <w:fldChar w:fldCharType="begin"/>
            </w:r>
            <w:r w:rsidRPr="003A3374">
              <w:instrText xml:space="preserve"> SEQ Fig </w:instrText>
            </w:r>
            <w:r w:rsidRPr="003A3374">
              <w:fldChar w:fldCharType="separate"/>
            </w:r>
            <w:r w:rsidR="006A4635" w:rsidRPr="003A3374">
              <w:rPr>
                <w:noProof/>
              </w:rPr>
              <w:t>7</w:t>
            </w:r>
            <w:r w:rsidRPr="003A3374">
              <w:fldChar w:fldCharType="end"/>
            </w:r>
            <w:bookmarkEnd w:id="19"/>
            <w:r w:rsidRPr="003A3374">
              <w:t xml:space="preserve">: </w:t>
            </w:r>
            <w:r w:rsidR="00AC49A1" w:rsidRPr="003A3374">
              <w:t>Britain struggled under CCE’s tenure, but has recovered</w:t>
            </w:r>
            <w:r w:rsidR="00193B10" w:rsidRPr="003A3374">
              <w:t xml:space="preserve"> under CCEP</w:t>
            </w:r>
          </w:p>
        </w:tc>
      </w:tr>
      <w:tr w:rsidR="0033249D" w:rsidRPr="003A3374" w14:paraId="3470401F" w14:textId="77777777" w:rsidTr="006D2966">
        <w:trPr>
          <w:cantSplit/>
        </w:trPr>
        <w:tc>
          <w:tcPr>
            <w:tcW w:w="7653" w:type="dxa"/>
            <w:tcBorders>
              <w:top w:val="single" w:sz="8" w:space="0" w:color="000000" w:themeColor="text1"/>
              <w:bottom w:val="single" w:sz="8" w:space="0" w:color="000000" w:themeColor="text1"/>
            </w:tcBorders>
          </w:tcPr>
          <w:p w14:paraId="15172843" w14:textId="48CB3E05" w:rsidR="0033249D" w:rsidRPr="003A3374" w:rsidRDefault="000F57B3" w:rsidP="006D2966">
            <w:pPr>
              <w:pStyle w:val="Tableplaceholder"/>
            </w:pPr>
            <w:r w:rsidRPr="003A3374">
              <w:rPr>
                <w:noProof/>
              </w:rPr>
              <w:drawing>
                <wp:inline distT="0" distB="0" distL="0" distR="0" wp14:anchorId="7680E479" wp14:editId="57F40E08">
                  <wp:extent cx="4859655" cy="2155825"/>
                  <wp:effectExtent l="0" t="0" r="0" b="0"/>
                  <wp:docPr id="176918612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59655" cy="2155825"/>
                          </a:xfrm>
                          <a:prstGeom prst="rect">
                            <a:avLst/>
                          </a:prstGeom>
                          <a:noFill/>
                          <a:ln>
                            <a:noFill/>
                          </a:ln>
                        </pic:spPr>
                      </pic:pic>
                    </a:graphicData>
                  </a:graphic>
                </wp:inline>
              </w:drawing>
            </w:r>
          </w:p>
        </w:tc>
      </w:tr>
      <w:tr w:rsidR="0033249D" w:rsidRPr="003A3374" w14:paraId="548E3B48" w14:textId="77777777" w:rsidTr="006D2966">
        <w:trPr>
          <w:cantSplit/>
        </w:trPr>
        <w:tc>
          <w:tcPr>
            <w:tcW w:w="7653" w:type="dxa"/>
            <w:tcBorders>
              <w:top w:val="single" w:sz="8" w:space="0" w:color="000000" w:themeColor="text1"/>
            </w:tcBorders>
          </w:tcPr>
          <w:p w14:paraId="5158BE6D" w14:textId="77777777" w:rsidR="0033249D" w:rsidRPr="003A3374" w:rsidRDefault="0033249D" w:rsidP="006D2966">
            <w:pPr>
              <w:pStyle w:val="TableSource"/>
            </w:pPr>
            <w:r w:rsidRPr="003A3374">
              <w:t>Source: Rothschild &amp; Co Redburn, company</w:t>
            </w:r>
          </w:p>
        </w:tc>
      </w:tr>
      <w:bookmarkEnd w:id="18"/>
    </w:tbl>
    <w:p w14:paraId="4BBA4AA6" w14:textId="77777777" w:rsidR="00BF5395" w:rsidRPr="003A3374" w:rsidRDefault="00BF5395" w:rsidP="00694885">
      <w:pPr>
        <w:pStyle w:val="Tablespaceafter"/>
      </w:pPr>
    </w:p>
    <w:p w14:paraId="54B04C7F" w14:textId="77777777" w:rsidR="001B57A6" w:rsidRPr="003A3374" w:rsidRDefault="001B57A6">
      <w:pPr>
        <w:pStyle w:val="Tablespaceafter"/>
      </w:pPr>
    </w:p>
    <w:p w14:paraId="7D7021A9" w14:textId="77777777" w:rsidR="00911E01" w:rsidRPr="003A3374" w:rsidRDefault="00911E01" w:rsidP="00694885">
      <w:pPr>
        <w:pStyle w:val="Tablespaceafter"/>
      </w:pPr>
    </w:p>
    <w:p w14:paraId="5CDFAD65" w14:textId="06B9A439" w:rsidR="00C17F72" w:rsidRPr="003A3374" w:rsidRDefault="00314ECF" w:rsidP="00C17F72">
      <w:pPr>
        <w:pStyle w:val="BodyText"/>
      </w:pPr>
      <w:r w:rsidRPr="003A3374">
        <w:t>CCE</w:t>
      </w:r>
      <w:r w:rsidR="00C65DFF" w:rsidRPr="003A3374">
        <w:t xml:space="preserve">’s </w:t>
      </w:r>
      <w:r w:rsidR="00463509" w:rsidRPr="003A3374">
        <w:t>performance was no</w:t>
      </w:r>
      <w:r w:rsidR="009549FC" w:rsidRPr="003A3374">
        <w:t>t much</w:t>
      </w:r>
      <w:r w:rsidR="00463509" w:rsidRPr="003A3374">
        <w:t xml:space="preserve"> better in </w:t>
      </w:r>
      <w:r w:rsidR="00C65DFF" w:rsidRPr="003A3374">
        <w:t xml:space="preserve">its </w:t>
      </w:r>
      <w:r w:rsidR="00463509" w:rsidRPr="003A3374">
        <w:t xml:space="preserve">other </w:t>
      </w:r>
      <w:r w:rsidR="00C65DFF" w:rsidRPr="003A3374">
        <w:t xml:space="preserve">European </w:t>
      </w:r>
      <w:r w:rsidR="00463509" w:rsidRPr="003A3374">
        <w:t>markets (France, Benelux, the Netherlands, Norway and Sweden)</w:t>
      </w:r>
      <w:r w:rsidR="00710C98" w:rsidRPr="003A3374">
        <w:t xml:space="preserve"> and in May 2016</w:t>
      </w:r>
      <w:r w:rsidR="00F95AA4" w:rsidRPr="003A3374">
        <w:t>,</w:t>
      </w:r>
      <w:r w:rsidR="00710C98" w:rsidRPr="003A3374">
        <w:t xml:space="preserve"> </w:t>
      </w:r>
      <w:r w:rsidR="00F95AA4" w:rsidRPr="003A3374">
        <w:t xml:space="preserve">CCE </w:t>
      </w:r>
      <w:r w:rsidR="00710C98" w:rsidRPr="003A3374">
        <w:t>was combined with Coca-Cola Iberian Partners (Spain</w:t>
      </w:r>
      <w:r w:rsidR="00DD6F80" w:rsidRPr="003A3374">
        <w:t xml:space="preserve"> and </w:t>
      </w:r>
      <w:r w:rsidR="00710C98" w:rsidRPr="003A3374">
        <w:t>Portugal) and Coca-Co</w:t>
      </w:r>
      <w:r w:rsidR="00693D95" w:rsidRPr="003A3374">
        <w:t xml:space="preserve">la Erfrischungsgetränk AG (Germany) </w:t>
      </w:r>
      <w:r w:rsidR="00973681" w:rsidRPr="003A3374">
        <w:t>to form Coca-Cola European Partners (CCEP, now Coca-Cola Europacific Partners).</w:t>
      </w:r>
    </w:p>
    <w:p w14:paraId="608D6028" w14:textId="79530AFA" w:rsidR="0001314C" w:rsidRPr="003A3374" w:rsidRDefault="00327B6D" w:rsidP="00327B6D">
      <w:pPr>
        <w:pStyle w:val="BodyText"/>
      </w:pPr>
      <w:r w:rsidRPr="003A3374">
        <w:t xml:space="preserve">CCEP then began </w:t>
      </w:r>
      <w:r w:rsidR="00DC12F6" w:rsidRPr="003A3374">
        <w:t xml:space="preserve">to </w:t>
      </w:r>
      <w:r w:rsidRPr="003A3374">
        <w:t>rejuvenat</w:t>
      </w:r>
      <w:r w:rsidR="00DC12F6" w:rsidRPr="003A3374">
        <w:t>e</w:t>
      </w:r>
      <w:r w:rsidRPr="003A3374">
        <w:t xml:space="preserve"> the business and s</w:t>
      </w:r>
      <w:r w:rsidR="00703CBB" w:rsidRPr="003A3374">
        <w:t>ince 2016,</w:t>
      </w:r>
      <w:r w:rsidR="009341BC" w:rsidRPr="003A3374">
        <w:t xml:space="preserve"> on our estimates,</w:t>
      </w:r>
      <w:r w:rsidR="00703CBB" w:rsidRPr="003A3374">
        <w:t xml:space="preserve"> </w:t>
      </w:r>
      <w:r w:rsidR="0090382F" w:rsidRPr="003A3374">
        <w:t xml:space="preserve">CCGB </w:t>
      </w:r>
      <w:r w:rsidR="00703CBB" w:rsidRPr="003A3374">
        <w:t xml:space="preserve">has </w:t>
      </w:r>
      <w:r w:rsidR="00EB3C1A" w:rsidRPr="003A3374">
        <w:t xml:space="preserve">averaged 1.8% </w:t>
      </w:r>
      <w:r w:rsidR="00703CBB" w:rsidRPr="003A3374">
        <w:t xml:space="preserve">volume </w:t>
      </w:r>
      <w:r w:rsidR="00EB3C1A" w:rsidRPr="003A3374">
        <w:t xml:space="preserve">growth </w:t>
      </w:r>
      <w:r w:rsidR="00703CBB" w:rsidRPr="003A3374">
        <w:t>pa</w:t>
      </w:r>
      <w:r w:rsidR="00F67980" w:rsidRPr="003A3374">
        <w:t>,</w:t>
      </w:r>
      <w:r w:rsidR="00703CBB" w:rsidRPr="003A3374">
        <w:t xml:space="preserve"> </w:t>
      </w:r>
      <w:r w:rsidR="00B579E5" w:rsidRPr="003A3374">
        <w:t xml:space="preserve">while revenue per case has risen at 4% pa, leading to </w:t>
      </w:r>
      <w:r w:rsidR="00EB3C1A" w:rsidRPr="003A3374">
        <w:t>5.8</w:t>
      </w:r>
      <w:r w:rsidR="00703CBB" w:rsidRPr="003A3374">
        <w:t xml:space="preserve">% </w:t>
      </w:r>
      <w:r w:rsidR="00AF68F8" w:rsidRPr="003A3374">
        <w:t>organic</w:t>
      </w:r>
      <w:r w:rsidR="00B579E5" w:rsidRPr="003A3374">
        <w:t xml:space="preserve"> sales growth pa</w:t>
      </w:r>
      <w:r w:rsidR="00703CBB" w:rsidRPr="003A3374">
        <w:t xml:space="preserve">. </w:t>
      </w:r>
      <w:r w:rsidR="00AB0F75" w:rsidRPr="003A3374">
        <w:t xml:space="preserve">This is impressive given the </w:t>
      </w:r>
      <w:r w:rsidR="0001314C" w:rsidRPr="003A3374">
        <w:t xml:space="preserve">challenging backdrop </w:t>
      </w:r>
      <w:r w:rsidR="00F67980" w:rsidRPr="003A3374">
        <w:t xml:space="preserve">that </w:t>
      </w:r>
      <w:r w:rsidR="0001314C" w:rsidRPr="003A3374">
        <w:t xml:space="preserve">the </w:t>
      </w:r>
      <w:r w:rsidR="00AB0F75" w:rsidRPr="003A3374">
        <w:t xml:space="preserve">UK </w:t>
      </w:r>
      <w:r w:rsidR="0001314C" w:rsidRPr="003A3374">
        <w:t>has faced</w:t>
      </w:r>
      <w:r w:rsidR="00F67980" w:rsidRPr="003A3374">
        <w:t xml:space="preserve"> during CCEP’s tenure</w:t>
      </w:r>
      <w:r w:rsidR="0001314C" w:rsidRPr="003A3374">
        <w:t>:</w:t>
      </w:r>
    </w:p>
    <w:p w14:paraId="466653B3" w14:textId="2DCF23CE" w:rsidR="0001314C" w:rsidRPr="003A3374" w:rsidRDefault="0001314C" w:rsidP="0001314C">
      <w:pPr>
        <w:pStyle w:val="Bullet"/>
      </w:pPr>
      <w:r w:rsidRPr="003A3374">
        <w:lastRenderedPageBreak/>
        <w:t>In April 2018, the</w:t>
      </w:r>
      <w:r w:rsidR="002C1E94" w:rsidRPr="003A3374">
        <w:t xml:space="preserve"> UK</w:t>
      </w:r>
      <w:r w:rsidRPr="003A3374">
        <w:t xml:space="preserve"> government introduced a soft drinks industry sugar levy (SDIL)</w:t>
      </w:r>
      <w:r w:rsidR="009F766F" w:rsidRPr="003A3374">
        <w:t xml:space="preserve">. This </w:t>
      </w:r>
      <w:r w:rsidR="001E079C" w:rsidRPr="003A3374">
        <w:t>taxed beverages with added sugar</w:t>
      </w:r>
      <w:r w:rsidR="00E55FFB" w:rsidRPr="003A3374">
        <w:t xml:space="preserve">, leading to </w:t>
      </w:r>
      <w:r w:rsidR="007C31FC" w:rsidRPr="003A3374">
        <w:t xml:space="preserve">an industry-wide shift from sugar-sweetened sparkling beverages to zero-sugar options, which </w:t>
      </w:r>
      <w:r w:rsidRPr="003A3374">
        <w:t xml:space="preserve">dented volumes for </w:t>
      </w:r>
      <w:r w:rsidR="007C31FC" w:rsidRPr="003A3374">
        <w:t xml:space="preserve">market leader </w:t>
      </w:r>
      <w:r w:rsidRPr="003A3374">
        <w:t>Coca-Cola Classic</w:t>
      </w:r>
      <w:r w:rsidR="007C31FC" w:rsidRPr="003A3374">
        <w:t xml:space="preserve"> in the cola category (</w:t>
      </w:r>
      <w:r w:rsidR="005E5536" w:rsidRPr="003A3374">
        <w:t>Fig </w:t>
      </w:r>
      <w:r w:rsidR="005E5536" w:rsidRPr="003A3374">
        <w:fldChar w:fldCharType="begin"/>
      </w:r>
      <w:r w:rsidR="005E5536" w:rsidRPr="003A3374">
        <w:instrText xml:space="preserve"> REF LINK_033618 \h </w:instrText>
      </w:r>
      <w:r w:rsidR="005E5536" w:rsidRPr="003A3374">
        <w:fldChar w:fldCharType="separate"/>
      </w:r>
      <w:r w:rsidR="006A4635" w:rsidRPr="003A3374">
        <w:rPr>
          <w:noProof/>
        </w:rPr>
        <w:t>8</w:t>
      </w:r>
      <w:r w:rsidR="005E5536" w:rsidRPr="003A3374">
        <w:fldChar w:fldCharType="end"/>
      </w:r>
      <w:r w:rsidR="007C31FC" w:rsidRPr="003A3374">
        <w:t xml:space="preserve">). </w:t>
      </w:r>
      <w:r w:rsidR="009F766F" w:rsidRPr="003A3374">
        <w:t xml:space="preserve">Pepsi Max </w:t>
      </w:r>
      <w:r w:rsidR="007C31FC" w:rsidRPr="003A3374">
        <w:t xml:space="preserve">was the main beneficiary, supported by </w:t>
      </w:r>
      <w:r w:rsidR="00E55FFB" w:rsidRPr="003A3374">
        <w:t>additional</w:t>
      </w:r>
      <w:r w:rsidR="007C31FC" w:rsidRPr="003A3374">
        <w:t xml:space="preserve"> </w:t>
      </w:r>
      <w:r w:rsidR="00E55FFB" w:rsidRPr="003A3374">
        <w:t xml:space="preserve">production </w:t>
      </w:r>
      <w:r w:rsidR="007C31FC" w:rsidRPr="003A3374">
        <w:t>capacity in late 2019 after Britvic completed its</w:t>
      </w:r>
      <w:r w:rsidR="005E5536" w:rsidRPr="003A3374">
        <w:t xml:space="preserve"> supply chain investment plan termed</w:t>
      </w:r>
      <w:r w:rsidR="009B6837" w:rsidRPr="003A3374">
        <w:t xml:space="preserve"> the</w:t>
      </w:r>
      <w:r w:rsidR="007C31FC" w:rsidRPr="003A3374">
        <w:t xml:space="preserve"> ‘Business Capability Programme’.</w:t>
      </w:r>
      <w:r w:rsidR="002C1E94" w:rsidRPr="003A3374">
        <w:t xml:space="preserve"> Since then, Pepsi Max has consistently won volume share from Coca-Cola Classic and </w:t>
      </w:r>
      <w:r w:rsidR="007C31FC" w:rsidRPr="003A3374">
        <w:t xml:space="preserve">Diet Coke </w:t>
      </w:r>
      <w:r w:rsidR="00776E14" w:rsidRPr="003A3374">
        <w:t>(a</w:t>
      </w:r>
      <w:r w:rsidR="007C31FC" w:rsidRPr="003A3374">
        <w:t xml:space="preserve">lthough </w:t>
      </w:r>
      <w:r w:rsidR="00776E14" w:rsidRPr="003A3374">
        <w:t xml:space="preserve">the </w:t>
      </w:r>
      <w:r w:rsidR="009B6837" w:rsidRPr="003A3374">
        <w:t>latter</w:t>
      </w:r>
      <w:r w:rsidR="00776E14" w:rsidRPr="003A3374">
        <w:t xml:space="preserve"> has now stabilised </w:t>
      </w:r>
      <w:r w:rsidR="007C31FC" w:rsidRPr="003A3374">
        <w:t>in 3Q25</w:t>
      </w:r>
      <w:r w:rsidR="00776E14" w:rsidRPr="003A3374">
        <w:t>)</w:t>
      </w:r>
      <w:r w:rsidR="007C31FC" w:rsidRPr="003A3374">
        <w:t xml:space="preserve">, </w:t>
      </w:r>
      <w:r w:rsidR="002C1E94" w:rsidRPr="003A3374">
        <w:t>while</w:t>
      </w:r>
      <w:r w:rsidR="007C31FC" w:rsidRPr="003A3374">
        <w:t xml:space="preserve"> Coca-Cola Zero Sugar </w:t>
      </w:r>
      <w:r w:rsidR="00776E14" w:rsidRPr="003A3374">
        <w:t>has consistently gained volume share</w:t>
      </w:r>
      <w:r w:rsidR="002C1E94" w:rsidRPr="003A3374">
        <w:t>, helped by the successful 2021 reformulation</w:t>
      </w:r>
      <w:r w:rsidR="009152DE" w:rsidRPr="003A3374">
        <w:t xml:space="preserve"> </w:t>
      </w:r>
      <w:r w:rsidR="002C1E94" w:rsidRPr="003A3374">
        <w:t>by TCCC</w:t>
      </w:r>
      <w:r w:rsidR="009152DE" w:rsidRPr="003A3374">
        <w:t>;</w:t>
      </w:r>
    </w:p>
    <w:p w14:paraId="13D4003F" w14:textId="2E0AE36A" w:rsidR="0001314C" w:rsidRPr="003A3374" w:rsidRDefault="0088225E" w:rsidP="0001314C">
      <w:pPr>
        <w:pStyle w:val="Bullet"/>
      </w:pPr>
      <w:r w:rsidRPr="003A3374">
        <w:t xml:space="preserve">CO2 shortages </w:t>
      </w:r>
      <w:r w:rsidR="0001314C" w:rsidRPr="003A3374">
        <w:t xml:space="preserve">have </w:t>
      </w:r>
      <w:r w:rsidR="00BF6362" w:rsidRPr="003A3374">
        <w:t xml:space="preserve">threatened </w:t>
      </w:r>
      <w:r w:rsidR="00B579E5" w:rsidRPr="003A3374">
        <w:t xml:space="preserve">carbonated </w:t>
      </w:r>
      <w:r w:rsidR="00BF6362" w:rsidRPr="003A3374">
        <w:t>soft drinks production</w:t>
      </w:r>
      <w:r w:rsidR="0051549E" w:rsidRPr="003A3374">
        <w:t xml:space="preserve"> in Great Britain</w:t>
      </w:r>
      <w:r w:rsidR="0001314C" w:rsidRPr="003A3374">
        <w:t xml:space="preserve"> several times, most acutely in </w:t>
      </w:r>
      <w:r w:rsidRPr="003A3374">
        <w:t>2018</w:t>
      </w:r>
      <w:r w:rsidR="00C17D62" w:rsidRPr="003A3374">
        <w:t xml:space="preserve"> and</w:t>
      </w:r>
      <w:r w:rsidR="00AC0EBE" w:rsidRPr="003A3374">
        <w:t xml:space="preserve"> </w:t>
      </w:r>
      <w:r w:rsidRPr="003A3374">
        <w:t>2021</w:t>
      </w:r>
      <w:r w:rsidR="0001314C" w:rsidRPr="003A3374">
        <w:t>;</w:t>
      </w:r>
    </w:p>
    <w:p w14:paraId="50E0243E" w14:textId="08C6BE0D" w:rsidR="0001314C" w:rsidRPr="003A3374" w:rsidRDefault="0001314C" w:rsidP="0001314C">
      <w:pPr>
        <w:pStyle w:val="Bullet"/>
      </w:pPr>
      <w:r w:rsidRPr="003A3374">
        <w:t>T</w:t>
      </w:r>
      <w:r w:rsidR="0088225E" w:rsidRPr="003A3374">
        <w:t xml:space="preserve">he pandemic </w:t>
      </w:r>
      <w:r w:rsidRPr="003A3374">
        <w:t xml:space="preserve">and slow reopening in </w:t>
      </w:r>
      <w:r w:rsidR="0088225E" w:rsidRPr="003A3374">
        <w:t>2020-21</w:t>
      </w:r>
      <w:r w:rsidRPr="003A3374">
        <w:t xml:space="preserve"> restricted footfall </w:t>
      </w:r>
      <w:r w:rsidR="00B61CF3" w:rsidRPr="003A3374">
        <w:t>in</w:t>
      </w:r>
      <w:r w:rsidRPr="003A3374">
        <w:t xml:space="preserve"> the </w:t>
      </w:r>
      <w:r w:rsidR="00303A89" w:rsidRPr="003A3374">
        <w:t>AFH</w:t>
      </w:r>
      <w:r w:rsidRPr="003A3374">
        <w:t xml:space="preserve"> channel, which in 2019 was 46% of </w:t>
      </w:r>
      <w:r w:rsidR="00022FE9" w:rsidRPr="003A3374">
        <w:t>Coca-Cola</w:t>
      </w:r>
      <w:r w:rsidRPr="003A3374">
        <w:t xml:space="preserve"> Great Britain</w:t>
      </w:r>
      <w:r w:rsidR="00022FE9" w:rsidRPr="003A3374">
        <w:t xml:space="preserve">’s </w:t>
      </w:r>
      <w:r w:rsidRPr="003A3374">
        <w:t>volumes</w:t>
      </w:r>
      <w:r w:rsidR="00973F20" w:rsidRPr="003A3374">
        <w:t xml:space="preserve">. The </w:t>
      </w:r>
      <w:r w:rsidR="00303A89" w:rsidRPr="003A3374">
        <w:t>AFH</w:t>
      </w:r>
      <w:r w:rsidR="00973F20" w:rsidRPr="003A3374">
        <w:t xml:space="preserve"> channel then faced ongoing challenges post-pandemic</w:t>
      </w:r>
      <w:r w:rsidR="00465907" w:rsidRPr="003A3374">
        <w:t xml:space="preserve">, such as </w:t>
      </w:r>
      <w:r w:rsidR="00973F20" w:rsidRPr="003A3374">
        <w:t xml:space="preserve">high inflation </w:t>
      </w:r>
      <w:r w:rsidR="00B61CF3" w:rsidRPr="003A3374">
        <w:t>from</w:t>
      </w:r>
      <w:r w:rsidR="00973F20" w:rsidRPr="003A3374">
        <w:t xml:space="preserve"> 2022</w:t>
      </w:r>
      <w:r w:rsidR="00B61CF3" w:rsidRPr="003A3374">
        <w:t xml:space="preserve"> and </w:t>
      </w:r>
      <w:r w:rsidR="006E0FE6" w:rsidRPr="003A3374">
        <w:t xml:space="preserve">adverse </w:t>
      </w:r>
      <w:r w:rsidR="00973F20" w:rsidRPr="003A3374">
        <w:t>government policies at the 2024 Autumn Budget</w:t>
      </w:r>
      <w:r w:rsidR="00B61CF3" w:rsidRPr="003A3374">
        <w:t>,</w:t>
      </w:r>
      <w:r w:rsidR="00973F20" w:rsidRPr="003A3374">
        <w:t xml:space="preserve"> including a</w:t>
      </w:r>
      <w:r w:rsidR="00DD437F" w:rsidRPr="003A3374">
        <w:t>n increase to the</w:t>
      </w:r>
      <w:r w:rsidR="00973F20" w:rsidRPr="003A3374">
        <w:t xml:space="preserve"> minimum wage</w:t>
      </w:r>
      <w:r w:rsidR="00DD437F" w:rsidRPr="003A3374">
        <w:t xml:space="preserve"> and employer National Insurance contributions, </w:t>
      </w:r>
      <w:r w:rsidR="00973F20" w:rsidRPr="003A3374">
        <w:t>and reduced business rate</w:t>
      </w:r>
      <w:r w:rsidR="00F07515" w:rsidRPr="003A3374">
        <w:t>s</w:t>
      </w:r>
      <w:r w:rsidR="00973F20" w:rsidRPr="003A3374">
        <w:t xml:space="preserve"> relief</w:t>
      </w:r>
      <w:r w:rsidRPr="003A3374">
        <w:t>;</w:t>
      </w:r>
    </w:p>
    <w:p w14:paraId="60FD5A9E" w14:textId="72AFBA95" w:rsidR="00653B5B" w:rsidRPr="003A3374" w:rsidRDefault="001D6DC9" w:rsidP="003D1919">
      <w:pPr>
        <w:pStyle w:val="Bullet"/>
      </w:pPr>
      <w:r w:rsidRPr="003A3374">
        <w:t>Widespread</w:t>
      </w:r>
      <w:r w:rsidR="0088225E" w:rsidRPr="003A3374">
        <w:t xml:space="preserve"> inflation following the</w:t>
      </w:r>
      <w:r w:rsidR="0001314C" w:rsidRPr="003A3374">
        <w:t xml:space="preserve"> 2022</w:t>
      </w:r>
      <w:r w:rsidR="0088225E" w:rsidRPr="003A3374">
        <w:t xml:space="preserve"> war in Ukraine </w:t>
      </w:r>
      <w:r w:rsidR="00303A89" w:rsidRPr="003A3374">
        <w:t xml:space="preserve">led to </w:t>
      </w:r>
      <w:r w:rsidRPr="003A3374">
        <w:t>both higher input costs</w:t>
      </w:r>
      <w:r w:rsidR="00D53E77" w:rsidRPr="003A3374">
        <w:t xml:space="preserve"> for CCGB</w:t>
      </w:r>
      <w:r w:rsidRPr="003A3374">
        <w:t xml:space="preserve"> and </w:t>
      </w:r>
      <w:r w:rsidR="00303A89" w:rsidRPr="003A3374">
        <w:t>a weaker consumer environment</w:t>
      </w:r>
      <w:r w:rsidRPr="003A3374">
        <w:t>.</w:t>
      </w:r>
    </w:p>
    <w:p w14:paraId="386BBF51" w14:textId="354329A5" w:rsidR="006F7CD5" w:rsidRPr="003A3374" w:rsidRDefault="00CC214E" w:rsidP="00B61CF3">
      <w:pPr>
        <w:pStyle w:val="BodyText"/>
      </w:pPr>
      <w:r w:rsidRPr="003A3374">
        <w:t xml:space="preserve">Alongside this, CCEP’s </w:t>
      </w:r>
      <w:r w:rsidR="0001314C" w:rsidRPr="003A3374">
        <w:t>portfolio pruning</w:t>
      </w:r>
      <w:r w:rsidRPr="003A3374">
        <w:t xml:space="preserve"> of</w:t>
      </w:r>
      <w:r w:rsidR="0001314C" w:rsidRPr="003A3374">
        <w:t xml:space="preserve"> </w:t>
      </w:r>
      <w:r w:rsidRPr="003A3374">
        <w:t>Kia-Ora (2019-20) and Capri-Sun (2024-25) held back volume growth</w:t>
      </w:r>
      <w:r w:rsidR="004518EA" w:rsidRPr="003A3374">
        <w:t xml:space="preserve"> in the affected years</w:t>
      </w:r>
      <w:r w:rsidRPr="003A3374">
        <w:t xml:space="preserve">, although </w:t>
      </w:r>
      <w:r w:rsidR="00C7783A" w:rsidRPr="003A3374">
        <w:t>this</w:t>
      </w:r>
      <w:r w:rsidRPr="003A3374">
        <w:t xml:space="preserve"> should </w:t>
      </w:r>
      <w:r w:rsidR="006F7CD5" w:rsidRPr="003A3374">
        <w:t xml:space="preserve">modestly </w:t>
      </w:r>
      <w:r w:rsidRPr="003A3374">
        <w:t xml:space="preserve">improve the </w:t>
      </w:r>
      <w:r w:rsidR="003E7BAB" w:rsidRPr="003A3374">
        <w:t>territory’s</w:t>
      </w:r>
      <w:r w:rsidRPr="003A3374">
        <w:t xml:space="preserve"> long-term growth profile.</w:t>
      </w:r>
      <w:r w:rsidR="006F7CD5" w:rsidRPr="003A3374">
        <w:t xml:space="preserve"> Today, </w:t>
      </w:r>
      <w:r w:rsidR="0090382F" w:rsidRPr="003A3374">
        <w:t>CCGB</w:t>
      </w:r>
      <w:r w:rsidR="00333012" w:rsidRPr="003A3374">
        <w:t xml:space="preserve"> focuses on two categories: sparkling beverages and energy drinks, which together are 93% of total volumes</w:t>
      </w:r>
      <w:r w:rsidR="00B6485B" w:rsidRPr="003A3374">
        <w:t xml:space="preserve"> (Fig </w:t>
      </w:r>
      <w:r w:rsidR="00B6485B" w:rsidRPr="003A3374">
        <w:fldChar w:fldCharType="begin"/>
      </w:r>
      <w:r w:rsidR="00B6485B" w:rsidRPr="003A3374">
        <w:instrText xml:space="preserve"> REF LINK_036377 \h </w:instrText>
      </w:r>
      <w:r w:rsidR="00B6485B" w:rsidRPr="003A3374">
        <w:fldChar w:fldCharType="separate"/>
      </w:r>
      <w:r w:rsidR="006A4635" w:rsidRPr="003A3374">
        <w:rPr>
          <w:noProof/>
        </w:rPr>
        <w:t>9</w:t>
      </w:r>
      <w:r w:rsidR="00B6485B" w:rsidRPr="003A3374">
        <w:fldChar w:fldCharType="end"/>
      </w:r>
      <w:r w:rsidR="00B6485B" w:rsidRPr="003A3374">
        <w:t>)</w:t>
      </w:r>
      <w:r w:rsidR="00333012" w:rsidRPr="003A3374">
        <w:t>.</w:t>
      </w:r>
      <w:r w:rsidR="00970174" w:rsidRPr="003A3374">
        <w:t xml:space="preserve"> </w:t>
      </w:r>
      <w:r w:rsidR="00E749D1" w:rsidRPr="003A3374">
        <w:t xml:space="preserve">This is in contrast to the more balanced category profile of the total UK soft drinks market, but it is worth noting that CCEP does not operate in the juice category because TCCC </w:t>
      </w:r>
      <w:r w:rsidR="00594A5F" w:rsidRPr="003A3374">
        <w:t>does via</w:t>
      </w:r>
      <w:r w:rsidR="00E749D1" w:rsidRPr="003A3374">
        <w:t xml:space="preserve"> the innocent brand, while in water CCEP has made the strategic decision to focus on small single-serve packs of Smartwater that earn a </w:t>
      </w:r>
      <w:r w:rsidR="00B61CF3" w:rsidRPr="003A3374">
        <w:t>better</w:t>
      </w:r>
      <w:r w:rsidR="00E749D1" w:rsidRPr="003A3374">
        <w:t xml:space="preserve"> margin.</w:t>
      </w:r>
    </w:p>
    <w:tbl>
      <w:tblPr>
        <w:tblStyle w:val="TableGrid"/>
        <w:tblW w:w="9637" w:type="dxa"/>
        <w:tblLayout w:type="fixed"/>
        <w:tblCellMar>
          <w:left w:w="0" w:type="dxa"/>
          <w:right w:w="0" w:type="dxa"/>
        </w:tblCellMar>
        <w:tblLook w:val="04A0" w:firstRow="1" w:lastRow="0" w:firstColumn="1" w:lastColumn="0" w:noHBand="0" w:noVBand="1"/>
      </w:tblPr>
      <w:tblGrid>
        <w:gridCol w:w="4705"/>
        <w:gridCol w:w="227"/>
        <w:gridCol w:w="4705"/>
      </w:tblGrid>
      <w:tr w:rsidR="003211A2" w:rsidRPr="003A3374" w14:paraId="14E8DC6D" w14:textId="77777777" w:rsidTr="003211A2">
        <w:trPr>
          <w:cantSplit/>
          <w:tblHeader/>
        </w:trPr>
        <w:tc>
          <w:tcPr>
            <w:tcW w:w="4706" w:type="dxa"/>
            <w:tcBorders>
              <w:bottom w:val="single" w:sz="8" w:space="0" w:color="000000" w:themeColor="text1"/>
            </w:tcBorders>
            <w:vAlign w:val="bottom"/>
          </w:tcPr>
          <w:p w14:paraId="6C16A435" w14:textId="2336FF12" w:rsidR="003211A2" w:rsidRPr="003A3374" w:rsidRDefault="003211A2" w:rsidP="003211A2">
            <w:pPr>
              <w:pStyle w:val="TableTitle"/>
            </w:pPr>
            <w:bookmarkStart w:id="20" w:name="PH_2_8_1_039154"/>
            <w:r w:rsidRPr="003A3374">
              <w:t xml:space="preserve">Fig </w:t>
            </w:r>
            <w:bookmarkStart w:id="21" w:name="LINK_033618"/>
            <w:r w:rsidRPr="003A3374">
              <w:fldChar w:fldCharType="begin"/>
            </w:r>
            <w:r w:rsidRPr="003A3374">
              <w:instrText xml:space="preserve"> SEQ Fig </w:instrText>
            </w:r>
            <w:r w:rsidRPr="003A3374">
              <w:fldChar w:fldCharType="separate"/>
            </w:r>
            <w:r w:rsidR="006A4635" w:rsidRPr="003A3374">
              <w:rPr>
                <w:noProof/>
              </w:rPr>
              <w:t>8</w:t>
            </w:r>
            <w:r w:rsidRPr="003A3374">
              <w:fldChar w:fldCharType="end"/>
            </w:r>
            <w:bookmarkEnd w:id="21"/>
            <w:r w:rsidRPr="003A3374">
              <w:t xml:space="preserve">: </w:t>
            </w:r>
            <w:r w:rsidR="00041B81" w:rsidRPr="003A3374">
              <w:t>Max attack</w:t>
            </w:r>
          </w:p>
        </w:tc>
        <w:tc>
          <w:tcPr>
            <w:tcW w:w="227" w:type="dxa"/>
            <w:vAlign w:val="bottom"/>
          </w:tcPr>
          <w:p w14:paraId="3BA686F5" w14:textId="77777777" w:rsidR="003211A2" w:rsidRPr="003A3374" w:rsidRDefault="003211A2" w:rsidP="003211A2">
            <w:pPr>
              <w:pStyle w:val="Normal0"/>
            </w:pPr>
          </w:p>
        </w:tc>
        <w:tc>
          <w:tcPr>
            <w:tcW w:w="4706" w:type="dxa"/>
            <w:tcBorders>
              <w:bottom w:val="single" w:sz="8" w:space="0" w:color="000000" w:themeColor="text1"/>
            </w:tcBorders>
            <w:vAlign w:val="bottom"/>
          </w:tcPr>
          <w:p w14:paraId="7E9428A9" w14:textId="74AD613D" w:rsidR="003211A2" w:rsidRPr="003A3374" w:rsidRDefault="003211A2" w:rsidP="003211A2">
            <w:pPr>
              <w:pStyle w:val="TableTitle"/>
            </w:pPr>
            <w:r w:rsidRPr="003A3374">
              <w:t xml:space="preserve">Fig </w:t>
            </w:r>
            <w:bookmarkStart w:id="22" w:name="LINK_036377"/>
            <w:r w:rsidRPr="003A3374">
              <w:fldChar w:fldCharType="begin"/>
            </w:r>
            <w:r w:rsidRPr="003A3374">
              <w:instrText xml:space="preserve"> SEQ Fig </w:instrText>
            </w:r>
            <w:r w:rsidRPr="003A3374">
              <w:fldChar w:fldCharType="separate"/>
            </w:r>
            <w:r w:rsidR="006A4635" w:rsidRPr="003A3374">
              <w:rPr>
                <w:noProof/>
              </w:rPr>
              <w:t>9</w:t>
            </w:r>
            <w:r w:rsidRPr="003A3374">
              <w:fldChar w:fldCharType="end"/>
            </w:r>
            <w:bookmarkEnd w:id="22"/>
            <w:r w:rsidRPr="003A3374">
              <w:t xml:space="preserve">: </w:t>
            </w:r>
            <w:r w:rsidR="00041B81" w:rsidRPr="003A3374">
              <w:t>Not exactly a Total Beverage Company region</w:t>
            </w:r>
          </w:p>
        </w:tc>
      </w:tr>
      <w:tr w:rsidR="003211A2" w:rsidRPr="003A3374" w14:paraId="49EC0712" w14:textId="77777777" w:rsidTr="003211A2">
        <w:trPr>
          <w:cantSplit/>
        </w:trPr>
        <w:tc>
          <w:tcPr>
            <w:tcW w:w="4706" w:type="dxa"/>
            <w:tcBorders>
              <w:top w:val="single" w:sz="8" w:space="0" w:color="000000" w:themeColor="text1"/>
              <w:bottom w:val="single" w:sz="8" w:space="0" w:color="000000" w:themeColor="text1"/>
            </w:tcBorders>
          </w:tcPr>
          <w:p w14:paraId="445CECFB" w14:textId="4FBA6350" w:rsidR="003211A2" w:rsidRPr="003A3374" w:rsidRDefault="00040AEA" w:rsidP="003211A2">
            <w:pPr>
              <w:pStyle w:val="Tableplaceholder"/>
            </w:pPr>
            <w:r w:rsidRPr="003A3374">
              <w:rPr>
                <w:noProof/>
              </w:rPr>
              <w:drawing>
                <wp:inline distT="0" distB="0" distL="0" distR="0" wp14:anchorId="21CA24D9" wp14:editId="1F27AA3B">
                  <wp:extent cx="2982595" cy="1819275"/>
                  <wp:effectExtent l="0" t="0" r="8255" b="9525"/>
                  <wp:docPr id="71364604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82595" cy="1819275"/>
                          </a:xfrm>
                          <a:prstGeom prst="rect">
                            <a:avLst/>
                          </a:prstGeom>
                          <a:noFill/>
                          <a:ln>
                            <a:noFill/>
                          </a:ln>
                        </pic:spPr>
                      </pic:pic>
                    </a:graphicData>
                  </a:graphic>
                </wp:inline>
              </w:drawing>
            </w:r>
          </w:p>
        </w:tc>
        <w:tc>
          <w:tcPr>
            <w:tcW w:w="227" w:type="dxa"/>
          </w:tcPr>
          <w:p w14:paraId="3BFC398B" w14:textId="77777777" w:rsidR="003211A2" w:rsidRPr="003A3374" w:rsidRDefault="003211A2" w:rsidP="003211A2">
            <w:pPr>
              <w:pStyle w:val="Normal0"/>
            </w:pPr>
          </w:p>
        </w:tc>
        <w:tc>
          <w:tcPr>
            <w:tcW w:w="4706" w:type="dxa"/>
            <w:tcBorders>
              <w:top w:val="single" w:sz="8" w:space="0" w:color="000000" w:themeColor="text1"/>
              <w:bottom w:val="single" w:sz="8" w:space="0" w:color="000000" w:themeColor="text1"/>
            </w:tcBorders>
          </w:tcPr>
          <w:p w14:paraId="56385399" w14:textId="476C02B2" w:rsidR="003211A2" w:rsidRPr="003A3374" w:rsidRDefault="00097F2D" w:rsidP="003211A2">
            <w:pPr>
              <w:pStyle w:val="Tableplaceholder"/>
            </w:pPr>
            <w:r w:rsidRPr="003A3374">
              <w:rPr>
                <w:noProof/>
              </w:rPr>
              <w:drawing>
                <wp:inline distT="0" distB="0" distL="0" distR="0" wp14:anchorId="15B049CC" wp14:editId="270BD680">
                  <wp:extent cx="2987675" cy="1797685"/>
                  <wp:effectExtent l="0" t="0" r="3175" b="0"/>
                  <wp:docPr id="12042916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87675" cy="1797685"/>
                          </a:xfrm>
                          <a:prstGeom prst="rect">
                            <a:avLst/>
                          </a:prstGeom>
                          <a:noFill/>
                          <a:ln>
                            <a:noFill/>
                          </a:ln>
                        </pic:spPr>
                      </pic:pic>
                    </a:graphicData>
                  </a:graphic>
                </wp:inline>
              </w:drawing>
            </w:r>
          </w:p>
        </w:tc>
      </w:tr>
      <w:tr w:rsidR="003211A2" w:rsidRPr="003A3374" w14:paraId="0F19F104" w14:textId="77777777" w:rsidTr="003211A2">
        <w:trPr>
          <w:cantSplit/>
        </w:trPr>
        <w:tc>
          <w:tcPr>
            <w:tcW w:w="4706" w:type="dxa"/>
            <w:tcBorders>
              <w:top w:val="single" w:sz="8" w:space="0" w:color="000000" w:themeColor="text1"/>
            </w:tcBorders>
          </w:tcPr>
          <w:p w14:paraId="7ED82C5B" w14:textId="332AF488" w:rsidR="003211A2" w:rsidRPr="003A3374" w:rsidRDefault="003211A2" w:rsidP="003211A2">
            <w:pPr>
              <w:pStyle w:val="TableSource"/>
            </w:pPr>
            <w:r w:rsidRPr="003A3374">
              <w:t xml:space="preserve">Source: Rothschild &amp; Co Redburn, </w:t>
            </w:r>
            <w:r w:rsidR="00097F2D" w:rsidRPr="003A3374">
              <w:t>Circana</w:t>
            </w:r>
          </w:p>
        </w:tc>
        <w:tc>
          <w:tcPr>
            <w:tcW w:w="227" w:type="dxa"/>
          </w:tcPr>
          <w:p w14:paraId="462A91B3" w14:textId="77777777" w:rsidR="003211A2" w:rsidRPr="003A3374" w:rsidRDefault="003211A2" w:rsidP="003211A2">
            <w:pPr>
              <w:pStyle w:val="Normal0"/>
            </w:pPr>
          </w:p>
        </w:tc>
        <w:tc>
          <w:tcPr>
            <w:tcW w:w="4706" w:type="dxa"/>
            <w:tcBorders>
              <w:top w:val="single" w:sz="8" w:space="0" w:color="000000" w:themeColor="text1"/>
            </w:tcBorders>
          </w:tcPr>
          <w:p w14:paraId="6A245691" w14:textId="2B570285" w:rsidR="003211A2" w:rsidRPr="003A3374" w:rsidRDefault="003211A2" w:rsidP="003211A2">
            <w:pPr>
              <w:pStyle w:val="TableSource"/>
            </w:pPr>
            <w:r w:rsidRPr="003A3374">
              <w:t>Source: Rothschild &amp; Co Redburn, company</w:t>
            </w:r>
            <w:r w:rsidR="00097F2D" w:rsidRPr="003A3374">
              <w:t>, GDI</w:t>
            </w:r>
          </w:p>
        </w:tc>
      </w:tr>
      <w:bookmarkEnd w:id="20"/>
    </w:tbl>
    <w:p w14:paraId="713FCEFD" w14:textId="77777777" w:rsidR="003211A2" w:rsidRPr="003A3374" w:rsidRDefault="003211A2" w:rsidP="00E667A7">
      <w:pPr>
        <w:pStyle w:val="Tablespaceafter"/>
      </w:pPr>
    </w:p>
    <w:p w14:paraId="19EBE6E5" w14:textId="7D459988" w:rsidR="003211A2" w:rsidRPr="003A3374" w:rsidRDefault="0090382F" w:rsidP="009B5BCF">
      <w:pPr>
        <w:pStyle w:val="Heading10"/>
      </w:pPr>
      <w:bookmarkStart w:id="23" w:name="_Toc214545122"/>
      <w:r w:rsidRPr="003A3374">
        <w:lastRenderedPageBreak/>
        <w:t xml:space="preserve">The </w:t>
      </w:r>
      <w:r w:rsidR="00783ED2" w:rsidRPr="003A3374">
        <w:t>British</w:t>
      </w:r>
      <w:r w:rsidRPr="003A3374">
        <w:t xml:space="preserve"> </w:t>
      </w:r>
      <w:r w:rsidR="00F9475B" w:rsidRPr="003A3374">
        <w:t>footprint</w:t>
      </w:r>
      <w:bookmarkEnd w:id="23"/>
    </w:p>
    <w:p w14:paraId="232C32A5" w14:textId="405E3C5F" w:rsidR="001D6DC9" w:rsidRPr="003A3374" w:rsidRDefault="001D6DC9" w:rsidP="00914C05">
      <w:pPr>
        <w:pStyle w:val="BodyText"/>
      </w:pPr>
      <w:r w:rsidRPr="003A3374">
        <w:t>CCGB</w:t>
      </w:r>
      <w:r w:rsidR="00937D22" w:rsidRPr="003A3374">
        <w:t xml:space="preserve"> has a </w:t>
      </w:r>
      <w:r w:rsidRPr="003A3374">
        <w:t xml:space="preserve">production footprint </w:t>
      </w:r>
      <w:r w:rsidR="00914C05" w:rsidRPr="003A3374">
        <w:t>that</w:t>
      </w:r>
      <w:r w:rsidRPr="003A3374">
        <w:t xml:space="preserve"> is little changed </w:t>
      </w:r>
      <w:r w:rsidR="00BF2A88" w:rsidRPr="003A3374">
        <w:t>over the past 30 years</w:t>
      </w:r>
      <w:r w:rsidR="00937D22" w:rsidRPr="003A3374">
        <w:t>,</w:t>
      </w:r>
      <w:r w:rsidRPr="003A3374">
        <w:t xml:space="preserve"> apart from the closure of the </w:t>
      </w:r>
      <w:r w:rsidR="00A1404F" w:rsidRPr="003A3374">
        <w:t>Milton Keynes</w:t>
      </w:r>
      <w:r w:rsidRPr="003A3374">
        <w:t xml:space="preserve"> plan</w:t>
      </w:r>
      <w:r w:rsidR="00A1404F" w:rsidRPr="003A3374">
        <w:t>t</w:t>
      </w:r>
      <w:r w:rsidRPr="003A3374">
        <w:t xml:space="preserve"> in 2019 (</w:t>
      </w:r>
      <w:r w:rsidR="00A7596B" w:rsidRPr="003A3374">
        <w:t>Fig </w:t>
      </w:r>
      <w:r w:rsidR="00A7596B" w:rsidRPr="003A3374">
        <w:fldChar w:fldCharType="begin"/>
      </w:r>
      <w:r w:rsidR="00A7596B" w:rsidRPr="003A3374">
        <w:instrText xml:space="preserve"> REF LINK_085074 \h </w:instrText>
      </w:r>
      <w:r w:rsidR="00A7596B" w:rsidRPr="003A3374">
        <w:fldChar w:fldCharType="separate"/>
      </w:r>
      <w:r w:rsidR="006A4635" w:rsidRPr="003A3374">
        <w:rPr>
          <w:noProof/>
        </w:rPr>
        <w:t>10</w:t>
      </w:r>
      <w:r w:rsidR="00A7596B" w:rsidRPr="003A3374">
        <w:fldChar w:fldCharType="end"/>
      </w:r>
      <w:r w:rsidRPr="003A3374">
        <w:t xml:space="preserve">). </w:t>
      </w:r>
      <w:r w:rsidR="006E61D8" w:rsidRPr="003A3374">
        <w:t>CCGB’s five production</w:t>
      </w:r>
      <w:r w:rsidR="005F1785" w:rsidRPr="003A3374">
        <w:t xml:space="preserve"> plants</w:t>
      </w:r>
      <w:r w:rsidR="006E61D8" w:rsidRPr="003A3374">
        <w:t xml:space="preserve"> are</w:t>
      </w:r>
      <w:r w:rsidR="005F1785" w:rsidRPr="003A3374">
        <w:t xml:space="preserve"> strategically located close to key </w:t>
      </w:r>
      <w:r w:rsidR="006E61D8" w:rsidRPr="003A3374">
        <w:t xml:space="preserve">cities and near to major </w:t>
      </w:r>
      <w:r w:rsidR="005F1785" w:rsidRPr="003A3374">
        <w:t>motorways</w:t>
      </w:r>
      <w:r w:rsidR="006E61D8" w:rsidRPr="003A3374">
        <w:t xml:space="preserve"> </w:t>
      </w:r>
      <w:r w:rsidR="005F1785" w:rsidRPr="003A3374">
        <w:t>to improve the</w:t>
      </w:r>
      <w:r w:rsidR="006E61D8" w:rsidRPr="003A3374">
        <w:t>ir</w:t>
      </w:r>
      <w:r w:rsidR="005F1785" w:rsidRPr="003A3374">
        <w:t xml:space="preserve"> distribution reach</w:t>
      </w:r>
      <w:r w:rsidR="006E61D8" w:rsidRPr="003A3374">
        <w:t>.</w:t>
      </w:r>
      <w:r w:rsidR="00765814" w:rsidRPr="003A3374">
        <w:t xml:space="preserve"> </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BF2A88" w:rsidRPr="003A3374" w14:paraId="102464C5" w14:textId="77777777" w:rsidTr="00914C05">
        <w:trPr>
          <w:cantSplit/>
          <w:tblHeader/>
        </w:trPr>
        <w:tc>
          <w:tcPr>
            <w:tcW w:w="7653" w:type="dxa"/>
            <w:tcBorders>
              <w:bottom w:val="single" w:sz="8" w:space="0" w:color="000000" w:themeColor="text1"/>
            </w:tcBorders>
            <w:vAlign w:val="bottom"/>
          </w:tcPr>
          <w:p w14:paraId="19E8B996" w14:textId="5B77C25A" w:rsidR="00BF2A88" w:rsidRPr="003A3374" w:rsidRDefault="00BF2A88" w:rsidP="006D2966">
            <w:pPr>
              <w:pStyle w:val="TableTitle"/>
            </w:pPr>
            <w:r w:rsidRPr="003A3374">
              <w:t xml:space="preserve">Fig </w:t>
            </w:r>
            <w:bookmarkStart w:id="24" w:name="LINK_085074"/>
            <w:r w:rsidRPr="003A3374">
              <w:fldChar w:fldCharType="begin"/>
            </w:r>
            <w:r w:rsidRPr="003A3374">
              <w:instrText xml:space="preserve"> SEQ Fig </w:instrText>
            </w:r>
            <w:r w:rsidRPr="003A3374">
              <w:fldChar w:fldCharType="separate"/>
            </w:r>
            <w:r w:rsidR="006A4635" w:rsidRPr="003A3374">
              <w:rPr>
                <w:noProof/>
              </w:rPr>
              <w:t>10</w:t>
            </w:r>
            <w:r w:rsidRPr="003A3374">
              <w:fldChar w:fldCharType="end"/>
            </w:r>
            <w:bookmarkEnd w:id="24"/>
            <w:r w:rsidRPr="003A3374">
              <w:t xml:space="preserve">: </w:t>
            </w:r>
            <w:r w:rsidR="00A7596B" w:rsidRPr="003A3374">
              <w:t>Coca-Cola Great Britain production footprint</w:t>
            </w:r>
          </w:p>
        </w:tc>
      </w:tr>
      <w:tr w:rsidR="00BF2A88" w:rsidRPr="003A3374" w14:paraId="651946F7" w14:textId="77777777" w:rsidTr="00914C05">
        <w:trPr>
          <w:cantSplit/>
        </w:trPr>
        <w:tc>
          <w:tcPr>
            <w:tcW w:w="7653" w:type="dxa"/>
            <w:tcBorders>
              <w:top w:val="single" w:sz="8" w:space="0" w:color="000000" w:themeColor="text1"/>
              <w:bottom w:val="single" w:sz="8" w:space="0" w:color="000000" w:themeColor="text1"/>
            </w:tcBorders>
          </w:tcPr>
          <w:p w14:paraId="5F3A92A9" w14:textId="43D33FA5" w:rsidR="00BF2A88" w:rsidRPr="003A3374" w:rsidRDefault="000858D9" w:rsidP="006D2966">
            <w:pPr>
              <w:pStyle w:val="Tableplaceholder"/>
            </w:pPr>
            <w:r w:rsidRPr="003A3374">
              <w:rPr>
                <w:noProof/>
              </w:rPr>
              <w:drawing>
                <wp:inline distT="0" distB="0" distL="0" distR="0" wp14:anchorId="505F4B24" wp14:editId="74F706F8">
                  <wp:extent cx="4537710" cy="5676900"/>
                  <wp:effectExtent l="0" t="0" r="0" b="0"/>
                  <wp:docPr id="3401101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37710" cy="5676900"/>
                          </a:xfrm>
                          <a:prstGeom prst="rect">
                            <a:avLst/>
                          </a:prstGeom>
                          <a:noFill/>
                          <a:ln>
                            <a:noFill/>
                          </a:ln>
                        </pic:spPr>
                      </pic:pic>
                    </a:graphicData>
                  </a:graphic>
                </wp:inline>
              </w:drawing>
            </w:r>
          </w:p>
        </w:tc>
      </w:tr>
      <w:tr w:rsidR="00BF2A88" w:rsidRPr="003A3374" w14:paraId="2BEF1406" w14:textId="77777777" w:rsidTr="00914C05">
        <w:trPr>
          <w:cantSplit/>
        </w:trPr>
        <w:tc>
          <w:tcPr>
            <w:tcW w:w="7653" w:type="dxa"/>
            <w:tcBorders>
              <w:top w:val="single" w:sz="8" w:space="0" w:color="000000" w:themeColor="text1"/>
            </w:tcBorders>
          </w:tcPr>
          <w:p w14:paraId="15C46F50" w14:textId="3D91A2B4" w:rsidR="00BF2A88" w:rsidRPr="003A3374" w:rsidRDefault="00BF2A88" w:rsidP="006D2966">
            <w:pPr>
              <w:pStyle w:val="TableSource"/>
            </w:pPr>
            <w:r w:rsidRPr="003A3374">
              <w:t>Source: Rothschild &amp; Co Redburn</w:t>
            </w:r>
          </w:p>
        </w:tc>
      </w:tr>
    </w:tbl>
    <w:p w14:paraId="055FEB1C" w14:textId="5D5A9FFC" w:rsidR="00914C05" w:rsidRPr="003A3374" w:rsidRDefault="00914C05" w:rsidP="00914C05">
      <w:pPr>
        <w:pStyle w:val="BodyText"/>
      </w:pPr>
      <w:r w:rsidRPr="003A3374">
        <w:t xml:space="preserve">Edmonton and Sidcup surround </w:t>
      </w:r>
      <w:r w:rsidR="009163E2" w:rsidRPr="003A3374">
        <w:t>Britain’s</w:t>
      </w:r>
      <w:r w:rsidRPr="003A3374">
        <w:t xml:space="preserve"> biggest city</w:t>
      </w:r>
      <w:r w:rsidR="009163E2" w:rsidRPr="003A3374">
        <w:t xml:space="preserve"> by population</w:t>
      </w:r>
      <w:r w:rsidRPr="003A3374">
        <w:t xml:space="preserve">, London, and are close to the M25 motorway. Wakefield is the largest plant at c45% of </w:t>
      </w:r>
      <w:r w:rsidR="009163E2" w:rsidRPr="003A3374">
        <w:t>CCGB’s</w:t>
      </w:r>
      <w:r w:rsidRPr="003A3374">
        <w:t xml:space="preserve"> volumes and </w:t>
      </w:r>
      <w:r w:rsidR="004873F5" w:rsidRPr="003A3374">
        <w:t xml:space="preserve">it </w:t>
      </w:r>
      <w:r w:rsidRPr="003A3374">
        <w:t xml:space="preserve">is positioned at the crossroads </w:t>
      </w:r>
      <w:r w:rsidR="003E0740" w:rsidRPr="003A3374">
        <w:t>of</w:t>
      </w:r>
      <w:r w:rsidRPr="003A3374">
        <w:t xml:space="preserve"> the M1 and M62 so that it can service Leeds and Manchester (the third and fifth biggest cities respectively by population) as well as Birmingham (second biggest city) and even London.</w:t>
      </w:r>
    </w:p>
    <w:p w14:paraId="4F3AEFCE" w14:textId="1BEB87E2" w:rsidR="00914C05" w:rsidRPr="003A3374" w:rsidRDefault="00914C05" w:rsidP="00914C05">
      <w:pPr>
        <w:pStyle w:val="BodyText"/>
      </w:pPr>
      <w:r w:rsidRPr="003A3374">
        <w:lastRenderedPageBreak/>
        <w:t xml:space="preserve">Meanwhile, the Morpeth plant is the smallest with </w:t>
      </w:r>
      <w:r w:rsidR="00E7214A" w:rsidRPr="003A3374">
        <w:t>one</w:t>
      </w:r>
      <w:r w:rsidRPr="003A3374">
        <w:t xml:space="preserve"> production line that produces</w:t>
      </w:r>
      <w:r w:rsidR="003E0740" w:rsidRPr="003A3374">
        <w:t xml:space="preserve"> solely</w:t>
      </w:r>
      <w:r w:rsidRPr="003A3374">
        <w:t xml:space="preserve"> water under the Glaceau Smartwater</w:t>
      </w:r>
      <w:r w:rsidR="00DE4AC9" w:rsidRPr="003A3374">
        <w:t xml:space="preserve"> and Abbey Well</w:t>
      </w:r>
      <w:r w:rsidRPr="003A3374">
        <w:t xml:space="preserve"> brand</w:t>
      </w:r>
      <w:r w:rsidR="00DE4AC9" w:rsidRPr="003A3374">
        <w:t>s</w:t>
      </w:r>
      <w:r w:rsidRPr="003A3374">
        <w:t xml:space="preserve"> for the whole of Great Britain. Morpeth came from TCCC’s acquisition of Abbey Well in 2008, which as CCE described in its 10-K that year was </w:t>
      </w:r>
      <w:r w:rsidRPr="003A3374">
        <w:rPr>
          <w:i/>
          <w:iCs/>
        </w:rPr>
        <w:t xml:space="preserve">“an important first step in creating a viable water strategy in Great Britain” </w:t>
      </w:r>
      <w:r w:rsidRPr="003A3374">
        <w:t>following the failure of Dasani</w:t>
      </w:r>
      <w:r w:rsidRPr="003A3374">
        <w:rPr>
          <w:i/>
          <w:iCs/>
        </w:rPr>
        <w:t>.</w:t>
      </w:r>
      <w:r w:rsidRPr="003A3374">
        <w:t xml:space="preserve"> The strategy involved heavy marketing and activation </w:t>
      </w:r>
      <w:r w:rsidR="00DE4AC9" w:rsidRPr="003A3374">
        <w:t>for</w:t>
      </w:r>
      <w:r w:rsidRPr="003A3374">
        <w:t xml:space="preserve"> Abbey Well to accompany the London 2012 Olympics, but</w:t>
      </w:r>
      <w:r w:rsidRPr="003A3374">
        <w:rPr>
          <w:i/>
          <w:iCs/>
        </w:rPr>
        <w:t xml:space="preserve"> </w:t>
      </w:r>
      <w:r w:rsidRPr="003A3374">
        <w:t>as shown in Fig </w:t>
      </w:r>
      <w:r w:rsidRPr="003A3374">
        <w:fldChar w:fldCharType="begin"/>
      </w:r>
      <w:r w:rsidRPr="003A3374">
        <w:instrText xml:space="preserve"> REF LINK_036377 \h </w:instrText>
      </w:r>
      <w:r w:rsidRPr="003A3374">
        <w:fldChar w:fldCharType="separate"/>
      </w:r>
      <w:r w:rsidR="006A4635" w:rsidRPr="003A3374">
        <w:rPr>
          <w:noProof/>
        </w:rPr>
        <w:t>9</w:t>
      </w:r>
      <w:r w:rsidRPr="003A3374">
        <w:fldChar w:fldCharType="end"/>
      </w:r>
      <w:r w:rsidRPr="003A3374">
        <w:t>, this never led to a sustained improvement for CCGB’s water volumes.</w:t>
      </w:r>
    </w:p>
    <w:p w14:paraId="723F6704" w14:textId="0801B156" w:rsidR="00914C05" w:rsidRPr="003A3374" w:rsidRDefault="00914C05" w:rsidP="00914C05">
      <w:pPr>
        <w:pStyle w:val="BodyText"/>
      </w:pPr>
      <w:r w:rsidRPr="003A3374">
        <w:t xml:space="preserve">There are similar </w:t>
      </w:r>
      <w:r w:rsidR="00BA3F3F" w:rsidRPr="003A3374">
        <w:t>nuance</w:t>
      </w:r>
      <w:r w:rsidR="007779D2" w:rsidRPr="003A3374">
        <w:t>s</w:t>
      </w:r>
      <w:r w:rsidR="00BA3F3F" w:rsidRPr="003A3374">
        <w:t xml:space="preserve"> </w:t>
      </w:r>
      <w:r w:rsidRPr="003A3374">
        <w:t>elsewhere: the Edmonton plant produces all of the post-mix syrup for Great Britain and East Kilbride produces all of the Appletiser glass bottle formats. Sidcup is the oldest plant (opened in 1961 by Schweppes) and it</w:t>
      </w:r>
      <w:r w:rsidR="00A964D9" w:rsidRPr="003A3374">
        <w:t xml:space="preserve"> focuses on smaller pack formats; it</w:t>
      </w:r>
      <w:r w:rsidRPr="003A3374">
        <w:t xml:space="preserve"> is the only site that produces the 150ml and 250ml ‘mini cans’</w:t>
      </w:r>
      <w:r w:rsidR="007779D2" w:rsidRPr="003A3374">
        <w:t>.</w:t>
      </w:r>
    </w:p>
    <w:p w14:paraId="25096CAD" w14:textId="77777777" w:rsidR="00BB31F6" w:rsidRPr="003A3374" w:rsidRDefault="00BB31F6" w:rsidP="009B5BCF">
      <w:pPr>
        <w:pStyle w:val="Heading10"/>
      </w:pPr>
      <w:bookmarkStart w:id="25" w:name="_Toc214545123"/>
      <w:r w:rsidRPr="003A3374">
        <w:t>Site visit: Wakefield production plant</w:t>
      </w:r>
      <w:bookmarkEnd w:id="25"/>
    </w:p>
    <w:p w14:paraId="759AFDD0" w14:textId="7C556183" w:rsidR="00BB31F6" w:rsidRPr="003A3374" w:rsidRDefault="00BB31F6" w:rsidP="00BB31F6">
      <w:pPr>
        <w:pStyle w:val="BodyText"/>
      </w:pPr>
      <w:r w:rsidRPr="003A3374">
        <w:t>When the Wakefield plant was completed in 1989 it housed two canning lines and two PET lines. It was built adjacent to Nacanco’s aluminium can manufacturing plant, which supplied Wakefield with aluminium cans through a ‘hole in the wall’, providing Wakefield with a cost advantage compared to competito</w:t>
      </w:r>
      <w:r w:rsidR="00851544" w:rsidRPr="003A3374">
        <w:t>rs’ plants</w:t>
      </w:r>
      <w:r w:rsidRPr="003A3374">
        <w:t xml:space="preserve">. </w:t>
      </w:r>
    </w:p>
    <w:p w14:paraId="56081404" w14:textId="1BD0D349" w:rsidR="00BB31F6" w:rsidRPr="003A3374" w:rsidRDefault="00BB31F6" w:rsidP="00BB31F6">
      <w:pPr>
        <w:pStyle w:val="BodyText"/>
      </w:pPr>
      <w:r w:rsidRPr="003A3374">
        <w:t>In the years since, Wakefield has expanded to 11 production lines plus an Automated Storage Retrieval System (ASRS, effectively a large, automated warehouse). Below is a plant diagram from CCEP (Fig </w:t>
      </w:r>
      <w:r w:rsidRPr="003A3374">
        <w:fldChar w:fldCharType="begin"/>
      </w:r>
      <w:r w:rsidRPr="003A3374">
        <w:instrText xml:space="preserve"> REF LINK_061098 \h </w:instrText>
      </w:r>
      <w:r w:rsidRPr="003A3374">
        <w:fldChar w:fldCharType="separate"/>
      </w:r>
      <w:r w:rsidR="006A4635" w:rsidRPr="003A3374">
        <w:rPr>
          <w:noProof/>
        </w:rPr>
        <w:t>11</w:t>
      </w:r>
      <w:r w:rsidRPr="003A3374">
        <w:fldChar w:fldCharType="end"/>
      </w:r>
      <w:r w:rsidRPr="003A3374">
        <w:t xml:space="preserve">) and we have added a green box to highlight the bridge that connects Wakefield to the aluminium can manufacturing plant, which is now owned by Ball Corporation (Not rated). </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BB31F6" w:rsidRPr="003A3374" w14:paraId="5D004BBA" w14:textId="77777777" w:rsidTr="00ED6730">
        <w:trPr>
          <w:cantSplit/>
          <w:tblHeader/>
        </w:trPr>
        <w:tc>
          <w:tcPr>
            <w:tcW w:w="7654" w:type="dxa"/>
            <w:tcBorders>
              <w:bottom w:val="single" w:sz="8" w:space="0" w:color="000000" w:themeColor="text1"/>
            </w:tcBorders>
            <w:vAlign w:val="bottom"/>
          </w:tcPr>
          <w:p w14:paraId="0EF4B63F" w14:textId="32A57A2A" w:rsidR="00BB31F6" w:rsidRPr="003A3374" w:rsidRDefault="00BB31F6" w:rsidP="00ED6730">
            <w:pPr>
              <w:pStyle w:val="TableTitle"/>
            </w:pPr>
            <w:bookmarkStart w:id="26" w:name="PH_1_4_1_008541"/>
            <w:r w:rsidRPr="003A3374">
              <w:t xml:space="preserve">Fig </w:t>
            </w:r>
            <w:bookmarkStart w:id="27" w:name="LINK_061098"/>
            <w:r w:rsidRPr="003A3374">
              <w:fldChar w:fldCharType="begin"/>
            </w:r>
            <w:r w:rsidRPr="003A3374">
              <w:instrText xml:space="preserve"> SEQ Fig </w:instrText>
            </w:r>
            <w:r w:rsidRPr="003A3374">
              <w:fldChar w:fldCharType="separate"/>
            </w:r>
            <w:r w:rsidR="006A4635" w:rsidRPr="003A3374">
              <w:rPr>
                <w:noProof/>
              </w:rPr>
              <w:t>11</w:t>
            </w:r>
            <w:r w:rsidRPr="003A3374">
              <w:fldChar w:fldCharType="end"/>
            </w:r>
            <w:bookmarkEnd w:id="27"/>
            <w:r w:rsidRPr="003A3374">
              <w:t xml:space="preserve">: </w:t>
            </w:r>
            <w:r w:rsidR="008F59EF" w:rsidRPr="003A3374">
              <w:t>The Wakefield mega plant</w:t>
            </w:r>
          </w:p>
        </w:tc>
      </w:tr>
      <w:tr w:rsidR="00BB31F6" w:rsidRPr="003A3374" w14:paraId="38CC053A" w14:textId="77777777" w:rsidTr="00ED6730">
        <w:trPr>
          <w:cantSplit/>
        </w:trPr>
        <w:tc>
          <w:tcPr>
            <w:tcW w:w="7654" w:type="dxa"/>
            <w:tcBorders>
              <w:top w:val="single" w:sz="8" w:space="0" w:color="000000" w:themeColor="text1"/>
              <w:bottom w:val="single" w:sz="8" w:space="0" w:color="000000" w:themeColor="text1"/>
            </w:tcBorders>
          </w:tcPr>
          <w:p w14:paraId="6F660B4A" w14:textId="77777777" w:rsidR="00BB31F6" w:rsidRPr="003A3374" w:rsidRDefault="00BB31F6" w:rsidP="00ED6730">
            <w:pPr>
              <w:pStyle w:val="Tableplaceholder"/>
            </w:pPr>
            <w:r w:rsidRPr="003A3374">
              <w:rPr>
                <w:noProof/>
              </w:rPr>
              <mc:AlternateContent>
                <mc:Choice Requires="wps">
                  <w:drawing>
                    <wp:anchor distT="0" distB="0" distL="114300" distR="114300" simplePos="0" relativeHeight="251658242" behindDoc="0" locked="0" layoutInCell="1" allowOverlap="1" wp14:anchorId="5D2699AB" wp14:editId="2CE221EB">
                      <wp:simplePos x="0" y="0"/>
                      <wp:positionH relativeFrom="column">
                        <wp:posOffset>4118610</wp:posOffset>
                      </wp:positionH>
                      <wp:positionV relativeFrom="paragraph">
                        <wp:posOffset>923712</wp:posOffset>
                      </wp:positionV>
                      <wp:extent cx="507577" cy="367877"/>
                      <wp:effectExtent l="19050" t="19050" r="26035" b="13335"/>
                      <wp:wrapNone/>
                      <wp:docPr id="1174527770" name="Rectangle 17"/>
                      <wp:cNvGraphicFramePr/>
                      <a:graphic xmlns:a="http://schemas.openxmlformats.org/drawingml/2006/main">
                        <a:graphicData uri="http://schemas.microsoft.com/office/word/2010/wordprocessingShape">
                          <wps:wsp>
                            <wps:cNvSpPr/>
                            <wps:spPr>
                              <a:xfrm>
                                <a:off x="0" y="0"/>
                                <a:ext cx="507577" cy="367877"/>
                              </a:xfrm>
                              <a:prstGeom prst="rect">
                                <a:avLst/>
                              </a:prstGeom>
                              <a:noFill/>
                              <a:ln w="3175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025926" id="Rectangle 17" o:spid="_x0000_s1026" style="position:absolute;margin-left:324.3pt;margin-top:72.75pt;width:39.95pt;height:28.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" filled="f" strokecolor="#00b050" strokeweight="2.5pt"/>
                  </w:pict>
                </mc:Fallback>
              </mc:AlternateContent>
            </w:r>
            <w:r w:rsidRPr="003A3374">
              <w:rPr>
                <w:noProof/>
              </w:rPr>
              <w:drawing>
                <wp:inline distT="0" distB="0" distL="0" distR="0" wp14:anchorId="7A3C0451" wp14:editId="7174F9DA">
                  <wp:extent cx="4498657" cy="2160000"/>
                  <wp:effectExtent l="0" t="0" r="0" b="0"/>
                  <wp:docPr id="2075800806" name="Picture 16" descr="A aerial view of a ware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00806" name="Picture 16" descr="A aerial view of a warehouse&#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98657" cy="2160000"/>
                          </a:xfrm>
                          <a:prstGeom prst="rect">
                            <a:avLst/>
                          </a:prstGeom>
                          <a:noFill/>
                        </pic:spPr>
                      </pic:pic>
                    </a:graphicData>
                  </a:graphic>
                </wp:inline>
              </w:drawing>
            </w:r>
          </w:p>
        </w:tc>
      </w:tr>
      <w:tr w:rsidR="00BB31F6" w:rsidRPr="003A3374" w14:paraId="16073031" w14:textId="77777777" w:rsidTr="00ED6730">
        <w:trPr>
          <w:cantSplit/>
        </w:trPr>
        <w:tc>
          <w:tcPr>
            <w:tcW w:w="7654" w:type="dxa"/>
            <w:tcBorders>
              <w:top w:val="single" w:sz="8" w:space="0" w:color="000000" w:themeColor="text1"/>
            </w:tcBorders>
          </w:tcPr>
          <w:p w14:paraId="05F158EB" w14:textId="77777777" w:rsidR="00BB31F6" w:rsidRPr="003A3374" w:rsidRDefault="00BB31F6" w:rsidP="00ED6730">
            <w:pPr>
              <w:pStyle w:val="TableSource"/>
              <w:contextualSpacing/>
            </w:pPr>
            <w:r w:rsidRPr="003A3374">
              <w:t>Note: Redburn green box for emphasis</w:t>
            </w:r>
          </w:p>
          <w:p w14:paraId="16ECD07E" w14:textId="77777777" w:rsidR="00BB31F6" w:rsidRPr="003A3374" w:rsidRDefault="00BB31F6" w:rsidP="00ED6730">
            <w:pPr>
              <w:pStyle w:val="TableSource"/>
            </w:pPr>
            <w:r w:rsidRPr="003A3374">
              <w:t>Source: Rothschild &amp; Co Redburn, company</w:t>
            </w:r>
          </w:p>
        </w:tc>
      </w:tr>
      <w:bookmarkEnd w:id="26"/>
    </w:tbl>
    <w:p w14:paraId="2CD0870B" w14:textId="77777777" w:rsidR="00BB31F6" w:rsidRPr="003A3374" w:rsidRDefault="00BB31F6" w:rsidP="00BB31F6">
      <w:pPr>
        <w:pStyle w:val="Tablespaceafter"/>
      </w:pPr>
    </w:p>
    <w:p w14:paraId="56D97029" w14:textId="7DA391BD" w:rsidR="00BB31F6" w:rsidRPr="003A3374" w:rsidRDefault="00BB31F6" w:rsidP="00BB31F6">
      <w:pPr>
        <w:pStyle w:val="BodyText"/>
      </w:pPr>
      <w:r w:rsidRPr="003A3374">
        <w:t xml:space="preserve">Wakefield has received consistent investment over the years, including over £100m since 2019, </w:t>
      </w:r>
      <w:r w:rsidR="002B7791" w:rsidRPr="003A3374">
        <w:t>within which</w:t>
      </w:r>
      <w:r w:rsidRPr="003A3374">
        <w:t xml:space="preserve"> £42m </w:t>
      </w:r>
      <w:r w:rsidR="002B7791" w:rsidRPr="003A3374">
        <w:t xml:space="preserve">is </w:t>
      </w:r>
      <w:r w:rsidRPr="003A3374">
        <w:t>to build a new ASRS (‘ASRS 2’ in Fig </w:t>
      </w:r>
      <w:r w:rsidRPr="003A3374">
        <w:fldChar w:fldCharType="begin"/>
      </w:r>
      <w:r w:rsidRPr="003A3374">
        <w:instrText xml:space="preserve"> REF LINK_061098 \h </w:instrText>
      </w:r>
      <w:r w:rsidRPr="003A3374">
        <w:fldChar w:fldCharType="separate"/>
      </w:r>
      <w:r w:rsidR="006A4635" w:rsidRPr="003A3374">
        <w:rPr>
          <w:noProof/>
        </w:rPr>
        <w:t>11</w:t>
      </w:r>
      <w:r w:rsidRPr="003A3374">
        <w:fldChar w:fldCharType="end"/>
      </w:r>
      <w:r w:rsidRPr="003A3374">
        <w:t xml:space="preserve">) that will double Wakefield’s onsite storage capacity to 58,500 pallets when it is completed </w:t>
      </w:r>
      <w:r w:rsidR="004C5828" w:rsidRPr="003A3374">
        <w:t xml:space="preserve">(due </w:t>
      </w:r>
      <w:r w:rsidRPr="003A3374">
        <w:t>in 2026</w:t>
      </w:r>
      <w:r w:rsidR="004C5828" w:rsidRPr="003A3374">
        <w:t>)</w:t>
      </w:r>
      <w:r w:rsidRPr="003A3374">
        <w:t>. This comes just over ten years after the first ASRS was completed in 2014 and should boost CCGB’s operating margin by removing c£6m pa of logistics costs.</w:t>
      </w:r>
    </w:p>
    <w:p w14:paraId="6B58CDFD" w14:textId="3996C1F6" w:rsidR="00044497" w:rsidRPr="003A3374" w:rsidRDefault="000858D9" w:rsidP="00BB31F6">
      <w:pPr>
        <w:pStyle w:val="BodyText"/>
      </w:pPr>
      <w:r w:rsidRPr="003A3374">
        <w:lastRenderedPageBreak/>
        <w:t>CCEP hosted an excellent site visit to the Wakefield plant and a market tour around Leeds on 18 November 2025.</w:t>
      </w:r>
      <w:r w:rsidR="008D1E83" w:rsidRPr="003A3374">
        <w:t xml:space="preserve"> Wakefield is the company’s second largest plant by volumes after the Canlubang plant in the Philippines, which we</w:t>
      </w:r>
      <w:r w:rsidR="00835DD1" w:rsidRPr="003A3374">
        <w:t xml:space="preserve"> also</w:t>
      </w:r>
      <w:r w:rsidR="008D1E83" w:rsidRPr="003A3374">
        <w:t xml:space="preserve"> visited earlier in the year, see ‘</w:t>
      </w:r>
      <w:hyperlink r:id="rId37" w:history="1">
        <w:r w:rsidR="008D1E83" w:rsidRPr="003A3374">
          <w:rPr>
            <w:rStyle w:val="Hyperlink"/>
          </w:rPr>
          <w:t>From Manila to Jakarta</w:t>
        </w:r>
      </w:hyperlink>
      <w:r w:rsidR="008D1E83" w:rsidRPr="003A3374">
        <w:t>’ (8 July 2025).</w:t>
      </w:r>
    </w:p>
    <w:p w14:paraId="186C682D" w14:textId="025366E9" w:rsidR="00851544" w:rsidRPr="003A3374" w:rsidRDefault="00CE103E" w:rsidP="00BB31F6">
      <w:pPr>
        <w:pStyle w:val="BodyText"/>
      </w:pPr>
      <w:r w:rsidRPr="003A3374">
        <w:t xml:space="preserve">The site visit showcased where all this investment had been spent: rows of </w:t>
      </w:r>
      <w:r w:rsidR="00D93456" w:rsidRPr="003A3374">
        <w:t>state-of-the-art</w:t>
      </w:r>
      <w:r w:rsidRPr="003A3374">
        <w:t xml:space="preserve"> manufacturing lines</w:t>
      </w:r>
      <w:r w:rsidR="00D93456" w:rsidRPr="003A3374">
        <w:t xml:space="preserve"> (including one of the two Monster Energy drinks lines in Great Britain)</w:t>
      </w:r>
      <w:r w:rsidRPr="003A3374">
        <w:t>, robotic automatic palletising machines, a 3</w:t>
      </w:r>
      <w:r w:rsidR="00D93456" w:rsidRPr="003A3374">
        <w:t xml:space="preserve">8 </w:t>
      </w:r>
      <w:r w:rsidRPr="003A3374">
        <w:t>metre tall ASRS that seamlessly stores and retrieves thousands of pallets, and more (</w:t>
      </w:r>
      <w:r w:rsidR="008F59EF" w:rsidRPr="003A3374">
        <w:t>Fig </w:t>
      </w:r>
      <w:r w:rsidR="008F59EF" w:rsidRPr="003A3374">
        <w:fldChar w:fldCharType="begin"/>
      </w:r>
      <w:r w:rsidR="008F59EF" w:rsidRPr="003A3374">
        <w:instrText xml:space="preserve"> REF LINK_058352 \h </w:instrText>
      </w:r>
      <w:r w:rsidR="008F59EF" w:rsidRPr="003A3374">
        <w:fldChar w:fldCharType="separate"/>
      </w:r>
      <w:r w:rsidR="006A4635" w:rsidRPr="003A3374">
        <w:rPr>
          <w:noProof/>
        </w:rPr>
        <w:t>12</w:t>
      </w:r>
      <w:r w:rsidR="008F59EF" w:rsidRPr="003A3374">
        <w:fldChar w:fldCharType="end"/>
      </w:r>
      <w:r w:rsidRPr="003A3374">
        <w:t>).</w:t>
      </w:r>
    </w:p>
    <w:p w14:paraId="6BC3B4B6" w14:textId="454E351B" w:rsidR="00422A41" w:rsidRPr="003A3374" w:rsidRDefault="003921ED" w:rsidP="00BB31F6">
      <w:pPr>
        <w:pStyle w:val="BodyText"/>
      </w:pPr>
      <w:r w:rsidRPr="003A3374">
        <w:t xml:space="preserve">Like Canlubang, all the employees that we encountered at the Wakefield plant were passionate about their role and highly knowledgeable about their domain. </w:t>
      </w:r>
      <w:r w:rsidR="00B9363B" w:rsidRPr="003A3374">
        <w:t xml:space="preserve">One aspect that impressed us was the future-proofing </w:t>
      </w:r>
      <w:r w:rsidR="000D013A" w:rsidRPr="003A3374">
        <w:t>at</w:t>
      </w:r>
      <w:r w:rsidR="00B9363B" w:rsidRPr="003A3374">
        <w:t xml:space="preserve"> the plant; not just building a new ASRS to help meet future demand, but a local hiring programme to train </w:t>
      </w:r>
      <w:r w:rsidR="000D013A" w:rsidRPr="003A3374">
        <w:t xml:space="preserve">young </w:t>
      </w:r>
      <w:r w:rsidR="00B9363B" w:rsidRPr="003A3374">
        <w:t xml:space="preserve">engineers </w:t>
      </w:r>
      <w:r w:rsidR="000D013A" w:rsidRPr="003A3374">
        <w:t xml:space="preserve">to counter </w:t>
      </w:r>
      <w:r w:rsidR="00C37F5E" w:rsidRPr="003A3374">
        <w:t>any</w:t>
      </w:r>
      <w:r w:rsidR="000D013A" w:rsidRPr="003A3374">
        <w:t xml:space="preserve"> </w:t>
      </w:r>
      <w:r w:rsidR="00B9363B" w:rsidRPr="003A3374">
        <w:t xml:space="preserve">potential </w:t>
      </w:r>
      <w:r w:rsidR="000D013A" w:rsidRPr="003A3374">
        <w:t>‘</w:t>
      </w:r>
      <w:r w:rsidR="00CC5B01" w:rsidRPr="003A3374">
        <w:t>cliff edge</w:t>
      </w:r>
      <w:r w:rsidR="000D013A" w:rsidRPr="003A3374">
        <w:t xml:space="preserve">’ when c100-150 more senior employees retire in </w:t>
      </w:r>
      <w:r w:rsidR="001B42EF" w:rsidRPr="003A3374">
        <w:t>future</w:t>
      </w:r>
      <w:r w:rsidR="000D013A" w:rsidRPr="003A3374">
        <w:t xml:space="preserve"> (many of whom joined the plant back in 1989).</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F074C9" w:rsidRPr="003A3374" w14:paraId="7498F9B7" w14:textId="77777777" w:rsidTr="008F59EF">
        <w:trPr>
          <w:cantSplit/>
          <w:tblHeader/>
        </w:trPr>
        <w:tc>
          <w:tcPr>
            <w:tcW w:w="7653" w:type="dxa"/>
            <w:tcBorders>
              <w:bottom w:val="single" w:sz="8" w:space="0" w:color="000000" w:themeColor="text1"/>
            </w:tcBorders>
            <w:vAlign w:val="bottom"/>
          </w:tcPr>
          <w:p w14:paraId="65FEA1FB" w14:textId="4D3383E1" w:rsidR="00F074C9" w:rsidRPr="003A3374" w:rsidRDefault="00F074C9" w:rsidP="00F074C9">
            <w:pPr>
              <w:pStyle w:val="TableTitle"/>
            </w:pPr>
            <w:bookmarkStart w:id="28" w:name="PH_1_4_1_014117"/>
            <w:r w:rsidRPr="003A3374">
              <w:t xml:space="preserve">Fig </w:t>
            </w:r>
            <w:bookmarkStart w:id="29" w:name="LINK_058352"/>
            <w:r w:rsidRPr="003A3374">
              <w:fldChar w:fldCharType="begin"/>
            </w:r>
            <w:r w:rsidRPr="003A3374">
              <w:instrText xml:space="preserve"> SEQ Fig </w:instrText>
            </w:r>
            <w:r w:rsidRPr="003A3374">
              <w:fldChar w:fldCharType="separate"/>
            </w:r>
            <w:r w:rsidR="006A4635" w:rsidRPr="003A3374">
              <w:rPr>
                <w:noProof/>
              </w:rPr>
              <w:t>12</w:t>
            </w:r>
            <w:r w:rsidRPr="003A3374">
              <w:fldChar w:fldCharType="end"/>
            </w:r>
            <w:bookmarkEnd w:id="29"/>
            <w:r w:rsidRPr="003A3374">
              <w:t xml:space="preserve">: </w:t>
            </w:r>
            <w:r w:rsidR="008F59EF" w:rsidRPr="003A3374">
              <w:t>Producing just under half of CCGB’s volumes</w:t>
            </w:r>
          </w:p>
        </w:tc>
      </w:tr>
      <w:tr w:rsidR="00F074C9" w:rsidRPr="003A3374" w14:paraId="3976036D" w14:textId="77777777" w:rsidTr="008F59EF">
        <w:trPr>
          <w:cantSplit/>
        </w:trPr>
        <w:tc>
          <w:tcPr>
            <w:tcW w:w="7653" w:type="dxa"/>
            <w:tcBorders>
              <w:top w:val="single" w:sz="8" w:space="0" w:color="000000" w:themeColor="text1"/>
              <w:bottom w:val="single" w:sz="8" w:space="0" w:color="000000" w:themeColor="text1"/>
            </w:tcBorders>
          </w:tcPr>
          <w:p w14:paraId="2BB0D206" w14:textId="64FDCE0C" w:rsidR="00F074C9" w:rsidRPr="003A3374" w:rsidRDefault="00F074C9" w:rsidP="00F074C9">
            <w:pPr>
              <w:pStyle w:val="Tableplaceholder"/>
            </w:pPr>
            <w:r w:rsidRPr="003A3374">
              <w:rPr>
                <w:noProof/>
              </w:rPr>
              <w:drawing>
                <wp:inline distT="0" distB="0" distL="0" distR="0" wp14:anchorId="5D3FCE1E" wp14:editId="0875E578">
                  <wp:extent cx="4650406" cy="2160000"/>
                  <wp:effectExtent l="0" t="0" r="0" b="0"/>
                  <wp:docPr id="62032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747" t="30702" r="-1" b="7830"/>
                          <a:stretch>
                            <a:fillRect/>
                          </a:stretch>
                        </pic:blipFill>
                        <pic:spPr bwMode="auto">
                          <a:xfrm>
                            <a:off x="0" y="0"/>
                            <a:ext cx="4650406" cy="216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074C9" w:rsidRPr="003A3374" w14:paraId="436EB56C" w14:textId="77777777" w:rsidTr="008F59EF">
        <w:trPr>
          <w:cantSplit/>
        </w:trPr>
        <w:tc>
          <w:tcPr>
            <w:tcW w:w="7653" w:type="dxa"/>
            <w:tcBorders>
              <w:top w:val="single" w:sz="8" w:space="0" w:color="000000" w:themeColor="text1"/>
            </w:tcBorders>
          </w:tcPr>
          <w:p w14:paraId="7F6E3EDE" w14:textId="41E982AD" w:rsidR="00F074C9" w:rsidRPr="003A3374" w:rsidRDefault="00F074C9" w:rsidP="00F074C9">
            <w:pPr>
              <w:pStyle w:val="TableSource"/>
            </w:pPr>
            <w:r w:rsidRPr="003A3374">
              <w:t>Source: Rothschild &amp; Co Redburn</w:t>
            </w:r>
          </w:p>
        </w:tc>
      </w:tr>
    </w:tbl>
    <w:p w14:paraId="3EB23EB0" w14:textId="38AD7A73" w:rsidR="00836E36" w:rsidRPr="003A3374" w:rsidRDefault="00F467F2" w:rsidP="009B5BCF">
      <w:pPr>
        <w:pStyle w:val="Heading10"/>
      </w:pPr>
      <w:bookmarkStart w:id="30" w:name="_Toc214545124"/>
      <w:bookmarkEnd w:id="28"/>
      <w:r w:rsidRPr="003A3374">
        <w:t>The British soft drinks market</w:t>
      </w:r>
      <w:bookmarkEnd w:id="30"/>
    </w:p>
    <w:p w14:paraId="3276B7B6" w14:textId="37EB5309" w:rsidR="00F074C9" w:rsidRPr="003A3374" w:rsidRDefault="00F074C9" w:rsidP="00836E36">
      <w:pPr>
        <w:pStyle w:val="BodyText"/>
      </w:pPr>
      <w:r w:rsidRPr="003A3374">
        <w:t xml:space="preserve">Before discussing the Leeds market visit it is worth setting the scene by discussing the British soft drinks </w:t>
      </w:r>
      <w:r w:rsidR="00236970" w:rsidRPr="003A3374">
        <w:t>industry</w:t>
      </w:r>
      <w:r w:rsidRPr="003A3374">
        <w:t>.</w:t>
      </w:r>
    </w:p>
    <w:p w14:paraId="4BEB0061" w14:textId="6000D415" w:rsidR="00836E36" w:rsidRPr="003A3374" w:rsidRDefault="00F23AE3" w:rsidP="00836E36">
      <w:pPr>
        <w:pStyle w:val="BodyText"/>
      </w:pPr>
      <w:r w:rsidRPr="003A3374">
        <w:t>CC</w:t>
      </w:r>
      <w:r w:rsidR="00C003F5" w:rsidRPr="003A3374">
        <w:t>GB</w:t>
      </w:r>
      <w:r w:rsidR="00B017F8" w:rsidRPr="003A3374">
        <w:t>’s strong route-to-market underpins its</w:t>
      </w:r>
      <w:r w:rsidRPr="003A3374">
        <w:t xml:space="preserve"> </w:t>
      </w:r>
      <w:r w:rsidR="002C4056" w:rsidRPr="003A3374">
        <w:t>leadership</w:t>
      </w:r>
      <w:r w:rsidR="00B017F8" w:rsidRPr="003A3374">
        <w:t xml:space="preserve"> </w:t>
      </w:r>
      <w:r w:rsidR="00F35F45" w:rsidRPr="003A3374">
        <w:t>in</w:t>
      </w:r>
      <w:r w:rsidRPr="003A3374">
        <w:t xml:space="preserve"> </w:t>
      </w:r>
      <w:r w:rsidR="0095297E" w:rsidRPr="003A3374">
        <w:t xml:space="preserve">a </w:t>
      </w:r>
      <w:r w:rsidRPr="003A3374">
        <w:t xml:space="preserve">soft drinks </w:t>
      </w:r>
      <w:r w:rsidR="0095297E" w:rsidRPr="003A3374">
        <w:t xml:space="preserve">category that </w:t>
      </w:r>
      <w:r w:rsidRPr="003A3374">
        <w:t xml:space="preserve">we estimate </w:t>
      </w:r>
      <w:r w:rsidR="00F35F45" w:rsidRPr="003A3374">
        <w:t xml:space="preserve">is worth just over £21bn </w:t>
      </w:r>
      <w:r w:rsidR="002F405F" w:rsidRPr="003A3374">
        <w:t xml:space="preserve">in </w:t>
      </w:r>
      <w:r w:rsidR="00FF5A27" w:rsidRPr="003A3374">
        <w:t xml:space="preserve">retail </w:t>
      </w:r>
      <w:r w:rsidR="002F405F" w:rsidRPr="003A3374">
        <w:t xml:space="preserve">value </w:t>
      </w:r>
      <w:r w:rsidR="00F35F45" w:rsidRPr="003A3374">
        <w:t xml:space="preserve">and has grown at </w:t>
      </w:r>
      <w:r w:rsidR="00D67E7B" w:rsidRPr="003A3374">
        <w:t xml:space="preserve">just over </w:t>
      </w:r>
      <w:r w:rsidR="00F35F45" w:rsidRPr="003A3374">
        <w:t>a c4% CAGR over the past decade (</w:t>
      </w:r>
      <w:r w:rsidR="008227EF" w:rsidRPr="003A3374">
        <w:t>Fig </w:t>
      </w:r>
      <w:r w:rsidR="008227EF" w:rsidRPr="003A3374">
        <w:fldChar w:fldCharType="begin"/>
      </w:r>
      <w:r w:rsidR="008227EF" w:rsidRPr="003A3374">
        <w:instrText xml:space="preserve"> REF LINK_047614 \h </w:instrText>
      </w:r>
      <w:r w:rsidR="008227EF" w:rsidRPr="003A3374">
        <w:fldChar w:fldCharType="separate"/>
      </w:r>
      <w:r w:rsidR="006A4635" w:rsidRPr="003A3374">
        <w:rPr>
          <w:noProof/>
        </w:rPr>
        <w:t>13</w:t>
      </w:r>
      <w:r w:rsidR="008227EF" w:rsidRPr="003A3374">
        <w:fldChar w:fldCharType="end"/>
      </w:r>
      <w:r w:rsidR="00F35F45" w:rsidRPr="003A3374">
        <w:t>). The largest channel is grocery (i.e. supermarket chains like Tesco)</w:t>
      </w:r>
      <w:r w:rsidR="00451924" w:rsidRPr="003A3374">
        <w:t xml:space="preserve"> at 48% of total</w:t>
      </w:r>
      <w:r w:rsidR="00241806" w:rsidRPr="003A3374">
        <w:t xml:space="preserve"> soft drinks value</w:t>
      </w:r>
      <w:r w:rsidR="00451924" w:rsidRPr="003A3374">
        <w:t>, while the AFH channel</w:t>
      </w:r>
      <w:r w:rsidR="004C3093" w:rsidRPr="003A3374">
        <w:t xml:space="preserve"> – convenience stores, licensed outlets (hotels, pubs, restaurant) and food service (quick-service restaurants, leisure and travel) –</w:t>
      </w:r>
      <w:r w:rsidR="00451924" w:rsidRPr="003A3374">
        <w:t xml:space="preserve"> </w:t>
      </w:r>
      <w:r w:rsidR="00E0721A" w:rsidRPr="003A3374">
        <w:t>is</w:t>
      </w:r>
      <w:r w:rsidR="00451924" w:rsidRPr="003A3374">
        <w:t xml:space="preserve"> </w:t>
      </w:r>
      <w:r w:rsidR="00944109" w:rsidRPr="003A3374">
        <w:t>52%</w:t>
      </w:r>
      <w:r w:rsidR="00451924" w:rsidRPr="003A3374">
        <w:t>.</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E176C4" w:rsidRPr="003A3374" w14:paraId="65BDE7DD" w14:textId="77777777" w:rsidTr="00E176C4">
        <w:trPr>
          <w:cantSplit/>
          <w:tblHeader/>
        </w:trPr>
        <w:tc>
          <w:tcPr>
            <w:tcW w:w="7654" w:type="dxa"/>
            <w:tcBorders>
              <w:bottom w:val="single" w:sz="8" w:space="0" w:color="000000" w:themeColor="text1"/>
            </w:tcBorders>
            <w:vAlign w:val="bottom"/>
          </w:tcPr>
          <w:p w14:paraId="01B05BC9" w14:textId="6B557F33" w:rsidR="00E176C4" w:rsidRPr="003A3374" w:rsidRDefault="00E176C4" w:rsidP="00E176C4">
            <w:pPr>
              <w:pStyle w:val="TableTitle"/>
            </w:pPr>
            <w:bookmarkStart w:id="31" w:name="PH_1_4_1_054969"/>
            <w:r w:rsidRPr="003A3374">
              <w:lastRenderedPageBreak/>
              <w:t xml:space="preserve">Fig </w:t>
            </w:r>
            <w:bookmarkStart w:id="32" w:name="LINK_047614"/>
            <w:r w:rsidRPr="003A3374">
              <w:fldChar w:fldCharType="begin"/>
            </w:r>
            <w:r w:rsidRPr="003A3374">
              <w:instrText xml:space="preserve"> SEQ Fig </w:instrText>
            </w:r>
            <w:r w:rsidRPr="003A3374">
              <w:fldChar w:fldCharType="separate"/>
            </w:r>
            <w:r w:rsidR="006A4635" w:rsidRPr="003A3374">
              <w:rPr>
                <w:noProof/>
              </w:rPr>
              <w:t>13</w:t>
            </w:r>
            <w:r w:rsidRPr="003A3374">
              <w:fldChar w:fldCharType="end"/>
            </w:r>
            <w:bookmarkEnd w:id="32"/>
            <w:r w:rsidRPr="003A3374">
              <w:t xml:space="preserve">: </w:t>
            </w:r>
            <w:r w:rsidR="00964FD9" w:rsidRPr="003A3374">
              <w:t>Keep Calm and Carry On</w:t>
            </w:r>
          </w:p>
        </w:tc>
      </w:tr>
      <w:tr w:rsidR="00E176C4" w:rsidRPr="003A3374" w14:paraId="3D879C4C" w14:textId="77777777" w:rsidTr="00E176C4">
        <w:trPr>
          <w:cantSplit/>
        </w:trPr>
        <w:tc>
          <w:tcPr>
            <w:tcW w:w="7654" w:type="dxa"/>
            <w:tcBorders>
              <w:top w:val="single" w:sz="8" w:space="0" w:color="000000" w:themeColor="text1"/>
              <w:bottom w:val="single" w:sz="8" w:space="0" w:color="000000" w:themeColor="text1"/>
            </w:tcBorders>
          </w:tcPr>
          <w:p w14:paraId="4174EBD2" w14:textId="79F1F6CE" w:rsidR="00E176C4" w:rsidRPr="003A3374" w:rsidRDefault="000C7E1F" w:rsidP="00E176C4">
            <w:pPr>
              <w:pStyle w:val="Tableplaceholder"/>
            </w:pPr>
            <w:r w:rsidRPr="003A3374">
              <w:rPr>
                <w:noProof/>
              </w:rPr>
              <w:drawing>
                <wp:inline distT="0" distB="0" distL="0" distR="0" wp14:anchorId="00E28D57" wp14:editId="5062D0D2">
                  <wp:extent cx="4859655" cy="2156460"/>
                  <wp:effectExtent l="0" t="0" r="0" b="0"/>
                  <wp:docPr id="13924459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59655" cy="2156460"/>
                          </a:xfrm>
                          <a:prstGeom prst="rect">
                            <a:avLst/>
                          </a:prstGeom>
                          <a:noFill/>
                          <a:ln>
                            <a:noFill/>
                          </a:ln>
                        </pic:spPr>
                      </pic:pic>
                    </a:graphicData>
                  </a:graphic>
                </wp:inline>
              </w:drawing>
            </w:r>
          </w:p>
        </w:tc>
      </w:tr>
      <w:tr w:rsidR="00E176C4" w:rsidRPr="003A3374" w14:paraId="5F4BFF2E" w14:textId="77777777" w:rsidTr="00E176C4">
        <w:trPr>
          <w:cantSplit/>
        </w:trPr>
        <w:tc>
          <w:tcPr>
            <w:tcW w:w="7654" w:type="dxa"/>
            <w:tcBorders>
              <w:top w:val="single" w:sz="8" w:space="0" w:color="000000" w:themeColor="text1"/>
            </w:tcBorders>
          </w:tcPr>
          <w:p w14:paraId="1683F49E" w14:textId="7C3A03B9" w:rsidR="00E176C4" w:rsidRPr="003A3374" w:rsidRDefault="00E176C4" w:rsidP="00E176C4">
            <w:pPr>
              <w:pStyle w:val="TableSource"/>
            </w:pPr>
            <w:r w:rsidRPr="003A3374">
              <w:t xml:space="preserve">Source: Rothschild &amp; Co Redburn, Nielsen CGA, </w:t>
            </w:r>
            <w:r w:rsidR="0072097C" w:rsidRPr="003A3374">
              <w:t xml:space="preserve">Circana, </w:t>
            </w:r>
            <w:r w:rsidRPr="003A3374">
              <w:t>Kantar</w:t>
            </w:r>
          </w:p>
        </w:tc>
      </w:tr>
      <w:bookmarkEnd w:id="31"/>
    </w:tbl>
    <w:p w14:paraId="018960E1" w14:textId="77777777" w:rsidR="00E176C4" w:rsidRPr="003A3374" w:rsidRDefault="00E176C4" w:rsidP="00694885">
      <w:pPr>
        <w:pStyle w:val="Tablespaceafter"/>
      </w:pPr>
    </w:p>
    <w:p w14:paraId="3B4CBE72" w14:textId="2F71EBDB" w:rsidR="003127AA" w:rsidRPr="003A3374" w:rsidRDefault="00FA7D59" w:rsidP="0065286E">
      <w:pPr>
        <w:pStyle w:val="BodyText"/>
      </w:pPr>
      <w:r w:rsidRPr="003A3374">
        <w:t>In the five years prior to the pandemic, the British soft drinks market grew at c3.5% pa, balanced between volume growth and average realised price (ARP) growth</w:t>
      </w:r>
      <w:r w:rsidR="007C1ACF" w:rsidRPr="003A3374">
        <w:t>, which is what we expect it will grow at in future</w:t>
      </w:r>
      <w:r w:rsidRPr="003A3374">
        <w:t xml:space="preserve"> (</w:t>
      </w:r>
      <w:r w:rsidR="009117A2" w:rsidRPr="003A3374">
        <w:t>Fig </w:t>
      </w:r>
      <w:r w:rsidR="009117A2" w:rsidRPr="003A3374">
        <w:fldChar w:fldCharType="begin"/>
      </w:r>
      <w:r w:rsidR="009117A2" w:rsidRPr="003A3374">
        <w:instrText xml:space="preserve"> REF LINK_017232 \h </w:instrText>
      </w:r>
      <w:r w:rsidR="009117A2" w:rsidRPr="003A3374">
        <w:fldChar w:fldCharType="separate"/>
      </w:r>
      <w:r w:rsidR="006A4635" w:rsidRPr="003A3374">
        <w:rPr>
          <w:noProof/>
        </w:rPr>
        <w:t>14</w:t>
      </w:r>
      <w:r w:rsidR="009117A2" w:rsidRPr="003A3374">
        <w:fldChar w:fldCharType="end"/>
      </w:r>
      <w:r w:rsidRPr="003A3374">
        <w:t xml:space="preserve">). </w:t>
      </w:r>
      <w:r w:rsidR="003127AA" w:rsidRPr="003A3374">
        <w:t xml:space="preserve">The 2020 pandemic led to </w:t>
      </w:r>
      <w:r w:rsidR="007606E9" w:rsidRPr="003A3374">
        <w:t xml:space="preserve">a c-8% volume contraction, on our estimates, with </w:t>
      </w:r>
      <w:r w:rsidR="00351118" w:rsidRPr="003A3374">
        <w:t>a c-14%</w:t>
      </w:r>
      <w:r w:rsidR="007606E9" w:rsidRPr="003A3374">
        <w:t xml:space="preserve"> ARP </w:t>
      </w:r>
      <w:r w:rsidR="00351118" w:rsidRPr="003A3374">
        <w:t xml:space="preserve">decline </w:t>
      </w:r>
      <w:r w:rsidR="007606E9" w:rsidRPr="003A3374">
        <w:t xml:space="preserve">due to the negative mix effect of volumes shifting to the lower revenue-per-litre grocery channel, coupled with private label then winning share from branded players </w:t>
      </w:r>
      <w:r w:rsidR="00901A9B" w:rsidRPr="003A3374">
        <w:t>with</w:t>
      </w:r>
      <w:r w:rsidR="007606E9" w:rsidRPr="003A3374">
        <w:t>in the grocery channel.</w:t>
      </w:r>
    </w:p>
    <w:p w14:paraId="5493D5B2" w14:textId="71B26079" w:rsidR="00480C85" w:rsidRPr="003A3374" w:rsidRDefault="00946722" w:rsidP="00480C85">
      <w:pPr>
        <w:pStyle w:val="BodyText"/>
      </w:pPr>
      <w:r w:rsidRPr="003A3374">
        <w:t>V</w:t>
      </w:r>
      <w:r w:rsidR="00C61B52" w:rsidRPr="003A3374">
        <w:t>olumes sold through the</w:t>
      </w:r>
      <w:r w:rsidR="00480C85" w:rsidRPr="003A3374">
        <w:t xml:space="preserve"> licensed and food service</w:t>
      </w:r>
      <w:r w:rsidR="00C61B52" w:rsidRPr="003A3374">
        <w:t xml:space="preserve"> channels </w:t>
      </w:r>
      <w:r w:rsidR="00480C85" w:rsidRPr="003A3374">
        <w:t>ha</w:t>
      </w:r>
      <w:r w:rsidRPr="003A3374">
        <w:t>ve</w:t>
      </w:r>
      <w:r w:rsidR="00480C85" w:rsidRPr="003A3374">
        <w:t xml:space="preserve"> not recovered to pre-pandemic levels due to the constant challenges faced by the UK hospitality industry since 2020 – lockdown closures and a slow reopening, high inflation (particularly labour, food and energy) since 2022, and tax hikes in 2024</w:t>
      </w:r>
      <w:r w:rsidR="00926C1A" w:rsidRPr="003A3374">
        <w:t xml:space="preserve"> (Fig </w:t>
      </w:r>
      <w:r w:rsidR="00926C1A" w:rsidRPr="003A3374">
        <w:fldChar w:fldCharType="begin"/>
      </w:r>
      <w:r w:rsidR="00926C1A" w:rsidRPr="003A3374">
        <w:instrText xml:space="preserve"> REF LINK_091833 \h </w:instrText>
      </w:r>
      <w:r w:rsidR="00926C1A" w:rsidRPr="003A3374">
        <w:fldChar w:fldCharType="separate"/>
      </w:r>
      <w:r w:rsidR="00926C1A" w:rsidRPr="003A3374">
        <w:rPr>
          <w:noProof/>
        </w:rPr>
        <w:t>15</w:t>
      </w:r>
      <w:r w:rsidR="00926C1A" w:rsidRPr="003A3374">
        <w:fldChar w:fldCharType="end"/>
      </w:r>
      <w:r w:rsidR="00926C1A" w:rsidRPr="003A3374">
        <w:t>)</w:t>
      </w:r>
      <w:r w:rsidR="00480C85" w:rsidRPr="003A3374">
        <w:t>.</w:t>
      </w:r>
    </w:p>
    <w:tbl>
      <w:tblPr>
        <w:tblStyle w:val="TableGrid"/>
        <w:tblW w:w="9637" w:type="dxa"/>
        <w:tblLayout w:type="fixed"/>
        <w:tblCellMar>
          <w:left w:w="0" w:type="dxa"/>
          <w:right w:w="0" w:type="dxa"/>
        </w:tblCellMar>
        <w:tblLook w:val="04A0" w:firstRow="1" w:lastRow="0" w:firstColumn="1" w:lastColumn="0" w:noHBand="0" w:noVBand="1"/>
      </w:tblPr>
      <w:tblGrid>
        <w:gridCol w:w="4705"/>
        <w:gridCol w:w="227"/>
        <w:gridCol w:w="4705"/>
      </w:tblGrid>
      <w:tr w:rsidR="0001655D" w:rsidRPr="003A3374" w14:paraId="66304CF2" w14:textId="77777777" w:rsidTr="00DB1DD5">
        <w:trPr>
          <w:cantSplit/>
          <w:tblHeader/>
        </w:trPr>
        <w:tc>
          <w:tcPr>
            <w:tcW w:w="4706" w:type="dxa"/>
            <w:tcBorders>
              <w:bottom w:val="single" w:sz="8" w:space="0" w:color="000000" w:themeColor="text1"/>
            </w:tcBorders>
            <w:vAlign w:val="bottom"/>
          </w:tcPr>
          <w:p w14:paraId="779B3685" w14:textId="7158426D" w:rsidR="0001655D" w:rsidRPr="003A3374" w:rsidRDefault="0001655D" w:rsidP="00DB1DD5">
            <w:pPr>
              <w:pStyle w:val="TableTitle"/>
            </w:pPr>
            <w:bookmarkStart w:id="33" w:name="PH_2_8_1_039649"/>
            <w:r w:rsidRPr="003A3374">
              <w:t xml:space="preserve">Fig </w:t>
            </w:r>
            <w:bookmarkStart w:id="34" w:name="LINK_017232"/>
            <w:r w:rsidRPr="003A3374">
              <w:fldChar w:fldCharType="begin"/>
            </w:r>
            <w:r w:rsidRPr="003A3374">
              <w:instrText xml:space="preserve"> SEQ Fig </w:instrText>
            </w:r>
            <w:r w:rsidRPr="003A3374">
              <w:fldChar w:fldCharType="separate"/>
            </w:r>
            <w:r w:rsidR="006A4635" w:rsidRPr="003A3374">
              <w:rPr>
                <w:noProof/>
              </w:rPr>
              <w:t>14</w:t>
            </w:r>
            <w:r w:rsidRPr="003A3374">
              <w:fldChar w:fldCharType="end"/>
            </w:r>
            <w:bookmarkEnd w:id="34"/>
            <w:r w:rsidRPr="003A3374">
              <w:t xml:space="preserve">: </w:t>
            </w:r>
            <w:r w:rsidR="009117A2" w:rsidRPr="003A3374">
              <w:t>Pandemic induced disruption…</w:t>
            </w:r>
          </w:p>
        </w:tc>
        <w:tc>
          <w:tcPr>
            <w:tcW w:w="227" w:type="dxa"/>
            <w:vAlign w:val="bottom"/>
          </w:tcPr>
          <w:p w14:paraId="188787E0" w14:textId="77777777" w:rsidR="0001655D" w:rsidRPr="003A3374" w:rsidRDefault="0001655D" w:rsidP="00DB1DD5">
            <w:pPr>
              <w:pStyle w:val="Normal0"/>
            </w:pPr>
          </w:p>
        </w:tc>
        <w:tc>
          <w:tcPr>
            <w:tcW w:w="4706" w:type="dxa"/>
            <w:tcBorders>
              <w:bottom w:val="single" w:sz="8" w:space="0" w:color="000000" w:themeColor="text1"/>
            </w:tcBorders>
            <w:vAlign w:val="bottom"/>
          </w:tcPr>
          <w:p w14:paraId="22746415" w14:textId="3FB38748" w:rsidR="0001655D" w:rsidRPr="003A3374" w:rsidRDefault="00DB1DD5" w:rsidP="00DB1DD5">
            <w:pPr>
              <w:pStyle w:val="TableTitle"/>
            </w:pPr>
            <w:r w:rsidRPr="003A3374">
              <w:t xml:space="preserve">Fig </w:t>
            </w:r>
            <w:bookmarkStart w:id="35" w:name="LINK_091833"/>
            <w:r w:rsidRPr="003A3374">
              <w:fldChar w:fldCharType="begin"/>
            </w:r>
            <w:r w:rsidRPr="003A3374">
              <w:instrText xml:space="preserve"> SEQ Fig </w:instrText>
            </w:r>
            <w:r w:rsidRPr="003A3374">
              <w:fldChar w:fldCharType="separate"/>
            </w:r>
            <w:r w:rsidR="006A4635" w:rsidRPr="003A3374">
              <w:rPr>
                <w:noProof/>
              </w:rPr>
              <w:t>15</w:t>
            </w:r>
            <w:r w:rsidRPr="003A3374">
              <w:fldChar w:fldCharType="end"/>
            </w:r>
            <w:bookmarkEnd w:id="35"/>
            <w:r w:rsidRPr="003A3374">
              <w:t xml:space="preserve">: </w:t>
            </w:r>
            <w:r w:rsidR="009117A2" w:rsidRPr="003A3374">
              <w:t>…led to sustained channel shift</w:t>
            </w:r>
          </w:p>
        </w:tc>
      </w:tr>
      <w:tr w:rsidR="0001655D" w:rsidRPr="003A3374" w14:paraId="29B48A91" w14:textId="77777777" w:rsidTr="00DB1DD5">
        <w:trPr>
          <w:cantSplit/>
        </w:trPr>
        <w:tc>
          <w:tcPr>
            <w:tcW w:w="4706" w:type="dxa"/>
            <w:tcBorders>
              <w:top w:val="single" w:sz="8" w:space="0" w:color="000000" w:themeColor="text1"/>
              <w:bottom w:val="single" w:sz="8" w:space="0" w:color="000000" w:themeColor="text1"/>
            </w:tcBorders>
          </w:tcPr>
          <w:p w14:paraId="6604DF84" w14:textId="235C92FE" w:rsidR="0001655D" w:rsidRPr="003A3374" w:rsidRDefault="00BE202D" w:rsidP="00DB1DD5">
            <w:pPr>
              <w:pStyle w:val="Tableplaceholder"/>
            </w:pPr>
            <w:r w:rsidRPr="003A3374">
              <w:rPr>
                <w:noProof/>
              </w:rPr>
              <w:drawing>
                <wp:inline distT="0" distB="0" distL="0" distR="0" wp14:anchorId="1C33B463" wp14:editId="7EA537DA">
                  <wp:extent cx="2987675" cy="1811020"/>
                  <wp:effectExtent l="0" t="0" r="3175" b="0"/>
                  <wp:docPr id="12936244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87675" cy="1811020"/>
                          </a:xfrm>
                          <a:prstGeom prst="rect">
                            <a:avLst/>
                          </a:prstGeom>
                          <a:noFill/>
                          <a:ln>
                            <a:noFill/>
                          </a:ln>
                        </pic:spPr>
                      </pic:pic>
                    </a:graphicData>
                  </a:graphic>
                </wp:inline>
              </w:drawing>
            </w:r>
          </w:p>
        </w:tc>
        <w:tc>
          <w:tcPr>
            <w:tcW w:w="227" w:type="dxa"/>
          </w:tcPr>
          <w:p w14:paraId="63FFB19A" w14:textId="77777777" w:rsidR="0001655D" w:rsidRPr="003A3374" w:rsidRDefault="0001655D" w:rsidP="00DB1DD5">
            <w:pPr>
              <w:pStyle w:val="Normal0"/>
            </w:pPr>
          </w:p>
        </w:tc>
        <w:tc>
          <w:tcPr>
            <w:tcW w:w="4706" w:type="dxa"/>
            <w:tcBorders>
              <w:top w:val="single" w:sz="8" w:space="0" w:color="000000" w:themeColor="text1"/>
              <w:bottom w:val="single" w:sz="8" w:space="0" w:color="000000" w:themeColor="text1"/>
            </w:tcBorders>
          </w:tcPr>
          <w:p w14:paraId="634D5B4D" w14:textId="178A19CC" w:rsidR="0001655D" w:rsidRPr="003A3374" w:rsidRDefault="003127AA" w:rsidP="00DB1DD5">
            <w:pPr>
              <w:pStyle w:val="Tableplaceholder"/>
            </w:pPr>
            <w:r w:rsidRPr="003A3374">
              <w:rPr>
                <w:noProof/>
              </w:rPr>
              <w:drawing>
                <wp:inline distT="0" distB="0" distL="0" distR="0" wp14:anchorId="70AD293D" wp14:editId="25FA89ED">
                  <wp:extent cx="2987675" cy="1797050"/>
                  <wp:effectExtent l="0" t="0" r="3175" b="0"/>
                  <wp:docPr id="3230377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87675" cy="1797050"/>
                          </a:xfrm>
                          <a:prstGeom prst="rect">
                            <a:avLst/>
                          </a:prstGeom>
                          <a:noFill/>
                          <a:ln>
                            <a:noFill/>
                          </a:ln>
                        </pic:spPr>
                      </pic:pic>
                    </a:graphicData>
                  </a:graphic>
                </wp:inline>
              </w:drawing>
            </w:r>
          </w:p>
        </w:tc>
      </w:tr>
      <w:tr w:rsidR="0001655D" w:rsidRPr="003A3374" w14:paraId="3E026A7B" w14:textId="77777777" w:rsidTr="00DB1DD5">
        <w:trPr>
          <w:cantSplit/>
        </w:trPr>
        <w:tc>
          <w:tcPr>
            <w:tcW w:w="4706" w:type="dxa"/>
            <w:tcBorders>
              <w:top w:val="single" w:sz="8" w:space="0" w:color="000000" w:themeColor="text1"/>
            </w:tcBorders>
          </w:tcPr>
          <w:p w14:paraId="0E349E3E" w14:textId="04C1BA68" w:rsidR="0001655D" w:rsidRPr="003A3374" w:rsidRDefault="0001655D" w:rsidP="00DB1DD5">
            <w:pPr>
              <w:pStyle w:val="TableSource"/>
            </w:pPr>
            <w:r w:rsidRPr="003A3374">
              <w:t>Source: Rothschild &amp; Co Redburn, Nielsen CGA, Circana, Kantar</w:t>
            </w:r>
          </w:p>
        </w:tc>
        <w:tc>
          <w:tcPr>
            <w:tcW w:w="227" w:type="dxa"/>
          </w:tcPr>
          <w:p w14:paraId="13A76188" w14:textId="77777777" w:rsidR="0001655D" w:rsidRPr="003A3374" w:rsidRDefault="0001655D" w:rsidP="00DB1DD5">
            <w:pPr>
              <w:pStyle w:val="Normal0"/>
            </w:pPr>
          </w:p>
        </w:tc>
        <w:tc>
          <w:tcPr>
            <w:tcW w:w="4706" w:type="dxa"/>
            <w:tcBorders>
              <w:top w:val="single" w:sz="8" w:space="0" w:color="000000" w:themeColor="text1"/>
            </w:tcBorders>
          </w:tcPr>
          <w:p w14:paraId="175549F1" w14:textId="6277FC79" w:rsidR="0001655D" w:rsidRPr="003A3374" w:rsidRDefault="00DB1DD5" w:rsidP="00DB1DD5">
            <w:pPr>
              <w:pStyle w:val="TableSource"/>
            </w:pPr>
            <w:r w:rsidRPr="003A3374">
              <w:t>Source: Rothschild &amp; Co Redburn, Nielsen CGA, Circana, Kantar</w:t>
            </w:r>
          </w:p>
        </w:tc>
      </w:tr>
      <w:bookmarkEnd w:id="33"/>
    </w:tbl>
    <w:p w14:paraId="7DBBD8E8" w14:textId="77777777" w:rsidR="0001655D" w:rsidRPr="003A3374" w:rsidRDefault="0001655D" w:rsidP="00E667A7">
      <w:pPr>
        <w:pStyle w:val="Tablespaceafter"/>
      </w:pPr>
    </w:p>
    <w:p w14:paraId="1C903BF4" w14:textId="3D381D16" w:rsidR="00F467F2" w:rsidRPr="003A3374" w:rsidRDefault="00F467F2" w:rsidP="009B5BCF">
      <w:pPr>
        <w:pStyle w:val="Heading20"/>
      </w:pPr>
      <w:bookmarkStart w:id="36" w:name="_Toc214545125"/>
      <w:r w:rsidRPr="003A3374">
        <w:t>The out-of-home recovery story…</w:t>
      </w:r>
      <w:bookmarkEnd w:id="36"/>
    </w:p>
    <w:p w14:paraId="70556E4F" w14:textId="3DAEB2F0" w:rsidR="006A5739" w:rsidRPr="003A3374" w:rsidRDefault="006A5739" w:rsidP="00DC2846">
      <w:pPr>
        <w:pStyle w:val="BodyText"/>
      </w:pPr>
      <w:r w:rsidRPr="003A3374">
        <w:t>The AFH channel definition includes convenience stores which have performed well since the pandemic – volumes are up 9% versus 2019 and the channel has risen from a 13% value share of total soft drinks in 2019 to 16% in 2024.</w:t>
      </w:r>
      <w:r w:rsidR="00DC2846" w:rsidRPr="003A3374">
        <w:t xml:space="preserve"> However, it is unclear whether drinks purchased in convenience stores are immediately consumed, or whether they are brought home for future consumption.</w:t>
      </w:r>
    </w:p>
    <w:p w14:paraId="139D6C2B" w14:textId="17983A90" w:rsidR="00C73BA1" w:rsidRPr="003A3374" w:rsidRDefault="00DC2846" w:rsidP="009E7D8C">
      <w:pPr>
        <w:pStyle w:val="BodyText"/>
      </w:pPr>
      <w:r w:rsidRPr="003A3374">
        <w:lastRenderedPageBreak/>
        <w:t>As such, we also look at the ‘out-of-home’ (OOH) channel</w:t>
      </w:r>
      <w:r w:rsidR="00F22735" w:rsidRPr="003A3374">
        <w:t xml:space="preserve"> </w:t>
      </w:r>
      <w:r w:rsidR="0043147A" w:rsidRPr="003A3374">
        <w:t xml:space="preserve">(a subset of the AFH channel) </w:t>
      </w:r>
      <w:r w:rsidR="00F22735" w:rsidRPr="003A3374">
        <w:t>where beverages are consumed immediately</w:t>
      </w:r>
      <w:r w:rsidR="0043147A" w:rsidRPr="003A3374">
        <w:t>. This is</w:t>
      </w:r>
      <w:r w:rsidR="009E7D8C" w:rsidRPr="003A3374">
        <w:t xml:space="preserve"> </w:t>
      </w:r>
      <w:r w:rsidR="0043147A" w:rsidRPr="003A3374">
        <w:t>the combined performance of the licensed and food service channels and</w:t>
      </w:r>
      <w:r w:rsidR="009E7D8C" w:rsidRPr="003A3374">
        <w:t xml:space="preserve"> where there has been the most </w:t>
      </w:r>
      <w:r w:rsidR="00C0323E" w:rsidRPr="003A3374">
        <w:t>pressure in recent years</w:t>
      </w:r>
      <w:r w:rsidR="009E7D8C" w:rsidRPr="003A3374">
        <w:t xml:space="preserve"> – </w:t>
      </w:r>
      <w:r w:rsidR="0065286E" w:rsidRPr="003A3374">
        <w:t xml:space="preserve">2024 volumes sold </w:t>
      </w:r>
      <w:r w:rsidR="009E7D8C" w:rsidRPr="003A3374">
        <w:t xml:space="preserve">in the OOH </w:t>
      </w:r>
      <w:r w:rsidR="002A0568" w:rsidRPr="003A3374">
        <w:t>channel</w:t>
      </w:r>
      <w:r w:rsidR="0065286E" w:rsidRPr="003A3374">
        <w:t xml:space="preserve"> are -10% compared to 2019</w:t>
      </w:r>
      <w:r w:rsidR="00C0323E" w:rsidRPr="003A3374">
        <w:t xml:space="preserve"> and </w:t>
      </w:r>
      <w:r w:rsidR="00480C85" w:rsidRPr="003A3374">
        <w:t>the</w:t>
      </w:r>
      <w:r w:rsidR="002942D5" w:rsidRPr="003A3374">
        <w:t xml:space="preserve"> </w:t>
      </w:r>
      <w:r w:rsidR="009E7D8C" w:rsidRPr="003A3374">
        <w:t>OOH</w:t>
      </w:r>
      <w:r w:rsidR="002942D5" w:rsidRPr="003A3374">
        <w:t xml:space="preserve"> channel has</w:t>
      </w:r>
      <w:r w:rsidR="00480C85" w:rsidRPr="003A3374">
        <w:t xml:space="preserve"> dropped from 46% of total </w:t>
      </w:r>
      <w:r w:rsidR="001B083E" w:rsidRPr="003A3374">
        <w:t xml:space="preserve">soft drinks </w:t>
      </w:r>
      <w:r w:rsidR="00480C85" w:rsidRPr="003A3374">
        <w:t xml:space="preserve">value </w:t>
      </w:r>
      <w:r w:rsidR="001B083E" w:rsidRPr="003A3374">
        <w:t xml:space="preserve">in 2019 </w:t>
      </w:r>
      <w:r w:rsidR="00480C85" w:rsidRPr="003A3374">
        <w:t>to 36% in 2024</w:t>
      </w:r>
      <w:r w:rsidR="006530F1" w:rsidRPr="003A3374">
        <w:t xml:space="preserve">, with the grocery channel picking up much of the gains and rising from 42% to 48% of </w:t>
      </w:r>
      <w:r w:rsidR="00C0323E" w:rsidRPr="003A3374">
        <w:t xml:space="preserve">total </w:t>
      </w:r>
      <w:r w:rsidR="006530F1" w:rsidRPr="003A3374">
        <w:t>industry value over the same period</w:t>
      </w:r>
      <w:r w:rsidR="00480C85" w:rsidRPr="003A3374">
        <w:t xml:space="preserve">. </w:t>
      </w:r>
    </w:p>
    <w:p w14:paraId="2611EBB6" w14:textId="1EF935C9" w:rsidR="00A3189D" w:rsidRPr="003A3374" w:rsidRDefault="00DD40ED" w:rsidP="00BF58F7">
      <w:pPr>
        <w:pStyle w:val="BodyText"/>
      </w:pPr>
      <w:r w:rsidRPr="003A3374">
        <w:t>We suspect that m</w:t>
      </w:r>
      <w:r w:rsidR="00F17EDD" w:rsidRPr="003A3374">
        <w:t xml:space="preserve">ost of the weakness in the </w:t>
      </w:r>
      <w:r w:rsidRPr="003A3374">
        <w:t>OOH</w:t>
      </w:r>
      <w:r w:rsidR="00F17EDD" w:rsidRPr="003A3374">
        <w:t xml:space="preserve"> channel </w:t>
      </w:r>
      <w:r w:rsidR="00865803" w:rsidRPr="003A3374">
        <w:t>is linked to</w:t>
      </w:r>
      <w:r w:rsidR="00F17EDD" w:rsidRPr="003A3374">
        <w:t xml:space="preserve"> </w:t>
      </w:r>
      <w:r w:rsidR="00FD0FE5" w:rsidRPr="003A3374">
        <w:t xml:space="preserve">near-term </w:t>
      </w:r>
      <w:r w:rsidR="00F17EDD" w:rsidRPr="003A3374">
        <w:t xml:space="preserve">affordability issues – for example, numerous quick-service-restaurant operators like McDonalds’s (Sell rated) raised prices aggressively in 2022, hitting footfall and same-store-sales growth, and are now </w:t>
      </w:r>
      <w:r w:rsidR="00747872" w:rsidRPr="003A3374">
        <w:t>back peddling</w:t>
      </w:r>
      <w:r w:rsidR="00F17EDD" w:rsidRPr="003A3374">
        <w:t xml:space="preserve"> </w:t>
      </w:r>
      <w:r w:rsidRPr="003A3374">
        <w:t>to</w:t>
      </w:r>
      <w:r w:rsidR="00F17EDD" w:rsidRPr="003A3374">
        <w:t xml:space="preserve"> improv</w:t>
      </w:r>
      <w:r w:rsidRPr="003A3374">
        <w:t>e</w:t>
      </w:r>
      <w:r w:rsidR="00F17EDD" w:rsidRPr="003A3374">
        <w:t xml:space="preserve"> their affordable menu offering.</w:t>
      </w:r>
      <w:r w:rsidR="00373BCF" w:rsidRPr="003A3374">
        <w:t xml:space="preserve"> The only sub-channel where we see</w:t>
      </w:r>
      <w:r w:rsidRPr="003A3374">
        <w:t xml:space="preserve"> </w:t>
      </w:r>
      <w:r w:rsidR="00373BCF" w:rsidRPr="003A3374">
        <w:t xml:space="preserve">structural pressure is in the nightclubs (c9%/c3% of </w:t>
      </w:r>
      <w:r w:rsidRPr="003A3374">
        <w:t>OOH</w:t>
      </w:r>
      <w:r w:rsidR="00373BCF" w:rsidRPr="003A3374">
        <w:t xml:space="preserve">/total Great Britain soft drinks value) as </w:t>
      </w:r>
      <w:r w:rsidR="00427394" w:rsidRPr="003A3374">
        <w:t xml:space="preserve">following the pandemic </w:t>
      </w:r>
      <w:r w:rsidR="00373BCF" w:rsidRPr="003A3374">
        <w:t>younger consumers have shunned socialising with strangers</w:t>
      </w:r>
      <w:r w:rsidR="00427394" w:rsidRPr="003A3374">
        <w:t xml:space="preserve"> in dark clubs</w:t>
      </w:r>
      <w:r w:rsidR="00373BCF" w:rsidRPr="003A3374">
        <w:t xml:space="preserve"> in favour of </w:t>
      </w:r>
      <w:r w:rsidR="00427394" w:rsidRPr="003A3374">
        <w:t xml:space="preserve">healthier lifestyles and visiting the </w:t>
      </w:r>
      <w:r w:rsidR="00373BCF" w:rsidRPr="003A3374">
        <w:t>gym.</w:t>
      </w:r>
    </w:p>
    <w:p w14:paraId="1287E272" w14:textId="1C1C941F" w:rsidR="00BF58F7" w:rsidRPr="003A3374" w:rsidRDefault="00BF58F7" w:rsidP="00FD0FE5">
      <w:pPr>
        <w:pStyle w:val="BodyText"/>
      </w:pPr>
      <w:r w:rsidRPr="003A3374">
        <w:t xml:space="preserve">For </w:t>
      </w:r>
      <w:r w:rsidR="00DD40ED" w:rsidRPr="003A3374">
        <w:t>CCGB</w:t>
      </w:r>
      <w:r w:rsidR="00FD0FE5" w:rsidRPr="003A3374">
        <w:t xml:space="preserve">, there is </w:t>
      </w:r>
      <w:r w:rsidRPr="003A3374">
        <w:t>potentia</w:t>
      </w:r>
      <w:r w:rsidR="00FD0FE5" w:rsidRPr="003A3374">
        <w:t>l</w:t>
      </w:r>
      <w:r w:rsidRPr="003A3374">
        <w:t>l</w:t>
      </w:r>
      <w:r w:rsidR="00FD0FE5" w:rsidRPr="003A3374">
        <w:t>y</w:t>
      </w:r>
      <w:r w:rsidRPr="003A3374">
        <w:t xml:space="preserve"> a significant price/mix growth </w:t>
      </w:r>
      <w:r w:rsidR="00FD0FE5" w:rsidRPr="003A3374">
        <w:t xml:space="preserve">opportunity </w:t>
      </w:r>
      <w:r w:rsidRPr="003A3374">
        <w:t>if the</w:t>
      </w:r>
      <w:r w:rsidR="00F22735" w:rsidRPr="003A3374">
        <w:t xml:space="preserve"> OOH </w:t>
      </w:r>
      <w:r w:rsidRPr="003A3374">
        <w:t xml:space="preserve">channel recovers. </w:t>
      </w:r>
      <w:r w:rsidR="004803F3" w:rsidRPr="003A3374">
        <w:t>For context, s</w:t>
      </w:r>
      <w:r w:rsidRPr="003A3374">
        <w:t xml:space="preserve">oft drinks sold through the licensed channel </w:t>
      </w:r>
      <w:r w:rsidR="00CB2164" w:rsidRPr="003A3374">
        <w:t>earn</w:t>
      </w:r>
      <w:r w:rsidRPr="003A3374">
        <w:t xml:space="preserve"> an ARP that is 3.2x that of the market average and 4.4x that of the grocery channel (</w:t>
      </w:r>
      <w:r w:rsidR="00AB3EC0" w:rsidRPr="003A3374">
        <w:t>Fig </w:t>
      </w:r>
      <w:r w:rsidR="00AB3EC0" w:rsidRPr="003A3374">
        <w:fldChar w:fldCharType="begin"/>
      </w:r>
      <w:r w:rsidR="00AB3EC0" w:rsidRPr="003A3374">
        <w:instrText xml:space="preserve"> REF LINK_092963 \h </w:instrText>
      </w:r>
      <w:r w:rsidR="00AB3EC0" w:rsidRPr="003A3374">
        <w:fldChar w:fldCharType="separate"/>
      </w:r>
      <w:r w:rsidR="006A4635" w:rsidRPr="003A3374">
        <w:rPr>
          <w:noProof/>
        </w:rPr>
        <w:t>16</w:t>
      </w:r>
      <w:r w:rsidR="00AB3EC0" w:rsidRPr="003A3374">
        <w:fldChar w:fldCharType="end"/>
      </w:r>
      <w:r w:rsidRPr="003A3374">
        <w:t>).</w:t>
      </w:r>
      <w:r w:rsidR="00213F6B" w:rsidRPr="003A3374">
        <w:t xml:space="preserve"> Meanwhile, soft drinks sold through food service earn an ARP that is 24% higher than the market average.</w:t>
      </w:r>
    </w:p>
    <w:p w14:paraId="0FCA0FC3" w14:textId="77777777" w:rsidR="00627963" w:rsidRPr="003A3374" w:rsidRDefault="004803F3" w:rsidP="003D6071">
      <w:pPr>
        <w:pStyle w:val="BodyText"/>
      </w:pPr>
      <w:r w:rsidRPr="003A3374">
        <w:t xml:space="preserve">We are not holding our breath ahead of the 2025 Autumn budget on 26 November, which could further dampen the consumer environment if, as widely expected, tax hikes are on the way. </w:t>
      </w:r>
      <w:r w:rsidR="00627963" w:rsidRPr="003A3374">
        <w:t>As discussed later in the market visit section, CCGB is not sitting idly waiting for the OOH channel to recover.</w:t>
      </w:r>
    </w:p>
    <w:p w14:paraId="68991F69" w14:textId="676F4872" w:rsidR="00FA41D3" w:rsidRPr="003A3374" w:rsidRDefault="00627963" w:rsidP="003D6071">
      <w:pPr>
        <w:pStyle w:val="BodyText"/>
      </w:pPr>
      <w:r w:rsidRPr="003A3374">
        <w:t>I</w:t>
      </w:r>
      <w:r w:rsidR="004803F3" w:rsidRPr="003A3374">
        <w:t xml:space="preserve">f and when the </w:t>
      </w:r>
      <w:r w:rsidR="00BD26B0" w:rsidRPr="003A3374">
        <w:t>OOH</w:t>
      </w:r>
      <w:r w:rsidR="004803F3" w:rsidRPr="003A3374">
        <w:t xml:space="preserve"> channel recovers</w:t>
      </w:r>
      <w:r w:rsidR="00BD26B0" w:rsidRPr="003A3374">
        <w:t>,</w:t>
      </w:r>
      <w:r w:rsidR="004803F3" w:rsidRPr="003A3374">
        <w:t xml:space="preserve"> C</w:t>
      </w:r>
      <w:r w:rsidR="00371300" w:rsidRPr="003A3374">
        <w:t>C</w:t>
      </w:r>
      <w:r w:rsidR="00BD26B0" w:rsidRPr="003A3374">
        <w:t>GB</w:t>
      </w:r>
      <w:r w:rsidR="00213F6B" w:rsidRPr="003A3374">
        <w:t xml:space="preserve"> is well positioned to </w:t>
      </w:r>
      <w:r w:rsidR="004803F3" w:rsidRPr="003A3374">
        <w:t>capitalise</w:t>
      </w:r>
      <w:r w:rsidR="00FD02CD" w:rsidRPr="003A3374">
        <w:t xml:space="preserve"> – we estimate that it holds a 46% and 47% </w:t>
      </w:r>
      <w:r w:rsidR="004803F3" w:rsidRPr="003A3374">
        <w:t xml:space="preserve">value </w:t>
      </w:r>
      <w:r w:rsidR="00FD02CD" w:rsidRPr="003A3374">
        <w:t>share</w:t>
      </w:r>
      <w:r w:rsidR="00E06008" w:rsidRPr="003A3374">
        <w:t xml:space="preserve"> of the total soft drinks category</w:t>
      </w:r>
      <w:r w:rsidR="00FD02CD" w:rsidRPr="003A3374">
        <w:t xml:space="preserve"> in the licensed and food service channels respectively, well ahead of the number two</w:t>
      </w:r>
      <w:r w:rsidR="004803F3" w:rsidRPr="003A3374">
        <w:t xml:space="preserve"> player</w:t>
      </w:r>
      <w:r w:rsidR="00FD02CD" w:rsidRPr="003A3374">
        <w:t xml:space="preserve"> Britvic (27% and 14% respectively)</w:t>
      </w:r>
      <w:r w:rsidR="00D67B4B" w:rsidRPr="003A3374">
        <w:t xml:space="preserve"> (</w:t>
      </w:r>
      <w:r w:rsidR="00AB3EC0" w:rsidRPr="003A3374">
        <w:t>Fig </w:t>
      </w:r>
      <w:r w:rsidR="00AB3EC0" w:rsidRPr="003A3374">
        <w:fldChar w:fldCharType="begin"/>
      </w:r>
      <w:r w:rsidR="00AB3EC0" w:rsidRPr="003A3374">
        <w:instrText xml:space="preserve"> REF LINK_078921 \h </w:instrText>
      </w:r>
      <w:r w:rsidR="00AB3EC0" w:rsidRPr="003A3374">
        <w:fldChar w:fldCharType="separate"/>
      </w:r>
      <w:r w:rsidR="006A4635" w:rsidRPr="003A3374">
        <w:rPr>
          <w:noProof/>
        </w:rPr>
        <w:t>17</w:t>
      </w:r>
      <w:r w:rsidR="00AB3EC0" w:rsidRPr="003A3374">
        <w:fldChar w:fldCharType="end"/>
      </w:r>
      <w:r w:rsidR="00D67B4B" w:rsidRPr="003A3374">
        <w:t>).</w:t>
      </w:r>
      <w:r w:rsidR="003D6071" w:rsidRPr="003A3374">
        <w:t xml:space="preserve"> </w:t>
      </w:r>
    </w:p>
    <w:tbl>
      <w:tblPr>
        <w:tblStyle w:val="TableGrid"/>
        <w:tblW w:w="9637" w:type="dxa"/>
        <w:tblLayout w:type="fixed"/>
        <w:tblCellMar>
          <w:left w:w="0" w:type="dxa"/>
          <w:right w:w="0" w:type="dxa"/>
        </w:tblCellMar>
        <w:tblLook w:val="04A0" w:firstRow="1" w:lastRow="0" w:firstColumn="1" w:lastColumn="0" w:noHBand="0" w:noVBand="1"/>
      </w:tblPr>
      <w:tblGrid>
        <w:gridCol w:w="4705"/>
        <w:gridCol w:w="227"/>
        <w:gridCol w:w="4705"/>
      </w:tblGrid>
      <w:tr w:rsidR="00BE202D" w:rsidRPr="003A3374" w14:paraId="60F3A454" w14:textId="77777777" w:rsidTr="00390A31">
        <w:trPr>
          <w:cantSplit/>
          <w:tblHeader/>
        </w:trPr>
        <w:tc>
          <w:tcPr>
            <w:tcW w:w="4705" w:type="dxa"/>
            <w:tcBorders>
              <w:bottom w:val="single" w:sz="8" w:space="0" w:color="000000" w:themeColor="text1"/>
            </w:tcBorders>
            <w:vAlign w:val="bottom"/>
          </w:tcPr>
          <w:p w14:paraId="41431F5E" w14:textId="762E2A63" w:rsidR="00BE202D" w:rsidRPr="003A3374" w:rsidRDefault="00BE202D" w:rsidP="006D2966">
            <w:pPr>
              <w:pStyle w:val="TableTitle"/>
            </w:pPr>
            <w:r w:rsidRPr="003A3374">
              <w:t xml:space="preserve">Fig </w:t>
            </w:r>
            <w:bookmarkStart w:id="37" w:name="LINK_092963"/>
            <w:r w:rsidRPr="003A3374">
              <w:fldChar w:fldCharType="begin"/>
            </w:r>
            <w:r w:rsidRPr="003A3374">
              <w:instrText xml:space="preserve"> SEQ Fig </w:instrText>
            </w:r>
            <w:r w:rsidRPr="003A3374">
              <w:fldChar w:fldCharType="separate"/>
            </w:r>
            <w:r w:rsidR="006A4635" w:rsidRPr="003A3374">
              <w:rPr>
                <w:noProof/>
              </w:rPr>
              <w:t>16</w:t>
            </w:r>
            <w:r w:rsidRPr="003A3374">
              <w:fldChar w:fldCharType="end"/>
            </w:r>
            <w:bookmarkEnd w:id="37"/>
            <w:r w:rsidRPr="003A3374">
              <w:t xml:space="preserve">: </w:t>
            </w:r>
            <w:r w:rsidR="00AB3EC0" w:rsidRPr="003A3374">
              <w:t>Significant price differences by channel</w:t>
            </w:r>
          </w:p>
        </w:tc>
        <w:tc>
          <w:tcPr>
            <w:tcW w:w="227" w:type="dxa"/>
            <w:vAlign w:val="bottom"/>
          </w:tcPr>
          <w:p w14:paraId="4717347C" w14:textId="77777777" w:rsidR="00BE202D" w:rsidRPr="003A3374" w:rsidRDefault="00BE202D" w:rsidP="006D2966">
            <w:pPr>
              <w:pStyle w:val="Normal0"/>
            </w:pPr>
          </w:p>
        </w:tc>
        <w:tc>
          <w:tcPr>
            <w:tcW w:w="4705" w:type="dxa"/>
            <w:tcBorders>
              <w:bottom w:val="single" w:sz="8" w:space="0" w:color="000000" w:themeColor="text1"/>
            </w:tcBorders>
            <w:vAlign w:val="bottom"/>
          </w:tcPr>
          <w:p w14:paraId="604562FE" w14:textId="66429D1B" w:rsidR="00BE202D" w:rsidRPr="003A3374" w:rsidRDefault="00BE202D" w:rsidP="006D2966">
            <w:pPr>
              <w:pStyle w:val="TableTitle"/>
            </w:pPr>
            <w:r w:rsidRPr="003A3374">
              <w:t xml:space="preserve">Fig </w:t>
            </w:r>
            <w:bookmarkStart w:id="38" w:name="LINK_078921"/>
            <w:r w:rsidRPr="003A3374">
              <w:fldChar w:fldCharType="begin"/>
            </w:r>
            <w:r w:rsidRPr="003A3374">
              <w:instrText xml:space="preserve"> SEQ Fig </w:instrText>
            </w:r>
            <w:r w:rsidRPr="003A3374">
              <w:fldChar w:fldCharType="separate"/>
            </w:r>
            <w:r w:rsidR="006A4635" w:rsidRPr="003A3374">
              <w:rPr>
                <w:noProof/>
              </w:rPr>
              <w:t>17</w:t>
            </w:r>
            <w:r w:rsidRPr="003A3374">
              <w:fldChar w:fldCharType="end"/>
            </w:r>
            <w:bookmarkEnd w:id="38"/>
            <w:r w:rsidRPr="003A3374">
              <w:t xml:space="preserve">: </w:t>
            </w:r>
            <w:r w:rsidR="00AB3EC0" w:rsidRPr="003A3374">
              <w:t>Coca-Cola’s strength is out-of-home</w:t>
            </w:r>
          </w:p>
        </w:tc>
      </w:tr>
      <w:tr w:rsidR="00BE202D" w:rsidRPr="003A3374" w14:paraId="2D9775EA" w14:textId="77777777" w:rsidTr="00390A31">
        <w:trPr>
          <w:cantSplit/>
        </w:trPr>
        <w:tc>
          <w:tcPr>
            <w:tcW w:w="4705" w:type="dxa"/>
            <w:tcBorders>
              <w:top w:val="single" w:sz="8" w:space="0" w:color="000000" w:themeColor="text1"/>
              <w:bottom w:val="single" w:sz="8" w:space="0" w:color="000000" w:themeColor="text1"/>
            </w:tcBorders>
          </w:tcPr>
          <w:p w14:paraId="7DF42698" w14:textId="0BCE2B39" w:rsidR="00BE202D" w:rsidRPr="003A3374" w:rsidRDefault="00390A31" w:rsidP="006D2966">
            <w:pPr>
              <w:pStyle w:val="Tableplaceholder"/>
            </w:pPr>
            <w:r w:rsidRPr="003A3374">
              <w:rPr>
                <w:noProof/>
              </w:rPr>
              <w:drawing>
                <wp:inline distT="0" distB="0" distL="0" distR="0" wp14:anchorId="7EB00D42" wp14:editId="2D4A05D3">
                  <wp:extent cx="2987675" cy="1794510"/>
                  <wp:effectExtent l="0" t="0" r="3175" b="0"/>
                  <wp:docPr id="13604594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87675" cy="1794510"/>
                          </a:xfrm>
                          <a:prstGeom prst="rect">
                            <a:avLst/>
                          </a:prstGeom>
                          <a:noFill/>
                          <a:ln>
                            <a:noFill/>
                          </a:ln>
                        </pic:spPr>
                      </pic:pic>
                    </a:graphicData>
                  </a:graphic>
                </wp:inline>
              </w:drawing>
            </w:r>
          </w:p>
        </w:tc>
        <w:tc>
          <w:tcPr>
            <w:tcW w:w="227" w:type="dxa"/>
          </w:tcPr>
          <w:p w14:paraId="1A798DA2" w14:textId="77777777" w:rsidR="00BE202D" w:rsidRPr="003A3374" w:rsidRDefault="00BE202D" w:rsidP="006D2966">
            <w:pPr>
              <w:pStyle w:val="Normal0"/>
            </w:pPr>
          </w:p>
        </w:tc>
        <w:tc>
          <w:tcPr>
            <w:tcW w:w="4705" w:type="dxa"/>
            <w:tcBorders>
              <w:top w:val="single" w:sz="8" w:space="0" w:color="000000" w:themeColor="text1"/>
              <w:bottom w:val="single" w:sz="8" w:space="0" w:color="000000" w:themeColor="text1"/>
            </w:tcBorders>
          </w:tcPr>
          <w:p w14:paraId="443B2F6E" w14:textId="3331B157" w:rsidR="00BE202D" w:rsidRPr="003A3374" w:rsidRDefault="000B2606" w:rsidP="006D2966">
            <w:pPr>
              <w:pStyle w:val="Tableplaceholder"/>
            </w:pPr>
            <w:r w:rsidRPr="003A3374">
              <w:rPr>
                <w:noProof/>
              </w:rPr>
              <w:drawing>
                <wp:inline distT="0" distB="0" distL="0" distR="0" wp14:anchorId="3C8B5693" wp14:editId="43F543AA">
                  <wp:extent cx="2987675" cy="1794510"/>
                  <wp:effectExtent l="0" t="0" r="3175" b="0"/>
                  <wp:docPr id="3524387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87675" cy="1794510"/>
                          </a:xfrm>
                          <a:prstGeom prst="rect">
                            <a:avLst/>
                          </a:prstGeom>
                          <a:noFill/>
                          <a:ln>
                            <a:noFill/>
                          </a:ln>
                        </pic:spPr>
                      </pic:pic>
                    </a:graphicData>
                  </a:graphic>
                </wp:inline>
              </w:drawing>
            </w:r>
          </w:p>
        </w:tc>
      </w:tr>
      <w:tr w:rsidR="00BE202D" w:rsidRPr="003A3374" w14:paraId="042E92B7" w14:textId="77777777" w:rsidTr="00390A31">
        <w:trPr>
          <w:cantSplit/>
        </w:trPr>
        <w:tc>
          <w:tcPr>
            <w:tcW w:w="4705" w:type="dxa"/>
            <w:tcBorders>
              <w:top w:val="single" w:sz="8" w:space="0" w:color="000000" w:themeColor="text1"/>
            </w:tcBorders>
          </w:tcPr>
          <w:p w14:paraId="26935B84" w14:textId="77777777" w:rsidR="00BE202D" w:rsidRPr="003A3374" w:rsidRDefault="00BE202D" w:rsidP="006D2966">
            <w:pPr>
              <w:pStyle w:val="TableSource"/>
            </w:pPr>
            <w:r w:rsidRPr="003A3374">
              <w:t>Source: Rothschild &amp; Co Redburn, Nielsen CGA, Circana, Kantar</w:t>
            </w:r>
          </w:p>
        </w:tc>
        <w:tc>
          <w:tcPr>
            <w:tcW w:w="227" w:type="dxa"/>
          </w:tcPr>
          <w:p w14:paraId="7E2A91B2" w14:textId="77777777" w:rsidR="00BE202D" w:rsidRPr="003A3374" w:rsidRDefault="00BE202D" w:rsidP="006D2966">
            <w:pPr>
              <w:pStyle w:val="Normal0"/>
            </w:pPr>
          </w:p>
        </w:tc>
        <w:tc>
          <w:tcPr>
            <w:tcW w:w="4705" w:type="dxa"/>
            <w:tcBorders>
              <w:top w:val="single" w:sz="8" w:space="0" w:color="000000" w:themeColor="text1"/>
            </w:tcBorders>
          </w:tcPr>
          <w:p w14:paraId="42244317" w14:textId="77777777" w:rsidR="00BE202D" w:rsidRPr="003A3374" w:rsidRDefault="00BE202D" w:rsidP="006D2966">
            <w:pPr>
              <w:pStyle w:val="TableSource"/>
            </w:pPr>
            <w:r w:rsidRPr="003A3374">
              <w:t>Source: Rothschild &amp; Co Redburn, Nielsen CGA, Circana, Kantar</w:t>
            </w:r>
          </w:p>
        </w:tc>
      </w:tr>
    </w:tbl>
    <w:p w14:paraId="35D54D36" w14:textId="52FFDCD2" w:rsidR="00A11D2E" w:rsidRPr="003A3374" w:rsidRDefault="00A11D2E" w:rsidP="00053D36">
      <w:pPr>
        <w:pStyle w:val="BodyText"/>
      </w:pPr>
      <w:r w:rsidRPr="003A3374">
        <w:t>Sparkling beverages account for two-thirds of total soft drinks value in the OOH channel and CCGB is even stronger here, holding a 76% value share in the sparkling category and 89% value share of colas.</w:t>
      </w:r>
    </w:p>
    <w:p w14:paraId="605F5125" w14:textId="55752E36" w:rsidR="00053D36" w:rsidRPr="003A3374" w:rsidRDefault="00874AEC" w:rsidP="00053D36">
      <w:pPr>
        <w:pStyle w:val="BodyText"/>
      </w:pPr>
      <w:r w:rsidRPr="003A3374">
        <w:lastRenderedPageBreak/>
        <w:t>CCGB</w:t>
      </w:r>
      <w:r w:rsidR="002A0568" w:rsidRPr="003A3374">
        <w:t xml:space="preserve"> has longstanding strength </w:t>
      </w:r>
      <w:r w:rsidR="00E06008" w:rsidRPr="003A3374">
        <w:t xml:space="preserve">in colas </w:t>
      </w:r>
      <w:r w:rsidR="00D70EE4" w:rsidRPr="003A3374">
        <w:t xml:space="preserve">in the OOH channel </w:t>
      </w:r>
      <w:r w:rsidR="002A0568" w:rsidRPr="003A3374">
        <w:t>due to the relatively more premium proposition of Coca-Cola relative to Pepsi</w:t>
      </w:r>
      <w:r w:rsidR="00F17AE2" w:rsidRPr="003A3374">
        <w:t xml:space="preserve">, helped by </w:t>
      </w:r>
      <w:r w:rsidR="002A0568" w:rsidRPr="003A3374">
        <w:t xml:space="preserve">Coca-Cola’s iconic contour bottle </w:t>
      </w:r>
      <w:r w:rsidR="008F3CB6" w:rsidRPr="003A3374">
        <w:t>that</w:t>
      </w:r>
      <w:r w:rsidR="002A0568" w:rsidRPr="003A3374">
        <w:t xml:space="preserve"> has helped it</w:t>
      </w:r>
      <w:r w:rsidR="00F17AE2" w:rsidRPr="003A3374">
        <w:t xml:space="preserve"> to</w:t>
      </w:r>
      <w:r w:rsidR="002A0568" w:rsidRPr="003A3374">
        <w:t xml:space="preserve"> win outlet distribution for </w:t>
      </w:r>
      <w:r w:rsidR="008F3CB6" w:rsidRPr="003A3374">
        <w:t xml:space="preserve">many </w:t>
      </w:r>
      <w:r w:rsidR="002A0568" w:rsidRPr="003A3374">
        <w:t xml:space="preserve">decades to the detriment of Pepsi (which lacks a memorable bottle design) </w:t>
      </w:r>
      <w:r w:rsidR="00F17AE2" w:rsidRPr="003A3374">
        <w:t>(</w:t>
      </w:r>
      <w:r w:rsidR="0020220E" w:rsidRPr="003A3374">
        <w:t>Fig </w:t>
      </w:r>
      <w:r w:rsidR="0020220E" w:rsidRPr="003A3374">
        <w:fldChar w:fldCharType="begin"/>
      </w:r>
      <w:r w:rsidR="0020220E" w:rsidRPr="003A3374">
        <w:instrText xml:space="preserve"> REF LINK_046902 \h </w:instrText>
      </w:r>
      <w:r w:rsidR="0020220E" w:rsidRPr="003A3374">
        <w:fldChar w:fldCharType="separate"/>
      </w:r>
      <w:r w:rsidR="006A4635" w:rsidRPr="003A3374">
        <w:rPr>
          <w:noProof/>
        </w:rPr>
        <w:t>18</w:t>
      </w:r>
      <w:r w:rsidR="0020220E" w:rsidRPr="003A3374">
        <w:fldChar w:fldCharType="end"/>
      </w:r>
      <w:r w:rsidR="00F17AE2" w:rsidRPr="003A3374">
        <w:t>).</w:t>
      </w:r>
      <w:r w:rsidR="00C200FC" w:rsidRPr="003A3374">
        <w:t xml:space="preserve"> In partnership with TCCC, CCGB has also successfully executed the ‘Coke with Meals’ strategy to link Coca-Cola to meal occasions</w:t>
      </w:r>
      <w:r w:rsidR="003B4681" w:rsidRPr="003A3374">
        <w:t xml:space="preserve"> over many decades</w:t>
      </w:r>
      <w:r w:rsidR="00C200FC" w:rsidRPr="003A3374">
        <w:t xml:space="preserve">, starting with Wimpy’s launch in the UK in 1954 (the first restaurant to serve hamburger-based meals in the country) and turbocharged by McDonald’s </w:t>
      </w:r>
      <w:r w:rsidR="00702425" w:rsidRPr="003A3374">
        <w:t xml:space="preserve">UK </w:t>
      </w:r>
      <w:r w:rsidR="00075AE1" w:rsidRPr="003A3374">
        <w:t>entry</w:t>
      </w:r>
      <w:r w:rsidR="00C200FC" w:rsidRPr="003A3374">
        <w:t xml:space="preserve"> in 1974.</w:t>
      </w:r>
    </w:p>
    <w:p w14:paraId="5F854B28" w14:textId="4D9F7BF6" w:rsidR="00432325" w:rsidRPr="003A3374" w:rsidRDefault="00023E7F" w:rsidP="003D6071">
      <w:pPr>
        <w:pStyle w:val="BodyText"/>
      </w:pPr>
      <w:r w:rsidRPr="003A3374">
        <w:t xml:space="preserve">As a result, </w:t>
      </w:r>
      <w:r w:rsidR="008D7843" w:rsidRPr="003A3374">
        <w:t>Coca-Cola</w:t>
      </w:r>
      <w:r w:rsidR="002E2FE6" w:rsidRPr="003A3374">
        <w:t xml:space="preserve"> also has</w:t>
      </w:r>
      <w:r w:rsidR="00142CB7" w:rsidRPr="003A3374">
        <w:t xml:space="preserve"> a</w:t>
      </w:r>
      <w:r w:rsidR="002E2FE6" w:rsidRPr="003A3374">
        <w:t xml:space="preserve"> </w:t>
      </w:r>
      <w:r w:rsidR="0047376D" w:rsidRPr="003A3374">
        <w:t xml:space="preserve">durable </w:t>
      </w:r>
      <w:r w:rsidR="002E2FE6" w:rsidRPr="003A3374">
        <w:t>advantage in post-mix (e.g. syrup in a box that is dispensed from a soda gun)</w:t>
      </w:r>
      <w:r w:rsidR="00DA21A2" w:rsidRPr="003A3374">
        <w:t xml:space="preserve">, which is worth 45% of </w:t>
      </w:r>
      <w:r w:rsidR="00D146BD" w:rsidRPr="003A3374">
        <w:t xml:space="preserve">soft drinks </w:t>
      </w:r>
      <w:r w:rsidR="00DA21A2" w:rsidRPr="003A3374">
        <w:t xml:space="preserve">value in the </w:t>
      </w:r>
      <w:r w:rsidR="00970F48" w:rsidRPr="003A3374">
        <w:t>OOH</w:t>
      </w:r>
      <w:r w:rsidR="00DA21A2" w:rsidRPr="003A3374">
        <w:t xml:space="preserve"> channel and where CC</w:t>
      </w:r>
      <w:r w:rsidR="00874AEC" w:rsidRPr="003A3374">
        <w:t>GB</w:t>
      </w:r>
      <w:r w:rsidR="00DA21A2" w:rsidRPr="003A3374">
        <w:t xml:space="preserve"> has a dominant 54% share, well ahead of Britvic’s 19% (</w:t>
      </w:r>
      <w:r w:rsidR="0020220E" w:rsidRPr="003A3374">
        <w:t>Fig </w:t>
      </w:r>
      <w:r w:rsidR="0020220E" w:rsidRPr="003A3374">
        <w:fldChar w:fldCharType="begin"/>
      </w:r>
      <w:r w:rsidR="0020220E" w:rsidRPr="003A3374">
        <w:instrText xml:space="preserve"> REF LINK_066853 \h </w:instrText>
      </w:r>
      <w:r w:rsidR="0020220E" w:rsidRPr="003A3374">
        <w:fldChar w:fldCharType="separate"/>
      </w:r>
      <w:r w:rsidR="006A4635" w:rsidRPr="003A3374">
        <w:rPr>
          <w:noProof/>
        </w:rPr>
        <w:t>19</w:t>
      </w:r>
      <w:r w:rsidR="0020220E" w:rsidRPr="003A3374">
        <w:fldChar w:fldCharType="end"/>
      </w:r>
      <w:r w:rsidR="00DA21A2" w:rsidRPr="003A3374">
        <w:t>).</w:t>
      </w:r>
      <w:r w:rsidR="0047376D" w:rsidRPr="003A3374">
        <w:t xml:space="preserve"> </w:t>
      </w:r>
      <w:r w:rsidR="00A03063" w:rsidRPr="003A3374">
        <w:t>This is</w:t>
      </w:r>
      <w:r w:rsidR="00DD6379" w:rsidRPr="003A3374">
        <w:t xml:space="preserve"> partly</w:t>
      </w:r>
      <w:r w:rsidR="00A03063" w:rsidRPr="003A3374">
        <w:t xml:space="preserve"> because </w:t>
      </w:r>
      <w:r w:rsidR="005C51CA" w:rsidRPr="003A3374">
        <w:t>CCGB’s</w:t>
      </w:r>
      <w:r w:rsidR="00A03063" w:rsidRPr="003A3374">
        <w:t xml:space="preserve"> </w:t>
      </w:r>
      <w:r w:rsidR="005C51CA" w:rsidRPr="003A3374">
        <w:t xml:space="preserve">fourth </w:t>
      </w:r>
      <w:r w:rsidR="00A03063" w:rsidRPr="003A3374">
        <w:t>large</w:t>
      </w:r>
      <w:r w:rsidR="00C5193F" w:rsidRPr="003A3374">
        <w:t>st</w:t>
      </w:r>
      <w:r w:rsidR="00A03063" w:rsidRPr="003A3374">
        <w:t xml:space="preserve"> customer</w:t>
      </w:r>
      <w:r w:rsidR="005C51CA" w:rsidRPr="003A3374">
        <w:t xml:space="preserve"> </w:t>
      </w:r>
      <w:r w:rsidR="00A03063" w:rsidRPr="003A3374">
        <w:t xml:space="preserve">is McDonald’s. </w:t>
      </w:r>
    </w:p>
    <w:p w14:paraId="16C32FE1" w14:textId="525C8D5E" w:rsidR="00BB471B" w:rsidRPr="003A3374" w:rsidRDefault="00A03063" w:rsidP="00432325">
      <w:pPr>
        <w:pStyle w:val="BodyText"/>
      </w:pPr>
      <w:r w:rsidRPr="003A3374">
        <w:t>The Coca-Cola System and McDonald’s have a very strong, longstanding relationship; 2025 marks the 70</w:t>
      </w:r>
      <w:r w:rsidRPr="003A3374">
        <w:rPr>
          <w:vertAlign w:val="superscript"/>
        </w:rPr>
        <w:t>th</w:t>
      </w:r>
      <w:r w:rsidRPr="003A3374">
        <w:t xml:space="preserve"> anniversary since Coca-Cola was first sold in its outlets. TCCC even has a President of the McDonald’s Division (Roberto Mecade) to manage this key relationship across over 100 countries. </w:t>
      </w:r>
      <w:r w:rsidR="00C5193F" w:rsidRPr="003A3374">
        <w:t>In our view</w:t>
      </w:r>
      <w:r w:rsidR="003D6071" w:rsidRPr="003A3374">
        <w:t>,</w:t>
      </w:r>
      <w:r w:rsidR="00C5193F" w:rsidRPr="003A3374">
        <w:t xml:space="preserve"> it is incredibly unlikely that McDonald’s would</w:t>
      </w:r>
      <w:r w:rsidR="00F50990" w:rsidRPr="003A3374">
        <w:t xml:space="preserve"> ever</w:t>
      </w:r>
      <w:r w:rsidR="00C5193F" w:rsidRPr="003A3374">
        <w:t xml:space="preserve"> switch from Coca-Cola to Pepsi and this bedrock customer grants scale </w:t>
      </w:r>
      <w:r w:rsidR="003A5979" w:rsidRPr="003A3374">
        <w:t>that</w:t>
      </w:r>
      <w:r w:rsidR="00C5193F" w:rsidRPr="003A3374">
        <w:t xml:space="preserve"> </w:t>
      </w:r>
      <w:r w:rsidR="00271B52" w:rsidRPr="003A3374">
        <w:t>provides</w:t>
      </w:r>
      <w:r w:rsidR="00C5193F" w:rsidRPr="003A3374">
        <w:t xml:space="preserve"> certainty to CCEP to invest behind post-mix – as shown in</w:t>
      </w:r>
      <w:r w:rsidR="003A5979" w:rsidRPr="003A3374">
        <w:t xml:space="preserve"> Fig </w:t>
      </w:r>
      <w:r w:rsidR="003A5979" w:rsidRPr="003A3374">
        <w:fldChar w:fldCharType="begin"/>
      </w:r>
      <w:r w:rsidR="003A5979" w:rsidRPr="003A3374">
        <w:instrText xml:space="preserve"> REF LINK_085074 \h </w:instrText>
      </w:r>
      <w:r w:rsidR="003A5979" w:rsidRPr="003A3374">
        <w:fldChar w:fldCharType="separate"/>
      </w:r>
      <w:r w:rsidR="006A4635" w:rsidRPr="003A3374">
        <w:rPr>
          <w:noProof/>
        </w:rPr>
        <w:t>10</w:t>
      </w:r>
      <w:r w:rsidR="003A5979" w:rsidRPr="003A3374">
        <w:fldChar w:fldCharType="end"/>
      </w:r>
      <w:r w:rsidR="00C5193F" w:rsidRPr="003A3374">
        <w:t xml:space="preserve">, the Edmonton site produces all of the post-mix for Great Britain and in 2019 it received </w:t>
      </w:r>
      <w:r w:rsidR="003A5979" w:rsidRPr="003A3374">
        <w:t xml:space="preserve">£20m of </w:t>
      </w:r>
      <w:r w:rsidR="00C5193F" w:rsidRPr="003A3374">
        <w:t xml:space="preserve">investment </w:t>
      </w:r>
      <w:r w:rsidR="003A5979" w:rsidRPr="003A3374">
        <w:t xml:space="preserve">to help build a </w:t>
      </w:r>
      <w:r w:rsidR="00C5193F" w:rsidRPr="003A3374">
        <w:t>new state-of-the-art post-mix line.</w:t>
      </w:r>
    </w:p>
    <w:tbl>
      <w:tblPr>
        <w:tblStyle w:val="TableGrid"/>
        <w:tblW w:w="9637" w:type="dxa"/>
        <w:tblLayout w:type="fixed"/>
        <w:tblCellMar>
          <w:left w:w="0" w:type="dxa"/>
          <w:right w:w="0" w:type="dxa"/>
        </w:tblCellMar>
        <w:tblLook w:val="04A0" w:firstRow="1" w:lastRow="0" w:firstColumn="1" w:lastColumn="0" w:noHBand="0" w:noVBand="1"/>
      </w:tblPr>
      <w:tblGrid>
        <w:gridCol w:w="4705"/>
        <w:gridCol w:w="227"/>
        <w:gridCol w:w="4705"/>
      </w:tblGrid>
      <w:tr w:rsidR="001A6453" w:rsidRPr="003A3374" w14:paraId="4F40B816" w14:textId="77777777" w:rsidTr="006D2966">
        <w:trPr>
          <w:cantSplit/>
          <w:tblHeader/>
        </w:trPr>
        <w:tc>
          <w:tcPr>
            <w:tcW w:w="4705" w:type="dxa"/>
            <w:tcBorders>
              <w:bottom w:val="single" w:sz="8" w:space="0" w:color="000000" w:themeColor="text1"/>
            </w:tcBorders>
            <w:vAlign w:val="bottom"/>
          </w:tcPr>
          <w:p w14:paraId="620030FB" w14:textId="140ED26A" w:rsidR="001A6453" w:rsidRPr="003A3374" w:rsidRDefault="001A6453" w:rsidP="006D2966">
            <w:pPr>
              <w:pStyle w:val="TableTitle"/>
            </w:pPr>
            <w:r w:rsidRPr="003A3374">
              <w:t xml:space="preserve">Fig </w:t>
            </w:r>
            <w:bookmarkStart w:id="39" w:name="LINK_046902"/>
            <w:r w:rsidRPr="003A3374">
              <w:fldChar w:fldCharType="begin"/>
            </w:r>
            <w:r w:rsidRPr="003A3374">
              <w:instrText xml:space="preserve"> SEQ Fig </w:instrText>
            </w:r>
            <w:r w:rsidRPr="003A3374">
              <w:fldChar w:fldCharType="separate"/>
            </w:r>
            <w:r w:rsidR="006A4635" w:rsidRPr="003A3374">
              <w:rPr>
                <w:noProof/>
              </w:rPr>
              <w:t>18</w:t>
            </w:r>
            <w:r w:rsidRPr="003A3374">
              <w:fldChar w:fldCharType="end"/>
            </w:r>
            <w:bookmarkEnd w:id="39"/>
            <w:r w:rsidRPr="003A3374">
              <w:t xml:space="preserve">: </w:t>
            </w:r>
            <w:r w:rsidR="00370B68" w:rsidRPr="003A3374">
              <w:t>Differing taste</w:t>
            </w:r>
            <w:r w:rsidR="00493E12" w:rsidRPr="003A3374">
              <w:t xml:space="preserve"> by channel</w:t>
            </w:r>
          </w:p>
        </w:tc>
        <w:tc>
          <w:tcPr>
            <w:tcW w:w="227" w:type="dxa"/>
            <w:vAlign w:val="bottom"/>
          </w:tcPr>
          <w:p w14:paraId="3C640585" w14:textId="77777777" w:rsidR="001A6453" w:rsidRPr="003A3374" w:rsidRDefault="001A6453" w:rsidP="006D2966">
            <w:pPr>
              <w:pStyle w:val="Normal0"/>
            </w:pPr>
          </w:p>
        </w:tc>
        <w:tc>
          <w:tcPr>
            <w:tcW w:w="4705" w:type="dxa"/>
            <w:tcBorders>
              <w:bottom w:val="single" w:sz="8" w:space="0" w:color="000000" w:themeColor="text1"/>
            </w:tcBorders>
            <w:vAlign w:val="bottom"/>
          </w:tcPr>
          <w:p w14:paraId="64348E37" w14:textId="447AF37E" w:rsidR="001A6453" w:rsidRPr="003A3374" w:rsidRDefault="001A6453" w:rsidP="006D2966">
            <w:pPr>
              <w:pStyle w:val="TableTitle"/>
            </w:pPr>
            <w:r w:rsidRPr="003A3374">
              <w:t xml:space="preserve">Fig </w:t>
            </w:r>
            <w:bookmarkStart w:id="40" w:name="LINK_066853"/>
            <w:r w:rsidRPr="003A3374">
              <w:fldChar w:fldCharType="begin"/>
            </w:r>
            <w:r w:rsidRPr="003A3374">
              <w:instrText xml:space="preserve"> SEQ Fig </w:instrText>
            </w:r>
            <w:r w:rsidRPr="003A3374">
              <w:fldChar w:fldCharType="separate"/>
            </w:r>
            <w:r w:rsidR="006A4635" w:rsidRPr="003A3374">
              <w:rPr>
                <w:noProof/>
              </w:rPr>
              <w:t>19</w:t>
            </w:r>
            <w:r w:rsidRPr="003A3374">
              <w:fldChar w:fldCharType="end"/>
            </w:r>
            <w:bookmarkEnd w:id="40"/>
            <w:r w:rsidRPr="003A3374">
              <w:t xml:space="preserve">: </w:t>
            </w:r>
            <w:r w:rsidR="00373037" w:rsidRPr="003A3374">
              <w:t>Mix master</w:t>
            </w:r>
          </w:p>
        </w:tc>
      </w:tr>
      <w:tr w:rsidR="001A6453" w:rsidRPr="003A3374" w14:paraId="39650233" w14:textId="77777777" w:rsidTr="006D2966">
        <w:trPr>
          <w:cantSplit/>
        </w:trPr>
        <w:tc>
          <w:tcPr>
            <w:tcW w:w="4705" w:type="dxa"/>
            <w:tcBorders>
              <w:top w:val="single" w:sz="8" w:space="0" w:color="000000" w:themeColor="text1"/>
              <w:bottom w:val="single" w:sz="8" w:space="0" w:color="000000" w:themeColor="text1"/>
            </w:tcBorders>
          </w:tcPr>
          <w:p w14:paraId="00E2F13F" w14:textId="41D33603" w:rsidR="001A6453" w:rsidRPr="003A3374" w:rsidRDefault="008C696B" w:rsidP="006D2966">
            <w:pPr>
              <w:pStyle w:val="Tableplaceholder"/>
            </w:pPr>
            <w:r w:rsidRPr="003A3374">
              <w:rPr>
                <w:noProof/>
              </w:rPr>
              <w:drawing>
                <wp:inline distT="0" distB="0" distL="0" distR="0" wp14:anchorId="56DEC560" wp14:editId="391DA86D">
                  <wp:extent cx="2987675" cy="1797050"/>
                  <wp:effectExtent l="0" t="0" r="3175" b="0"/>
                  <wp:docPr id="16931240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87675" cy="1797050"/>
                          </a:xfrm>
                          <a:prstGeom prst="rect">
                            <a:avLst/>
                          </a:prstGeom>
                          <a:noFill/>
                          <a:ln>
                            <a:noFill/>
                          </a:ln>
                        </pic:spPr>
                      </pic:pic>
                    </a:graphicData>
                  </a:graphic>
                </wp:inline>
              </w:drawing>
            </w:r>
          </w:p>
        </w:tc>
        <w:tc>
          <w:tcPr>
            <w:tcW w:w="227" w:type="dxa"/>
          </w:tcPr>
          <w:p w14:paraId="1D4DBBC8" w14:textId="77777777" w:rsidR="001A6453" w:rsidRPr="003A3374" w:rsidRDefault="001A6453" w:rsidP="006D2966">
            <w:pPr>
              <w:pStyle w:val="Normal0"/>
            </w:pPr>
          </w:p>
        </w:tc>
        <w:tc>
          <w:tcPr>
            <w:tcW w:w="4705" w:type="dxa"/>
            <w:tcBorders>
              <w:top w:val="single" w:sz="8" w:space="0" w:color="000000" w:themeColor="text1"/>
              <w:bottom w:val="single" w:sz="8" w:space="0" w:color="000000" w:themeColor="text1"/>
            </w:tcBorders>
          </w:tcPr>
          <w:p w14:paraId="4A299C7B" w14:textId="5BD388C2" w:rsidR="001A6453" w:rsidRPr="003A3374" w:rsidRDefault="00231E17" w:rsidP="006D2966">
            <w:pPr>
              <w:pStyle w:val="Tableplaceholder"/>
            </w:pPr>
            <w:r w:rsidRPr="003A3374">
              <w:rPr>
                <w:noProof/>
              </w:rPr>
              <w:drawing>
                <wp:inline distT="0" distB="0" distL="0" distR="0" wp14:anchorId="2E5DF802" wp14:editId="3F27256C">
                  <wp:extent cx="2987675" cy="1794510"/>
                  <wp:effectExtent l="0" t="0" r="3175" b="0"/>
                  <wp:docPr id="14944816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87675" cy="1794510"/>
                          </a:xfrm>
                          <a:prstGeom prst="rect">
                            <a:avLst/>
                          </a:prstGeom>
                          <a:noFill/>
                          <a:ln>
                            <a:noFill/>
                          </a:ln>
                        </pic:spPr>
                      </pic:pic>
                    </a:graphicData>
                  </a:graphic>
                </wp:inline>
              </w:drawing>
            </w:r>
          </w:p>
        </w:tc>
      </w:tr>
      <w:tr w:rsidR="001A6453" w:rsidRPr="003A3374" w14:paraId="75E81AB4" w14:textId="77777777" w:rsidTr="006D2966">
        <w:trPr>
          <w:cantSplit/>
        </w:trPr>
        <w:tc>
          <w:tcPr>
            <w:tcW w:w="4705" w:type="dxa"/>
            <w:tcBorders>
              <w:top w:val="single" w:sz="8" w:space="0" w:color="000000" w:themeColor="text1"/>
            </w:tcBorders>
          </w:tcPr>
          <w:p w14:paraId="731222B6" w14:textId="77777777" w:rsidR="001A6453" w:rsidRPr="003A3374" w:rsidRDefault="001A6453" w:rsidP="006D2966">
            <w:pPr>
              <w:pStyle w:val="TableSource"/>
            </w:pPr>
            <w:r w:rsidRPr="003A3374">
              <w:t>Source: Rothschild &amp; Co Redburn, Nielsen CGA, Circana, Kantar</w:t>
            </w:r>
          </w:p>
        </w:tc>
        <w:tc>
          <w:tcPr>
            <w:tcW w:w="227" w:type="dxa"/>
          </w:tcPr>
          <w:p w14:paraId="19CA8533" w14:textId="77777777" w:rsidR="001A6453" w:rsidRPr="003A3374" w:rsidRDefault="001A6453" w:rsidP="006D2966">
            <w:pPr>
              <w:pStyle w:val="Normal0"/>
            </w:pPr>
          </w:p>
        </w:tc>
        <w:tc>
          <w:tcPr>
            <w:tcW w:w="4705" w:type="dxa"/>
            <w:tcBorders>
              <w:top w:val="single" w:sz="8" w:space="0" w:color="000000" w:themeColor="text1"/>
            </w:tcBorders>
          </w:tcPr>
          <w:p w14:paraId="0964AA5B" w14:textId="77777777" w:rsidR="001A6453" w:rsidRPr="003A3374" w:rsidRDefault="001A6453" w:rsidP="006D2966">
            <w:pPr>
              <w:pStyle w:val="TableSource"/>
            </w:pPr>
            <w:r w:rsidRPr="003A3374">
              <w:t>Source: Rothschild &amp; Co Redburn, Nielsen CGA, Circana, Kantar</w:t>
            </w:r>
          </w:p>
        </w:tc>
      </w:tr>
    </w:tbl>
    <w:p w14:paraId="3BCD36EE" w14:textId="64978B6C" w:rsidR="00C24A79" w:rsidRPr="003A3374" w:rsidRDefault="001B083E" w:rsidP="009B5BCF">
      <w:pPr>
        <w:pStyle w:val="Heading20"/>
      </w:pPr>
      <w:bookmarkStart w:id="41" w:name="_Toc214545126"/>
      <w:r w:rsidRPr="003A3374">
        <w:t>Winning in the away-from-home channel</w:t>
      </w:r>
      <w:bookmarkEnd w:id="41"/>
    </w:p>
    <w:p w14:paraId="5A852F65" w14:textId="4456549E" w:rsidR="008227EF" w:rsidRPr="003A3374" w:rsidRDefault="00AE092C" w:rsidP="00C90D10">
      <w:pPr>
        <w:pStyle w:val="BodyText"/>
      </w:pPr>
      <w:r w:rsidRPr="003A3374">
        <w:t xml:space="preserve">Despite near-term pressure in certain sub channels – particularly quick-service restaurants and casual dining which has held back the food service channel – </w:t>
      </w:r>
      <w:r w:rsidR="00C24A79" w:rsidRPr="003A3374">
        <w:t>CCGB has</w:t>
      </w:r>
      <w:r w:rsidRPr="003A3374">
        <w:t xml:space="preserve"> won value share in the AFH channel since 2019 (Fig </w:t>
      </w:r>
      <w:r w:rsidRPr="003A3374">
        <w:fldChar w:fldCharType="begin"/>
      </w:r>
      <w:r w:rsidRPr="003A3374">
        <w:instrText xml:space="preserve"> REF LINK_033245 \h </w:instrText>
      </w:r>
      <w:r w:rsidRPr="003A3374">
        <w:fldChar w:fldCharType="separate"/>
      </w:r>
      <w:r w:rsidR="006A4635" w:rsidRPr="003A3374">
        <w:rPr>
          <w:noProof/>
        </w:rPr>
        <w:t>20</w:t>
      </w:r>
      <w:r w:rsidRPr="003A3374">
        <w:fldChar w:fldCharType="end"/>
      </w:r>
      <w:r w:rsidRPr="003A3374">
        <w:t xml:space="preserve">). </w:t>
      </w:r>
      <w:r w:rsidR="006820EB" w:rsidRPr="003A3374">
        <w:t xml:space="preserve">As at 2024, there </w:t>
      </w:r>
      <w:r w:rsidR="00276F6A" w:rsidRPr="003A3374">
        <w:t>were</w:t>
      </w:r>
      <w:r w:rsidR="006820EB" w:rsidRPr="003A3374">
        <w:t xml:space="preserve"> c285,000 outlets in the AFH channel and CCGB held a 48% value share of total soft drinks and</w:t>
      </w:r>
      <w:r w:rsidR="00276F6A" w:rsidRPr="003A3374">
        <w:t xml:space="preserve"> a</w:t>
      </w:r>
      <w:r w:rsidR="006820EB" w:rsidRPr="003A3374">
        <w:t xml:space="preserve"> 65% value share of the sparkling category.</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D17CFE" w:rsidRPr="003A3374" w14:paraId="51730504" w14:textId="77777777" w:rsidTr="006D2966">
        <w:trPr>
          <w:cantSplit/>
          <w:tblHeader/>
        </w:trPr>
        <w:tc>
          <w:tcPr>
            <w:tcW w:w="7654" w:type="dxa"/>
            <w:tcBorders>
              <w:bottom w:val="single" w:sz="8" w:space="0" w:color="000000" w:themeColor="text1"/>
            </w:tcBorders>
            <w:vAlign w:val="bottom"/>
          </w:tcPr>
          <w:p w14:paraId="3FC3B13B" w14:textId="7883AB0E" w:rsidR="00D17CFE" w:rsidRPr="003A3374" w:rsidRDefault="00D17CFE" w:rsidP="006D2966">
            <w:pPr>
              <w:pStyle w:val="TableTitle"/>
            </w:pPr>
            <w:bookmarkStart w:id="42" w:name="PH_1_4_1_001878"/>
            <w:r w:rsidRPr="003A3374">
              <w:lastRenderedPageBreak/>
              <w:t xml:space="preserve">Fig </w:t>
            </w:r>
            <w:bookmarkStart w:id="43" w:name="LINK_033245"/>
            <w:r w:rsidRPr="003A3374">
              <w:fldChar w:fldCharType="begin"/>
            </w:r>
            <w:r w:rsidRPr="003A3374">
              <w:instrText xml:space="preserve"> SEQ Fig </w:instrText>
            </w:r>
            <w:r w:rsidRPr="003A3374">
              <w:fldChar w:fldCharType="separate"/>
            </w:r>
            <w:r w:rsidR="006A4635" w:rsidRPr="003A3374">
              <w:rPr>
                <w:noProof/>
              </w:rPr>
              <w:t>20</w:t>
            </w:r>
            <w:r w:rsidRPr="003A3374">
              <w:fldChar w:fldCharType="end"/>
            </w:r>
            <w:bookmarkEnd w:id="43"/>
            <w:r w:rsidRPr="003A3374">
              <w:t xml:space="preserve">: </w:t>
            </w:r>
            <w:r w:rsidR="00C90D10" w:rsidRPr="003A3374">
              <w:t>Strong in out-of-home, scope to improve in at-home</w:t>
            </w:r>
          </w:p>
        </w:tc>
      </w:tr>
      <w:tr w:rsidR="00D17CFE" w:rsidRPr="003A3374" w14:paraId="07D31A00" w14:textId="77777777" w:rsidTr="006D2966">
        <w:trPr>
          <w:cantSplit/>
        </w:trPr>
        <w:tc>
          <w:tcPr>
            <w:tcW w:w="7654" w:type="dxa"/>
            <w:tcBorders>
              <w:top w:val="single" w:sz="8" w:space="0" w:color="000000" w:themeColor="text1"/>
              <w:bottom w:val="single" w:sz="8" w:space="0" w:color="000000" w:themeColor="text1"/>
            </w:tcBorders>
          </w:tcPr>
          <w:p w14:paraId="44944976" w14:textId="076EEC6D" w:rsidR="00D17CFE" w:rsidRPr="003A3374" w:rsidRDefault="0097562F" w:rsidP="006D2966">
            <w:pPr>
              <w:pStyle w:val="Tableplaceholder"/>
            </w:pPr>
            <w:r w:rsidRPr="003A3374">
              <w:rPr>
                <w:noProof/>
              </w:rPr>
              <w:drawing>
                <wp:inline distT="0" distB="0" distL="0" distR="0" wp14:anchorId="2A50D3A4" wp14:editId="30B76A1F">
                  <wp:extent cx="4859655" cy="2155190"/>
                  <wp:effectExtent l="0" t="0" r="0" b="0"/>
                  <wp:docPr id="15255949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59655" cy="2155190"/>
                          </a:xfrm>
                          <a:prstGeom prst="rect">
                            <a:avLst/>
                          </a:prstGeom>
                          <a:noFill/>
                          <a:ln>
                            <a:noFill/>
                          </a:ln>
                        </pic:spPr>
                      </pic:pic>
                    </a:graphicData>
                  </a:graphic>
                </wp:inline>
              </w:drawing>
            </w:r>
          </w:p>
        </w:tc>
      </w:tr>
      <w:tr w:rsidR="00D17CFE" w:rsidRPr="003A3374" w14:paraId="33CFC70F" w14:textId="77777777" w:rsidTr="006D2966">
        <w:trPr>
          <w:cantSplit/>
        </w:trPr>
        <w:tc>
          <w:tcPr>
            <w:tcW w:w="7654" w:type="dxa"/>
            <w:tcBorders>
              <w:top w:val="single" w:sz="8" w:space="0" w:color="000000" w:themeColor="text1"/>
            </w:tcBorders>
          </w:tcPr>
          <w:p w14:paraId="48991537" w14:textId="5ABD9648" w:rsidR="00D17CFE" w:rsidRPr="003A3374" w:rsidRDefault="00D17CFE" w:rsidP="006D2966">
            <w:pPr>
              <w:pStyle w:val="TableSource"/>
            </w:pPr>
            <w:r w:rsidRPr="003A3374">
              <w:t xml:space="preserve">Source: </w:t>
            </w:r>
            <w:r w:rsidR="007E2587" w:rsidRPr="003A3374">
              <w:t>Rothschild &amp; Co Redburn, Nielsen CGA, Circana, Kantar</w:t>
            </w:r>
          </w:p>
        </w:tc>
      </w:tr>
      <w:bookmarkEnd w:id="42"/>
    </w:tbl>
    <w:p w14:paraId="45144964" w14:textId="77777777" w:rsidR="00D17CFE" w:rsidRPr="003A3374" w:rsidRDefault="00D17CFE" w:rsidP="00D17CFE">
      <w:pPr>
        <w:pStyle w:val="Tablespaceafter"/>
      </w:pPr>
    </w:p>
    <w:p w14:paraId="48AEA8D9" w14:textId="04C0FB07" w:rsidR="00615556" w:rsidRPr="003A3374" w:rsidRDefault="00276F6A" w:rsidP="00276F6A">
      <w:pPr>
        <w:pStyle w:val="BodyText"/>
      </w:pPr>
      <w:r w:rsidRPr="003A3374">
        <w:t>CCGB wants to raise its value share of the sparkling category to more than 70% and t</w:t>
      </w:r>
      <w:r w:rsidR="00615556" w:rsidRPr="003A3374">
        <w:t>he site visit highlighted numerous customer wins</w:t>
      </w:r>
      <w:r w:rsidR="00981ADE" w:rsidRPr="003A3374">
        <w:t xml:space="preserve"> and renewals</w:t>
      </w:r>
      <w:r w:rsidR="00615556" w:rsidRPr="003A3374">
        <w:t xml:space="preserve"> that should support ongoing sales growth and value share gains:</w:t>
      </w:r>
    </w:p>
    <w:p w14:paraId="7457995D" w14:textId="581FD537" w:rsidR="00276F6A" w:rsidRPr="003A3374" w:rsidRDefault="00276F6A" w:rsidP="00615556">
      <w:pPr>
        <w:pStyle w:val="Bullet"/>
      </w:pPr>
      <w:r w:rsidRPr="003A3374">
        <w:t>In August 2025, CCGB became Arsenal football club’s official partner in its Emirates stadium</w:t>
      </w:r>
      <w:r w:rsidR="00186F82" w:rsidRPr="003A3374">
        <w:rPr>
          <w:rStyle w:val="FootnoteReference"/>
        </w:rPr>
        <w:footnoteReference w:id="3"/>
      </w:r>
      <w:r w:rsidRPr="003A3374">
        <w:t xml:space="preserve">. </w:t>
      </w:r>
      <w:r w:rsidR="00186F82" w:rsidRPr="003A3374">
        <w:t xml:space="preserve">This complements TCCC’s </w:t>
      </w:r>
      <w:r w:rsidR="008A27EE" w:rsidRPr="003A3374">
        <w:t xml:space="preserve">new </w:t>
      </w:r>
      <w:r w:rsidR="00D27A9A" w:rsidRPr="003A3374">
        <w:t>three-year</w:t>
      </w:r>
      <w:r w:rsidR="00186F82" w:rsidRPr="003A3374">
        <w:t xml:space="preserve"> partnership</w:t>
      </w:r>
      <w:r w:rsidR="00186F82" w:rsidRPr="003A3374">
        <w:rPr>
          <w:rStyle w:val="FootnoteReference"/>
        </w:rPr>
        <w:footnoteReference w:id="4"/>
      </w:r>
      <w:r w:rsidR="00186F82" w:rsidRPr="003A3374">
        <w:t xml:space="preserve"> with the British Premier League and CCGB’s Premier League logo cans</w:t>
      </w:r>
      <w:r w:rsidR="008A27EE" w:rsidRPr="003A3374">
        <w:t xml:space="preserve">. Importantly, football is the number one ‘passion point’ for British consumers and these partnerships should help to further strengthen Trademark Coca-Cola’s brand perception </w:t>
      </w:r>
      <w:r w:rsidR="00FB2DAA" w:rsidRPr="003A3374">
        <w:t xml:space="preserve">and recognition </w:t>
      </w:r>
      <w:r w:rsidR="008A27EE" w:rsidRPr="003A3374">
        <w:t>in Great Britain</w:t>
      </w:r>
      <w:r w:rsidR="00186F82" w:rsidRPr="003A3374">
        <w:t>;</w:t>
      </w:r>
    </w:p>
    <w:p w14:paraId="6F9076B4" w14:textId="7A6AF576" w:rsidR="00615556" w:rsidRPr="003A3374" w:rsidRDefault="00615556" w:rsidP="00615556">
      <w:pPr>
        <w:pStyle w:val="Bullet"/>
      </w:pPr>
      <w:r w:rsidRPr="003A3374">
        <w:t>As discussed later, in 2025 CCGB won distribution in pub operator Fuller, Smith &amp; Turner from Britvic;</w:t>
      </w:r>
    </w:p>
    <w:p w14:paraId="1426CA7C" w14:textId="4A208861" w:rsidR="00615556" w:rsidRPr="003A3374" w:rsidRDefault="00981ADE" w:rsidP="00615556">
      <w:pPr>
        <w:pStyle w:val="Bullet"/>
      </w:pPr>
      <w:r w:rsidRPr="003A3374">
        <w:t>CCGB’s</w:t>
      </w:r>
      <w:r w:rsidR="00615556" w:rsidRPr="003A3374">
        <w:t xml:space="preserve"> distribution agreements </w:t>
      </w:r>
      <w:r w:rsidR="000B1854" w:rsidRPr="003A3374">
        <w:t>with</w:t>
      </w:r>
      <w:r w:rsidR="00615556" w:rsidRPr="003A3374">
        <w:t xml:space="preserve"> Greggs, Whitbread (Premier Inn), Domino’s Pizza and Burger King were </w:t>
      </w:r>
      <w:r w:rsidR="0063461A" w:rsidRPr="003A3374">
        <w:t>all recently</w:t>
      </w:r>
      <w:r w:rsidR="00615556" w:rsidRPr="003A3374">
        <w:t xml:space="preserve"> extended to 2030. </w:t>
      </w:r>
    </w:p>
    <w:p w14:paraId="3A06475A" w14:textId="1D4B3936" w:rsidR="00D27A9A" w:rsidRPr="003A3374" w:rsidRDefault="007E2C89" w:rsidP="009B5BCF">
      <w:pPr>
        <w:pStyle w:val="Heading20"/>
      </w:pPr>
      <w:bookmarkStart w:id="44" w:name="_Toc214545127"/>
      <w:r w:rsidRPr="003A3374">
        <w:t>The evolving grocery landscape</w:t>
      </w:r>
      <w:bookmarkEnd w:id="44"/>
    </w:p>
    <w:p w14:paraId="247B5E16" w14:textId="5DA64CC9" w:rsidR="00615556" w:rsidRPr="003A3374" w:rsidRDefault="00615556" w:rsidP="00615556">
      <w:pPr>
        <w:pStyle w:val="BodyText"/>
      </w:pPr>
      <w:r w:rsidRPr="003A3374">
        <w:t>The at-home channel, namely grocery, is where there is most scope for CCGB to improve its value share performance. As shown earlier in Fig </w:t>
      </w:r>
      <w:r w:rsidRPr="003A3374">
        <w:fldChar w:fldCharType="begin"/>
      </w:r>
      <w:r w:rsidRPr="003A3374">
        <w:instrText xml:space="preserve"> REF LINK_047614 \h </w:instrText>
      </w:r>
      <w:r w:rsidRPr="003A3374">
        <w:fldChar w:fldCharType="separate"/>
      </w:r>
      <w:r w:rsidR="006A4635" w:rsidRPr="003A3374">
        <w:rPr>
          <w:noProof/>
        </w:rPr>
        <w:t>13</w:t>
      </w:r>
      <w:r w:rsidRPr="003A3374">
        <w:fldChar w:fldCharType="end"/>
      </w:r>
      <w:r w:rsidRPr="003A3374">
        <w:t xml:space="preserve">, grocery is the largest channel </w:t>
      </w:r>
      <w:r w:rsidR="00394D62" w:rsidRPr="003A3374">
        <w:t>at 66% of total British soft drinks volumes</w:t>
      </w:r>
      <w:r w:rsidRPr="003A3374">
        <w:t>, but it only accounts for 48% of value due to the lower ARP, as shown in Fig </w:t>
      </w:r>
      <w:r w:rsidRPr="003A3374">
        <w:fldChar w:fldCharType="begin"/>
      </w:r>
      <w:r w:rsidRPr="003A3374">
        <w:instrText xml:space="preserve"> REF LINK_092963 \h </w:instrText>
      </w:r>
      <w:r w:rsidRPr="003A3374">
        <w:fldChar w:fldCharType="separate"/>
      </w:r>
      <w:r w:rsidR="006A4635" w:rsidRPr="003A3374">
        <w:rPr>
          <w:noProof/>
        </w:rPr>
        <w:t>16</w:t>
      </w:r>
      <w:r w:rsidRPr="003A3374">
        <w:fldChar w:fldCharType="end"/>
      </w:r>
      <w:r w:rsidRPr="003A3374">
        <w:t xml:space="preserve">. </w:t>
      </w:r>
    </w:p>
    <w:p w14:paraId="2715A362" w14:textId="2BD54038" w:rsidR="00615556" w:rsidRPr="003A3374" w:rsidRDefault="00615556" w:rsidP="00615556">
      <w:pPr>
        <w:pStyle w:val="BodyText"/>
      </w:pPr>
      <w:r w:rsidRPr="003A3374">
        <w:t>CCGB is the market leader in the grocery channel with a 30% value share and we estimate that it has won 100bp of share since 2019. The next largest player in grocery is private label (23% share), followed by Britvic (14% share).</w:t>
      </w:r>
    </w:p>
    <w:p w14:paraId="32D0DF49" w14:textId="72A70BBD" w:rsidR="00836E36" w:rsidRPr="003A3374" w:rsidRDefault="00BA67BE" w:rsidP="009F37EF">
      <w:pPr>
        <w:pStyle w:val="BodyText"/>
      </w:pPr>
      <w:r w:rsidRPr="003A3374">
        <w:t>CCGB’s</w:t>
      </w:r>
      <w:r w:rsidR="00323665" w:rsidRPr="003A3374">
        <w:t xml:space="preserve"> </w:t>
      </w:r>
      <w:r w:rsidR="00274D54" w:rsidRPr="003A3374">
        <w:t xml:space="preserve">value share </w:t>
      </w:r>
      <w:r w:rsidR="00323665" w:rsidRPr="003A3374">
        <w:t xml:space="preserve">performance is impressive given the </w:t>
      </w:r>
      <w:r w:rsidR="00B0170C" w:rsidRPr="003A3374">
        <w:t>shif</w:t>
      </w:r>
      <w:r w:rsidR="009D66D1" w:rsidRPr="003A3374">
        <w:t xml:space="preserve">ting landscape in </w:t>
      </w:r>
      <w:r w:rsidR="00323665" w:rsidRPr="003A3374">
        <w:t>the UK grocery channel</w:t>
      </w:r>
      <w:r w:rsidR="00B26BD9" w:rsidRPr="003A3374">
        <w:t xml:space="preserve"> – namely the rise of e-commerce and the </w:t>
      </w:r>
      <w:r w:rsidR="00D81B5C" w:rsidRPr="003A3374">
        <w:t>rise of the German discounters</w:t>
      </w:r>
      <w:r w:rsidR="00323665" w:rsidRPr="003A3374">
        <w:t xml:space="preserve">. </w:t>
      </w:r>
      <w:r w:rsidR="002C0CEF" w:rsidRPr="003A3374">
        <w:t>To illustrate, w</w:t>
      </w:r>
      <w:r w:rsidR="00A37ADF" w:rsidRPr="003A3374">
        <w:t xml:space="preserve">e have plotted the </w:t>
      </w:r>
      <w:r w:rsidR="00AA2D4A" w:rsidRPr="003A3374">
        <w:t xml:space="preserve">UK </w:t>
      </w:r>
      <w:r w:rsidR="00A37ADF" w:rsidRPr="003A3374">
        <w:t>market share by key grocer back to 2000 (</w:t>
      </w:r>
      <w:r w:rsidR="004A3E32" w:rsidRPr="003A3374">
        <w:t>Fig </w:t>
      </w:r>
      <w:r w:rsidR="004A3E32" w:rsidRPr="003A3374">
        <w:fldChar w:fldCharType="begin"/>
      </w:r>
      <w:r w:rsidR="004A3E32" w:rsidRPr="003A3374">
        <w:instrText xml:space="preserve"> REF LINK_074894 \h </w:instrText>
      </w:r>
      <w:r w:rsidR="004A3E32" w:rsidRPr="003A3374">
        <w:fldChar w:fldCharType="separate"/>
      </w:r>
      <w:r w:rsidR="006A4635" w:rsidRPr="003A3374">
        <w:rPr>
          <w:noProof/>
        </w:rPr>
        <w:t>21</w:t>
      </w:r>
      <w:r w:rsidR="004A3E32" w:rsidRPr="003A3374">
        <w:fldChar w:fldCharType="end"/>
      </w:r>
      <w:r w:rsidR="00A37ADF" w:rsidRPr="003A3374">
        <w:t>).</w:t>
      </w:r>
      <w:r w:rsidR="00323665" w:rsidRPr="003A3374">
        <w:t xml:space="preserve"> </w:t>
      </w:r>
      <w:r w:rsidR="00E62DC2" w:rsidRPr="003A3374">
        <w:t>We use UK data as data for Great Britain is not</w:t>
      </w:r>
      <w:r w:rsidR="000D69D7" w:rsidRPr="003A3374">
        <w:t xml:space="preserve"> readily</w:t>
      </w:r>
      <w:r w:rsidR="00E62DC2" w:rsidRPr="003A3374">
        <w:t xml:space="preserve"> available, but the </w:t>
      </w:r>
      <w:r w:rsidR="00B02E24" w:rsidRPr="003A3374">
        <w:t>two are highly comparable</w:t>
      </w:r>
      <w:r w:rsidR="00E62DC2" w:rsidRPr="003A3374">
        <w:t xml:space="preserve">. </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0A670A" w:rsidRPr="003A3374" w14:paraId="3BD0C24A" w14:textId="77777777" w:rsidTr="00E5771D">
        <w:trPr>
          <w:cantSplit/>
          <w:tblHeader/>
        </w:trPr>
        <w:tc>
          <w:tcPr>
            <w:tcW w:w="7653" w:type="dxa"/>
            <w:tcBorders>
              <w:bottom w:val="single" w:sz="8" w:space="0" w:color="000000" w:themeColor="text1"/>
            </w:tcBorders>
            <w:vAlign w:val="bottom"/>
          </w:tcPr>
          <w:p w14:paraId="16A7BB7F" w14:textId="614F53A7" w:rsidR="000A670A" w:rsidRPr="003A3374" w:rsidRDefault="000A670A" w:rsidP="006D2966">
            <w:pPr>
              <w:pStyle w:val="TableTitle"/>
            </w:pPr>
            <w:r w:rsidRPr="003A3374">
              <w:lastRenderedPageBreak/>
              <w:t xml:space="preserve">Fig </w:t>
            </w:r>
            <w:bookmarkStart w:id="45" w:name="LINK_074894"/>
            <w:r w:rsidRPr="003A3374">
              <w:fldChar w:fldCharType="begin"/>
            </w:r>
            <w:r w:rsidRPr="003A3374">
              <w:instrText xml:space="preserve"> SEQ Fig </w:instrText>
            </w:r>
            <w:r w:rsidRPr="003A3374">
              <w:fldChar w:fldCharType="separate"/>
            </w:r>
            <w:r w:rsidR="006A4635" w:rsidRPr="003A3374">
              <w:rPr>
                <w:noProof/>
              </w:rPr>
              <w:t>21</w:t>
            </w:r>
            <w:r w:rsidRPr="003A3374">
              <w:fldChar w:fldCharType="end"/>
            </w:r>
            <w:bookmarkEnd w:id="45"/>
            <w:r w:rsidRPr="003A3374">
              <w:t xml:space="preserve">: </w:t>
            </w:r>
            <w:r w:rsidR="00A74C01" w:rsidRPr="003A3374">
              <w:t xml:space="preserve">The evolving landscape in </w:t>
            </w:r>
            <w:r w:rsidR="00D94FC4" w:rsidRPr="003A3374">
              <w:t xml:space="preserve">UK </w:t>
            </w:r>
            <w:r w:rsidR="00A74C01" w:rsidRPr="003A3374">
              <w:t>grocery</w:t>
            </w:r>
          </w:p>
        </w:tc>
      </w:tr>
      <w:tr w:rsidR="000A670A" w:rsidRPr="003A3374" w14:paraId="55AE2098" w14:textId="77777777" w:rsidTr="00E5771D">
        <w:trPr>
          <w:cantSplit/>
        </w:trPr>
        <w:tc>
          <w:tcPr>
            <w:tcW w:w="7653" w:type="dxa"/>
            <w:tcBorders>
              <w:top w:val="single" w:sz="8" w:space="0" w:color="000000" w:themeColor="text1"/>
              <w:bottom w:val="single" w:sz="8" w:space="0" w:color="000000" w:themeColor="text1"/>
            </w:tcBorders>
          </w:tcPr>
          <w:p w14:paraId="52BA71D7" w14:textId="657CB081" w:rsidR="000A670A" w:rsidRPr="003A3374" w:rsidRDefault="00E27F00" w:rsidP="006D2966">
            <w:pPr>
              <w:pStyle w:val="Tableplaceholder"/>
            </w:pPr>
            <w:r w:rsidRPr="003A3374">
              <w:rPr>
                <w:noProof/>
              </w:rPr>
              <w:drawing>
                <wp:inline distT="0" distB="0" distL="0" distR="0" wp14:anchorId="74D4AAED" wp14:editId="2FAEF1BD">
                  <wp:extent cx="4846955" cy="2590165"/>
                  <wp:effectExtent l="0" t="0" r="0" b="635"/>
                  <wp:docPr id="20588008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46955" cy="2590165"/>
                          </a:xfrm>
                          <a:prstGeom prst="rect">
                            <a:avLst/>
                          </a:prstGeom>
                          <a:noFill/>
                          <a:ln>
                            <a:noFill/>
                          </a:ln>
                        </pic:spPr>
                      </pic:pic>
                    </a:graphicData>
                  </a:graphic>
                </wp:inline>
              </w:drawing>
            </w:r>
          </w:p>
        </w:tc>
      </w:tr>
      <w:tr w:rsidR="000A670A" w:rsidRPr="003A3374" w14:paraId="72FE9C79" w14:textId="77777777" w:rsidTr="00E5771D">
        <w:trPr>
          <w:cantSplit/>
        </w:trPr>
        <w:tc>
          <w:tcPr>
            <w:tcW w:w="7653" w:type="dxa"/>
            <w:tcBorders>
              <w:top w:val="single" w:sz="8" w:space="0" w:color="000000" w:themeColor="text1"/>
            </w:tcBorders>
          </w:tcPr>
          <w:p w14:paraId="270FB119" w14:textId="370E13C2" w:rsidR="00684675" w:rsidRPr="003A3374" w:rsidRDefault="00684675" w:rsidP="006D2966">
            <w:pPr>
              <w:pStyle w:val="TableSource"/>
              <w:contextualSpacing/>
            </w:pPr>
            <w:r w:rsidRPr="003A3374">
              <w:t>Note: Morrisons acquired Safeway in 2004</w:t>
            </w:r>
          </w:p>
          <w:p w14:paraId="142538BE" w14:textId="2E58FDDC" w:rsidR="000A670A" w:rsidRPr="003A3374" w:rsidRDefault="000A670A" w:rsidP="006D2966">
            <w:pPr>
              <w:pStyle w:val="TableSource"/>
            </w:pPr>
            <w:r w:rsidRPr="003A3374">
              <w:t>Source:</w:t>
            </w:r>
            <w:r w:rsidR="007E2587" w:rsidRPr="003A3374">
              <w:t xml:space="preserve"> Rothschild &amp; Co Redburn,</w:t>
            </w:r>
            <w:r w:rsidRPr="003A3374">
              <w:t xml:space="preserve"> Kantar</w:t>
            </w:r>
          </w:p>
        </w:tc>
      </w:tr>
    </w:tbl>
    <w:p w14:paraId="7E2FA0C6" w14:textId="1CF5CACA" w:rsidR="009F37EF" w:rsidRPr="003A3374" w:rsidRDefault="009F37EF" w:rsidP="009F37EF">
      <w:pPr>
        <w:pStyle w:val="BodyText"/>
      </w:pPr>
      <w:r w:rsidRPr="003A3374">
        <w:t>The largest grocer is Tesco which has consistently held over a quarter of total market share. For Diageo investors, the incoming CEO</w:t>
      </w:r>
      <w:r w:rsidR="00725BF6" w:rsidRPr="003A3374">
        <w:t xml:space="preserve"> Sir</w:t>
      </w:r>
      <w:r w:rsidRPr="003A3374">
        <w:t xml:space="preserve"> Dave Lewis was</w:t>
      </w:r>
      <w:r w:rsidR="00D977C1" w:rsidRPr="003A3374">
        <w:t xml:space="preserve"> previously</w:t>
      </w:r>
      <w:r w:rsidRPr="003A3374">
        <w:t xml:space="preserve"> CEO of Tesco in 2014-20 and although the grocer lost UK value share during his tenure, Lewis’ accomplishments far outweighed this: </w:t>
      </w:r>
    </w:p>
    <w:p w14:paraId="0437B9EE" w14:textId="4C31A2FD" w:rsidR="009F37EF" w:rsidRPr="003A3374" w:rsidRDefault="009F37EF" w:rsidP="009F37EF">
      <w:pPr>
        <w:pStyle w:val="Bullet"/>
      </w:pPr>
      <w:r w:rsidRPr="003A3374">
        <w:t>Stabilised the company’s finances (including closing 43 loss-making UK stores);</w:t>
      </w:r>
    </w:p>
    <w:p w14:paraId="68E48573" w14:textId="109F0B13" w:rsidR="009F37EF" w:rsidRPr="003A3374" w:rsidRDefault="009F37EF" w:rsidP="009F37EF">
      <w:pPr>
        <w:pStyle w:val="Bullet"/>
      </w:pPr>
      <w:r w:rsidRPr="003A3374">
        <w:t xml:space="preserve">Strengthened Tesco’s relationships with suppliers like </w:t>
      </w:r>
      <w:r w:rsidR="000B1718" w:rsidRPr="003A3374">
        <w:t>CCGB</w:t>
      </w:r>
      <w:r w:rsidRPr="003A3374">
        <w:t>, while also building a stronger private label offering (‘Tesco finest’);</w:t>
      </w:r>
    </w:p>
    <w:p w14:paraId="21E06A24" w14:textId="4B080EF9" w:rsidR="009F37EF" w:rsidRPr="003A3374" w:rsidRDefault="009F37EF" w:rsidP="009F37EF">
      <w:pPr>
        <w:pStyle w:val="Bullet"/>
      </w:pPr>
      <w:r w:rsidRPr="003A3374">
        <w:t>Strengthened Tesco’s online operations and clubcard offering</w:t>
      </w:r>
      <w:r w:rsidR="003B3CAF" w:rsidRPr="003A3374">
        <w:t>. Today, more than 24 million UK households use a</w:t>
      </w:r>
      <w:r w:rsidR="00894BDA" w:rsidRPr="003A3374">
        <w:t xml:space="preserve"> Tesco</w:t>
      </w:r>
      <w:r w:rsidR="003B3CAF" w:rsidRPr="003A3374">
        <w:t xml:space="preserve"> clubcard (i.e. c83% of the c29 million households in the UK – an incredibly high penetration rate) and it has become an increasingly useful tool for</w:t>
      </w:r>
      <w:r w:rsidR="00370FF0" w:rsidRPr="003A3374">
        <w:t xml:space="preserve"> suppliers like</w:t>
      </w:r>
      <w:r w:rsidR="003B3CAF" w:rsidRPr="003A3374">
        <w:t xml:space="preserve"> CCGB to refine </w:t>
      </w:r>
      <w:r w:rsidR="00370FF0" w:rsidRPr="003A3374">
        <w:t xml:space="preserve">their </w:t>
      </w:r>
      <w:r w:rsidR="003B3CAF" w:rsidRPr="003A3374">
        <w:t>promotional spend</w:t>
      </w:r>
      <w:r w:rsidR="00CE1A24" w:rsidRPr="003A3374">
        <w:t xml:space="preserve"> in Tesco</w:t>
      </w:r>
      <w:r w:rsidRPr="003A3374">
        <w:t>;</w:t>
      </w:r>
    </w:p>
    <w:p w14:paraId="3954A6FE" w14:textId="7AB6ACD7" w:rsidR="009F37EF" w:rsidRPr="003A3374" w:rsidRDefault="009F37EF" w:rsidP="009F37EF">
      <w:pPr>
        <w:pStyle w:val="Bullet"/>
      </w:pPr>
      <w:r w:rsidRPr="003A3374">
        <w:t xml:space="preserve">Acquired wholesaler Booker in 2018 to diversify Tesco’s revenue streams into the </w:t>
      </w:r>
      <w:r w:rsidR="00206272" w:rsidRPr="003A3374">
        <w:t>OOH</w:t>
      </w:r>
      <w:r w:rsidRPr="003A3374">
        <w:t xml:space="preserve"> channel;</w:t>
      </w:r>
    </w:p>
    <w:p w14:paraId="7F9735C9" w14:textId="77777777" w:rsidR="009F37EF" w:rsidRPr="003A3374" w:rsidRDefault="009F37EF" w:rsidP="009F37EF">
      <w:pPr>
        <w:pStyle w:val="Bullet"/>
      </w:pPr>
      <w:r w:rsidRPr="003A3374">
        <w:t>Finally, Lewis earnt the moniker ‘Drastic Dave’, partly thanks to ‘Project Reset’ in 2015 which involved cost cutting and SKU trimming to help fight against the German discounters Aldi and Lidl.</w:t>
      </w:r>
    </w:p>
    <w:p w14:paraId="66F76637" w14:textId="77777777" w:rsidR="009F37EF" w:rsidRPr="003A3374" w:rsidRDefault="009F37EF" w:rsidP="009F37EF">
      <w:pPr>
        <w:pStyle w:val="BodyText"/>
      </w:pPr>
      <w:r w:rsidRPr="003A3374">
        <w:t>Aldi and Lidl launched in the UK in the early 1990s and they have consistently won value share thanks to their cheaper price point, slimmer product line up and speedy checkout service. Combined, Aldi and Lidl have risen from a c2% share of total UK grocery value to almost 20% today – a staggering improvement that has consequences for the entire FMCG category, discussed shortly.</w:t>
      </w:r>
    </w:p>
    <w:p w14:paraId="525D9D1F" w14:textId="77777777" w:rsidR="007E2C89" w:rsidRPr="003A3374" w:rsidRDefault="007E2C89" w:rsidP="007E2C89">
      <w:pPr>
        <w:pStyle w:val="Heading30"/>
      </w:pPr>
      <w:r w:rsidRPr="003A3374">
        <w:t>German discounters versus private equity</w:t>
      </w:r>
    </w:p>
    <w:p w14:paraId="27017699" w14:textId="395BEFC1" w:rsidR="009F37EF" w:rsidRPr="003A3374" w:rsidRDefault="00E3690E" w:rsidP="009F37EF">
      <w:pPr>
        <w:pStyle w:val="BodyText"/>
      </w:pPr>
      <w:r w:rsidRPr="003A3374">
        <w:t>T</w:t>
      </w:r>
      <w:r w:rsidR="009F37EF" w:rsidRPr="003A3374">
        <w:t>he</w:t>
      </w:r>
      <w:r w:rsidRPr="003A3374">
        <w:t xml:space="preserve"> UK’s</w:t>
      </w:r>
      <w:r w:rsidR="009F37EF" w:rsidRPr="003A3374">
        <w:t xml:space="preserve"> third largest grocer, Asda, was acquired by the Issa brothers and private equity firm TDR Capital in February 2021. </w:t>
      </w:r>
      <w:r w:rsidR="0054172B" w:rsidRPr="003A3374">
        <w:t>Then in October 2021</w:t>
      </w:r>
      <w:r w:rsidR="009F37EF" w:rsidRPr="003A3374">
        <w:t xml:space="preserve">, the fourth largest </w:t>
      </w:r>
      <w:r w:rsidR="009F37EF" w:rsidRPr="003A3374">
        <w:lastRenderedPageBreak/>
        <w:t xml:space="preserve">grocer, Morrisons, was </w:t>
      </w:r>
      <w:r w:rsidR="0054172B" w:rsidRPr="003A3374">
        <w:t>bought</w:t>
      </w:r>
      <w:r w:rsidR="009F37EF" w:rsidRPr="003A3374">
        <w:t xml:space="preserve"> by private equity firm Clayton, Dubiler &amp; Rice. As shown in Fig </w:t>
      </w:r>
      <w:r w:rsidR="009F37EF" w:rsidRPr="003A3374">
        <w:fldChar w:fldCharType="begin"/>
      </w:r>
      <w:r w:rsidR="009F37EF" w:rsidRPr="003A3374">
        <w:instrText xml:space="preserve"> REF LINK_074894 \h </w:instrText>
      </w:r>
      <w:r w:rsidR="009F37EF" w:rsidRPr="003A3374">
        <w:fldChar w:fldCharType="separate"/>
      </w:r>
      <w:r w:rsidR="006A4635" w:rsidRPr="003A3374">
        <w:rPr>
          <w:noProof/>
        </w:rPr>
        <w:t>21</w:t>
      </w:r>
      <w:r w:rsidR="009F37EF" w:rsidRPr="003A3374">
        <w:fldChar w:fldCharType="end"/>
      </w:r>
      <w:r w:rsidR="0035037B" w:rsidRPr="003A3374">
        <w:t>,</w:t>
      </w:r>
      <w:r w:rsidR="009F37EF" w:rsidRPr="003A3374">
        <w:t xml:space="preserve"> both grocers have struggled since being taken private: Asda has lost 250bp of market share since 2020 while Morrisons has lost 200bp. Aldi and Lidl have been the main beneficiaries, both winning 250bp of market share since 2020.</w:t>
      </w:r>
    </w:p>
    <w:p w14:paraId="3FC70802" w14:textId="02F4F07A" w:rsidR="00E5771D" w:rsidRPr="003A3374" w:rsidRDefault="00E5771D" w:rsidP="007D1F9F">
      <w:pPr>
        <w:pStyle w:val="BodyText"/>
      </w:pPr>
      <w:r w:rsidRPr="003A3374">
        <w:t>Morrisons is in a tough spot having been levered up to extract dividends while concurrently failing to improve its value offering. In July 2025, Fitch forecasted that Morrisons would end FY25E on 6.2x net-debt EBITDAR</w:t>
      </w:r>
      <w:r w:rsidRPr="003A3374">
        <w:rPr>
          <w:rStyle w:val="FootnoteReference"/>
        </w:rPr>
        <w:footnoteReference w:id="5"/>
      </w:r>
      <w:r w:rsidR="00622ABA" w:rsidRPr="003A3374">
        <w:t xml:space="preserve">, </w:t>
      </w:r>
      <w:r w:rsidRPr="003A3374">
        <w:t>fall</w:t>
      </w:r>
      <w:r w:rsidR="00622ABA" w:rsidRPr="003A3374">
        <w:t>ing</w:t>
      </w:r>
      <w:r w:rsidRPr="003A3374">
        <w:t xml:space="preserve"> modestly to just below 6.0x in FY26E. Fitch</w:t>
      </w:r>
      <w:r w:rsidR="0035037B" w:rsidRPr="003A3374">
        <w:t xml:space="preserve"> also</w:t>
      </w:r>
      <w:r w:rsidRPr="003A3374">
        <w:t xml:space="preserve"> downgraded Morrisons’ debt rating from 'BB' to 'BB-' i.e. one notch above CCC</w:t>
      </w:r>
      <w:r w:rsidR="0035037B" w:rsidRPr="003A3374">
        <w:t>,</w:t>
      </w:r>
      <w:r w:rsidR="00622ABA" w:rsidRPr="003A3374">
        <w:t xml:space="preserve"> the grade</w:t>
      </w:r>
      <w:r w:rsidRPr="003A3374">
        <w:t xml:space="preserve"> that signals “substantial risk” of default.</w:t>
      </w:r>
    </w:p>
    <w:p w14:paraId="3CF41C07" w14:textId="667A030D" w:rsidR="002232C1" w:rsidRPr="003A3374" w:rsidRDefault="002232C1" w:rsidP="007D1F9F">
      <w:pPr>
        <w:pStyle w:val="BodyText"/>
      </w:pPr>
      <w:r w:rsidRPr="003A3374">
        <w:t xml:space="preserve">Morrisons announced price cuts on </w:t>
      </w:r>
      <w:r w:rsidR="0035037B" w:rsidRPr="003A3374">
        <w:t>c</w:t>
      </w:r>
      <w:r w:rsidRPr="003A3374">
        <w:t xml:space="preserve">650 products in </w:t>
      </w:r>
      <w:r w:rsidR="00CC7232" w:rsidRPr="003A3374">
        <w:t>September</w:t>
      </w:r>
      <w:r w:rsidRPr="003A3374">
        <w:t xml:space="preserve"> 2025 and in October 2025 </w:t>
      </w:r>
      <w:r w:rsidR="0035037B" w:rsidRPr="003A3374">
        <w:t>it</w:t>
      </w:r>
      <w:r w:rsidRPr="003A3374">
        <w:t xml:space="preserve"> announced plans to shut 145 sites </w:t>
      </w:r>
      <w:r w:rsidR="00CC7232" w:rsidRPr="003A3374">
        <w:t xml:space="preserve">(c8% of </w:t>
      </w:r>
      <w:r w:rsidR="003A74A0" w:rsidRPr="003A3374">
        <w:t>the</w:t>
      </w:r>
      <w:r w:rsidR="00CC7232" w:rsidRPr="003A3374">
        <w:t xml:space="preserve"> total store footprint) </w:t>
      </w:r>
      <w:r w:rsidRPr="003A3374">
        <w:t xml:space="preserve">as part of </w:t>
      </w:r>
      <w:r w:rsidR="003A74A0" w:rsidRPr="003A3374">
        <w:t>an</w:t>
      </w:r>
      <w:r w:rsidRPr="003A3374">
        <w:t xml:space="preserve"> </w:t>
      </w:r>
      <w:r w:rsidR="00445950" w:rsidRPr="003A3374">
        <w:t xml:space="preserve">ongoing </w:t>
      </w:r>
      <w:r w:rsidRPr="003A3374">
        <w:t>cost cutting programme.</w:t>
      </w:r>
      <w:r w:rsidR="007D1F9F" w:rsidRPr="003A3374">
        <w:t xml:space="preserve"> We will have to see</w:t>
      </w:r>
      <w:r w:rsidR="001628FB" w:rsidRPr="003A3374">
        <w:t xml:space="preserve"> </w:t>
      </w:r>
      <w:r w:rsidR="007D1F9F" w:rsidRPr="003A3374">
        <w:t>wait and see if this is enough because</w:t>
      </w:r>
      <w:r w:rsidR="00E27F00" w:rsidRPr="003A3374">
        <w:t>,</w:t>
      </w:r>
      <w:r w:rsidR="007D1F9F" w:rsidRPr="003A3374">
        <w:t xml:space="preserve"> f</w:t>
      </w:r>
      <w:r w:rsidR="006B5712" w:rsidRPr="003A3374">
        <w:t>ollowing suit, i</w:t>
      </w:r>
      <w:r w:rsidR="001628FB" w:rsidRPr="003A3374">
        <w:t xml:space="preserve">n </w:t>
      </w:r>
      <w:r w:rsidR="006B5712" w:rsidRPr="003A3374">
        <w:t xml:space="preserve">October </w:t>
      </w:r>
      <w:r w:rsidR="001628FB" w:rsidRPr="003A3374">
        <w:t xml:space="preserve">2025 Asda </w:t>
      </w:r>
      <w:r w:rsidR="006B5712" w:rsidRPr="003A3374">
        <w:t xml:space="preserve">announced price cuts </w:t>
      </w:r>
      <w:r w:rsidR="001628FB" w:rsidRPr="003A3374">
        <w:t>on over 960 products in an attempt to win back market share.</w:t>
      </w:r>
    </w:p>
    <w:p w14:paraId="5BCBF8F4" w14:textId="1D7423C4" w:rsidR="00E45268" w:rsidRPr="003A3374" w:rsidRDefault="00CC7232" w:rsidP="009728F1">
      <w:pPr>
        <w:pStyle w:val="BodyText"/>
      </w:pPr>
      <w:r w:rsidRPr="003A3374">
        <w:t>Despite these countermeasures,</w:t>
      </w:r>
      <w:r w:rsidR="001939CE" w:rsidRPr="003A3374">
        <w:t xml:space="preserve"> </w:t>
      </w:r>
      <w:r w:rsidRPr="003A3374">
        <w:t>w</w:t>
      </w:r>
      <w:r w:rsidR="008B579D" w:rsidRPr="003A3374">
        <w:t>e would expect Aldi and Lidl to continue winning share from Asda and Morrisons</w:t>
      </w:r>
      <w:r w:rsidRPr="003A3374">
        <w:t>.</w:t>
      </w:r>
      <w:r w:rsidR="00E45268" w:rsidRPr="003A3374">
        <w:t xml:space="preserve"> </w:t>
      </w:r>
      <w:r w:rsidR="00D25BC6" w:rsidRPr="003A3374">
        <w:t>I</w:t>
      </w:r>
      <w:r w:rsidR="00E45268" w:rsidRPr="003A3374">
        <w:t>n our coverage</w:t>
      </w:r>
      <w:r w:rsidR="00D25BC6" w:rsidRPr="003A3374">
        <w:t>, Morrisons’ challenges</w:t>
      </w:r>
      <w:r w:rsidR="00E45268" w:rsidRPr="003A3374">
        <w:t xml:space="preserve"> pose</w:t>
      </w:r>
      <w:r w:rsidR="00D25BC6" w:rsidRPr="003A3374">
        <w:t xml:space="preserve"> </w:t>
      </w:r>
      <w:r w:rsidR="00E91FCB" w:rsidRPr="003A3374">
        <w:t>the most</w:t>
      </w:r>
      <w:r w:rsidR="00E45268" w:rsidRPr="003A3374">
        <w:t xml:space="preserve"> risk to AG Barr (Buy rated)</w:t>
      </w:r>
      <w:r w:rsidR="00E3690E" w:rsidRPr="003A3374">
        <w:t>,</w:t>
      </w:r>
      <w:r w:rsidR="00E45268" w:rsidRPr="003A3374">
        <w:t xml:space="preserve"> which is relatively stronger in the North of England (where Asda and Morrisons have a higher market share compared to the South of England). CC</w:t>
      </w:r>
      <w:r w:rsidR="003D15AF" w:rsidRPr="003A3374">
        <w:t>GB</w:t>
      </w:r>
      <w:r w:rsidR="00D36ED9" w:rsidRPr="003A3374">
        <w:t xml:space="preserve"> should be relatively less </w:t>
      </w:r>
      <w:r w:rsidR="00A85F9A" w:rsidRPr="003A3374">
        <w:t>affected</w:t>
      </w:r>
      <w:r w:rsidR="00E45268" w:rsidRPr="003A3374">
        <w:t>,</w:t>
      </w:r>
      <w:r w:rsidR="00D36ED9" w:rsidRPr="003A3374">
        <w:t xml:space="preserve"> but nevertheless</w:t>
      </w:r>
      <w:r w:rsidR="00626E74" w:rsidRPr="003A3374">
        <w:t>,</w:t>
      </w:r>
      <w:r w:rsidR="00E45268" w:rsidRPr="003A3374">
        <w:t xml:space="preserve"> the structural shift towards Aldi and </w:t>
      </w:r>
      <w:r w:rsidR="00BA4092" w:rsidRPr="003A3374">
        <w:t xml:space="preserve">Lidl </w:t>
      </w:r>
      <w:r w:rsidR="003D15AF" w:rsidRPr="003A3374">
        <w:t>could</w:t>
      </w:r>
      <w:r w:rsidR="00E45268" w:rsidRPr="003A3374">
        <w:t xml:space="preserve"> create</w:t>
      </w:r>
      <w:r w:rsidR="003D15AF" w:rsidRPr="003A3374">
        <w:t xml:space="preserve"> </w:t>
      </w:r>
      <w:r w:rsidR="00E45268" w:rsidRPr="003A3374">
        <w:t>a few challenges.</w:t>
      </w:r>
    </w:p>
    <w:p w14:paraId="6FA8B14B" w14:textId="721518DE" w:rsidR="00626E74" w:rsidRPr="003A3374" w:rsidRDefault="00626E74" w:rsidP="009B5BCF">
      <w:pPr>
        <w:pStyle w:val="Heading20"/>
      </w:pPr>
      <w:bookmarkStart w:id="46" w:name="_Toc214545128"/>
      <w:r w:rsidRPr="003A3374">
        <w:t>Imitation is the sincerest form</w:t>
      </w:r>
      <w:r w:rsidR="00972D79" w:rsidRPr="003A3374">
        <w:t xml:space="preserve"> of flattery</w:t>
      </w:r>
      <w:bookmarkEnd w:id="46"/>
    </w:p>
    <w:p w14:paraId="07C76EA8" w14:textId="1E748393" w:rsidR="003F755F" w:rsidRPr="003A3374" w:rsidRDefault="00E45268" w:rsidP="00E45268">
      <w:pPr>
        <w:pStyle w:val="BodyText"/>
      </w:pPr>
      <w:r w:rsidRPr="003A3374">
        <w:t>Firstly, the German discounters are famous for their cheaper knock-off private label products that bear a</w:t>
      </w:r>
      <w:r w:rsidR="000101D5" w:rsidRPr="003A3374">
        <w:t>n uncanny</w:t>
      </w:r>
      <w:r w:rsidR="00221525" w:rsidRPr="003A3374">
        <w:t xml:space="preserve"> </w:t>
      </w:r>
      <w:r w:rsidR="00381656" w:rsidRPr="003A3374">
        <w:t>(</w:t>
      </w:r>
      <w:r w:rsidR="00221525" w:rsidRPr="003A3374">
        <w:t>and legally</w:t>
      </w:r>
      <w:r w:rsidR="003D15AF" w:rsidRPr="003A3374">
        <w:t xml:space="preserve"> opaque</w:t>
      </w:r>
      <w:r w:rsidR="00381656" w:rsidRPr="003A3374">
        <w:t>)</w:t>
      </w:r>
      <w:r w:rsidR="000101D5" w:rsidRPr="003A3374">
        <w:t xml:space="preserve"> resemblance </w:t>
      </w:r>
      <w:r w:rsidRPr="003A3374">
        <w:t xml:space="preserve">to branded products – Aldi’s Vive Orange Zero </w:t>
      </w:r>
      <w:r w:rsidR="00A50870" w:rsidRPr="003A3374">
        <w:t>brings back memories of</w:t>
      </w:r>
      <w:r w:rsidR="00EC2D62" w:rsidRPr="003A3374">
        <w:t xml:space="preserve"> the old Fanta</w:t>
      </w:r>
      <w:r w:rsidR="002C7177" w:rsidRPr="003A3374">
        <w:t xml:space="preserve"> Zero</w:t>
      </w:r>
      <w:r w:rsidR="00EC2D62" w:rsidRPr="003A3374">
        <w:t xml:space="preserve"> branding, </w:t>
      </w:r>
      <w:r w:rsidR="002A7D86" w:rsidRPr="003A3374">
        <w:t>before it</w:t>
      </w:r>
      <w:r w:rsidR="00EC2D62" w:rsidRPr="003A3374">
        <w:t xml:space="preserve"> was updated in 2023 to a new </w:t>
      </w:r>
      <w:r w:rsidR="002C7177" w:rsidRPr="003A3374">
        <w:t xml:space="preserve">Fanta </w:t>
      </w:r>
      <w:r w:rsidR="00EC2D62" w:rsidRPr="003A3374">
        <w:t>font (</w:t>
      </w:r>
      <w:r w:rsidR="009A0C5C" w:rsidRPr="003A3374">
        <w:t>Fig </w:t>
      </w:r>
      <w:r w:rsidR="009A0C5C" w:rsidRPr="003A3374">
        <w:fldChar w:fldCharType="begin"/>
      </w:r>
      <w:r w:rsidR="009A0C5C" w:rsidRPr="003A3374">
        <w:instrText xml:space="preserve"> REF LINK_050145 \h </w:instrText>
      </w:r>
      <w:r w:rsidR="009A0C5C" w:rsidRPr="003A3374">
        <w:fldChar w:fldCharType="separate"/>
      </w:r>
      <w:r w:rsidR="006A4635" w:rsidRPr="003A3374">
        <w:rPr>
          <w:noProof/>
        </w:rPr>
        <w:t>22</w:t>
      </w:r>
      <w:r w:rsidR="009A0C5C" w:rsidRPr="003A3374">
        <w:fldChar w:fldCharType="end"/>
      </w:r>
      <w:r w:rsidR="00EC2D62" w:rsidRPr="003A3374">
        <w:t>).</w:t>
      </w:r>
      <w:r w:rsidR="00C4139D" w:rsidRPr="003A3374">
        <w:t xml:space="preserve"> </w:t>
      </w:r>
    </w:p>
    <w:p w14:paraId="54F04726" w14:textId="3D77D954" w:rsidR="00E45268" w:rsidRPr="003A3374" w:rsidRDefault="00C4139D" w:rsidP="00E45268">
      <w:pPr>
        <w:pStyle w:val="BodyText"/>
      </w:pPr>
      <w:r w:rsidRPr="003A3374">
        <w:t>As shown</w:t>
      </w:r>
      <w:r w:rsidR="00567665" w:rsidRPr="003A3374">
        <w:t xml:space="preserve"> </w:t>
      </w:r>
      <w:r w:rsidR="004C21B9" w:rsidRPr="003A3374">
        <w:t>later</w:t>
      </w:r>
      <w:r w:rsidRPr="003A3374">
        <w:t xml:space="preserve"> in Fig </w:t>
      </w:r>
      <w:r w:rsidRPr="003A3374">
        <w:fldChar w:fldCharType="begin"/>
      </w:r>
      <w:r w:rsidRPr="003A3374">
        <w:instrText xml:space="preserve"> REF LINK_067104 \h </w:instrText>
      </w:r>
      <w:r w:rsidRPr="003A3374">
        <w:fldChar w:fldCharType="separate"/>
      </w:r>
      <w:r w:rsidR="006A4635" w:rsidRPr="003A3374">
        <w:rPr>
          <w:noProof/>
        </w:rPr>
        <w:t>24</w:t>
      </w:r>
      <w:r w:rsidRPr="003A3374">
        <w:fldChar w:fldCharType="end"/>
      </w:r>
      <w:r w:rsidRPr="003A3374">
        <w:t xml:space="preserve"> these private label products are significantly cheaper on both an absolute and a pence</w:t>
      </w:r>
      <w:r w:rsidR="00E237DB" w:rsidRPr="003A3374">
        <w:t xml:space="preserve"> </w:t>
      </w:r>
      <w:r w:rsidRPr="003A3374">
        <w:t>per</w:t>
      </w:r>
      <w:r w:rsidR="00E237DB" w:rsidRPr="003A3374">
        <w:t xml:space="preserve"> </w:t>
      </w:r>
      <w:r w:rsidRPr="003A3374">
        <w:t>litre basis</w:t>
      </w:r>
      <w:r w:rsidR="00A87531" w:rsidRPr="003A3374">
        <w:t>, although they tend to have an inferior taste to branded products.</w:t>
      </w:r>
      <w:r w:rsidR="00EB6B55" w:rsidRPr="003A3374">
        <w:t xml:space="preserve"> </w:t>
      </w:r>
      <w:r w:rsidR="006349E5" w:rsidRPr="003A3374">
        <w:t>Regardless</w:t>
      </w:r>
      <w:r w:rsidR="00EB6B55" w:rsidRPr="003A3374">
        <w:t>, when British consumer budgets are under pressure, these private label products present a viable trade-down option</w:t>
      </w:r>
      <w:r w:rsidR="00E96C6E" w:rsidRPr="003A3374">
        <w:t>.</w:t>
      </w:r>
    </w:p>
    <w:p w14:paraId="20E867CD" w14:textId="03C8E7CB" w:rsidR="00E45268" w:rsidRPr="003A3374" w:rsidRDefault="00EB6B55" w:rsidP="00AD21A3">
      <w:pPr>
        <w:pStyle w:val="BodyText"/>
      </w:pPr>
      <w:r w:rsidRPr="003A3374">
        <w:t xml:space="preserve">Secondly, </w:t>
      </w:r>
      <w:r w:rsidR="006E3220" w:rsidRPr="003A3374">
        <w:t>other grocers</w:t>
      </w:r>
      <w:r w:rsidRPr="003A3374">
        <w:t xml:space="preserve"> like Tesco </w:t>
      </w:r>
      <w:r w:rsidR="00AD21A3" w:rsidRPr="003A3374">
        <w:t xml:space="preserve">and Sainsbury </w:t>
      </w:r>
      <w:r w:rsidRPr="003A3374">
        <w:t xml:space="preserve">have </w:t>
      </w:r>
      <w:r w:rsidR="006E3220" w:rsidRPr="003A3374">
        <w:t xml:space="preserve">started matching the price point of certain </w:t>
      </w:r>
      <w:r w:rsidR="009B1BE5" w:rsidRPr="003A3374">
        <w:t xml:space="preserve">key </w:t>
      </w:r>
      <w:r w:rsidR="006E3220" w:rsidRPr="003A3374">
        <w:t xml:space="preserve">products to </w:t>
      </w:r>
      <w:r w:rsidR="00F83A69" w:rsidRPr="003A3374">
        <w:t>the discounters</w:t>
      </w:r>
      <w:r w:rsidR="006E3220" w:rsidRPr="003A3374">
        <w:t xml:space="preserve">. For example, </w:t>
      </w:r>
      <w:r w:rsidR="009B1BE5" w:rsidRPr="003A3374">
        <w:t xml:space="preserve">several Coca-Cola Classic </w:t>
      </w:r>
      <w:r w:rsidR="00AD21A3" w:rsidRPr="003A3374">
        <w:t>format</w:t>
      </w:r>
      <w:r w:rsidR="009B1BE5" w:rsidRPr="003A3374">
        <w:t xml:space="preserve">s contain an ‘Aldi Price Match’ logo on Tesco’s website and the price point is </w:t>
      </w:r>
      <w:r w:rsidR="007C3743" w:rsidRPr="003A3374">
        <w:t xml:space="preserve">indeed </w:t>
      </w:r>
      <w:r w:rsidR="009B1BE5" w:rsidRPr="003A3374">
        <w:t>the same as on Aldi’s website</w:t>
      </w:r>
      <w:r w:rsidR="007D5481" w:rsidRPr="003A3374">
        <w:t xml:space="preserve"> (</w:t>
      </w:r>
      <w:r w:rsidR="0023204E" w:rsidRPr="003A3374">
        <w:t>Fig </w:t>
      </w:r>
      <w:r w:rsidR="0023204E" w:rsidRPr="003A3374">
        <w:fldChar w:fldCharType="begin"/>
      </w:r>
      <w:r w:rsidR="0023204E" w:rsidRPr="003A3374">
        <w:instrText xml:space="preserve"> REF LINK_067772 \h </w:instrText>
      </w:r>
      <w:r w:rsidR="0023204E" w:rsidRPr="003A3374">
        <w:fldChar w:fldCharType="separate"/>
      </w:r>
      <w:r w:rsidR="006A4635" w:rsidRPr="003A3374">
        <w:rPr>
          <w:noProof/>
        </w:rPr>
        <w:t>23</w:t>
      </w:r>
      <w:r w:rsidR="0023204E" w:rsidRPr="003A3374">
        <w:fldChar w:fldCharType="end"/>
      </w:r>
      <w:r w:rsidR="007D5481" w:rsidRPr="003A3374">
        <w:t>)</w:t>
      </w:r>
      <w:r w:rsidR="009B1BE5" w:rsidRPr="003A3374">
        <w:t xml:space="preserve">. </w:t>
      </w:r>
    </w:p>
    <w:tbl>
      <w:tblPr>
        <w:tblStyle w:val="TableGrid"/>
        <w:tblW w:w="9637" w:type="dxa"/>
        <w:tblLayout w:type="fixed"/>
        <w:tblCellMar>
          <w:left w:w="0" w:type="dxa"/>
          <w:right w:w="0" w:type="dxa"/>
        </w:tblCellMar>
        <w:tblLook w:val="04A0" w:firstRow="1" w:lastRow="0" w:firstColumn="1" w:lastColumn="0" w:noHBand="0" w:noVBand="1"/>
      </w:tblPr>
      <w:tblGrid>
        <w:gridCol w:w="4705"/>
        <w:gridCol w:w="227"/>
        <w:gridCol w:w="4705"/>
      </w:tblGrid>
      <w:tr w:rsidR="00E45268" w:rsidRPr="003A3374" w14:paraId="42FFD35C" w14:textId="77777777" w:rsidTr="006D2966">
        <w:trPr>
          <w:cantSplit/>
          <w:tblHeader/>
        </w:trPr>
        <w:tc>
          <w:tcPr>
            <w:tcW w:w="4705" w:type="dxa"/>
            <w:tcBorders>
              <w:bottom w:val="single" w:sz="8" w:space="0" w:color="000000" w:themeColor="text1"/>
            </w:tcBorders>
            <w:vAlign w:val="bottom"/>
          </w:tcPr>
          <w:p w14:paraId="0EE2E796" w14:textId="6452106D" w:rsidR="00E45268" w:rsidRPr="003A3374" w:rsidRDefault="00E45268" w:rsidP="006D2966">
            <w:pPr>
              <w:pStyle w:val="TableTitle"/>
            </w:pPr>
            <w:r w:rsidRPr="003A3374">
              <w:lastRenderedPageBreak/>
              <w:t xml:space="preserve">Fig </w:t>
            </w:r>
            <w:bookmarkStart w:id="47" w:name="LINK_050145"/>
            <w:r w:rsidRPr="003A3374">
              <w:fldChar w:fldCharType="begin"/>
            </w:r>
            <w:r w:rsidRPr="003A3374">
              <w:instrText xml:space="preserve"> SEQ Fig </w:instrText>
            </w:r>
            <w:r w:rsidRPr="003A3374">
              <w:fldChar w:fldCharType="separate"/>
            </w:r>
            <w:r w:rsidR="006A4635" w:rsidRPr="003A3374">
              <w:rPr>
                <w:noProof/>
              </w:rPr>
              <w:t>22</w:t>
            </w:r>
            <w:r w:rsidRPr="003A3374">
              <w:fldChar w:fldCharType="end"/>
            </w:r>
            <w:bookmarkEnd w:id="47"/>
            <w:r w:rsidRPr="003A3374">
              <w:t xml:space="preserve">: </w:t>
            </w:r>
            <w:r w:rsidR="000C52CC" w:rsidRPr="003A3374">
              <w:t>Flashbacks to Fanta’s past</w:t>
            </w:r>
            <w:r w:rsidR="009A0C5C" w:rsidRPr="003A3374">
              <w:t xml:space="preserve"> branding</w:t>
            </w:r>
          </w:p>
        </w:tc>
        <w:tc>
          <w:tcPr>
            <w:tcW w:w="227" w:type="dxa"/>
            <w:vAlign w:val="bottom"/>
          </w:tcPr>
          <w:p w14:paraId="31DB1D3D" w14:textId="77777777" w:rsidR="00E45268" w:rsidRPr="003A3374" w:rsidRDefault="00E45268" w:rsidP="006D2966">
            <w:pPr>
              <w:pStyle w:val="Normal0"/>
            </w:pPr>
          </w:p>
        </w:tc>
        <w:tc>
          <w:tcPr>
            <w:tcW w:w="4705" w:type="dxa"/>
            <w:tcBorders>
              <w:bottom w:val="single" w:sz="8" w:space="0" w:color="000000" w:themeColor="text1"/>
            </w:tcBorders>
            <w:vAlign w:val="bottom"/>
          </w:tcPr>
          <w:p w14:paraId="3DFD8C65" w14:textId="5D18DED1" w:rsidR="00E45268" w:rsidRPr="003A3374" w:rsidRDefault="00E45268" w:rsidP="006D2966">
            <w:pPr>
              <w:pStyle w:val="TableTitle"/>
            </w:pPr>
            <w:r w:rsidRPr="003A3374">
              <w:t xml:space="preserve">Fig </w:t>
            </w:r>
            <w:bookmarkStart w:id="48" w:name="LINK_067772"/>
            <w:r w:rsidRPr="003A3374">
              <w:fldChar w:fldCharType="begin"/>
            </w:r>
            <w:r w:rsidRPr="003A3374">
              <w:instrText xml:space="preserve"> SEQ Fig </w:instrText>
            </w:r>
            <w:r w:rsidRPr="003A3374">
              <w:fldChar w:fldCharType="separate"/>
            </w:r>
            <w:r w:rsidR="006A4635" w:rsidRPr="003A3374">
              <w:rPr>
                <w:noProof/>
              </w:rPr>
              <w:t>23</w:t>
            </w:r>
            <w:r w:rsidRPr="003A3374">
              <w:fldChar w:fldCharType="end"/>
            </w:r>
            <w:bookmarkEnd w:id="48"/>
            <w:r w:rsidRPr="003A3374">
              <w:t xml:space="preserve">: </w:t>
            </w:r>
            <w:r w:rsidR="0023204E" w:rsidRPr="003A3374">
              <w:t>Limited by the Aldi Price Match</w:t>
            </w:r>
          </w:p>
        </w:tc>
      </w:tr>
      <w:tr w:rsidR="00E45268" w:rsidRPr="003A3374" w14:paraId="0EF8C146" w14:textId="77777777" w:rsidTr="006D2966">
        <w:trPr>
          <w:cantSplit/>
        </w:trPr>
        <w:tc>
          <w:tcPr>
            <w:tcW w:w="4705" w:type="dxa"/>
            <w:tcBorders>
              <w:top w:val="single" w:sz="8" w:space="0" w:color="000000" w:themeColor="text1"/>
              <w:bottom w:val="single" w:sz="8" w:space="0" w:color="000000" w:themeColor="text1"/>
            </w:tcBorders>
          </w:tcPr>
          <w:p w14:paraId="6B5C5400" w14:textId="0BD33F2F" w:rsidR="00E45268" w:rsidRPr="003A3374" w:rsidRDefault="00EC2D62" w:rsidP="006D2966">
            <w:pPr>
              <w:pStyle w:val="Tableplaceholder"/>
            </w:pPr>
            <w:r w:rsidRPr="003A3374">
              <w:rPr>
                <w:noProof/>
              </w:rPr>
              <w:drawing>
                <wp:inline distT="0" distB="0" distL="0" distR="0" wp14:anchorId="422BA8F8" wp14:editId="1D66F43F">
                  <wp:extent cx="2725779" cy="1800000"/>
                  <wp:effectExtent l="0" t="0" r="0" b="0"/>
                  <wp:docPr id="156929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96816" name=""/>
                          <pic:cNvPicPr/>
                        </pic:nvPicPr>
                        <pic:blipFill>
                          <a:blip r:embed="rId48"/>
                          <a:stretch>
                            <a:fillRect/>
                          </a:stretch>
                        </pic:blipFill>
                        <pic:spPr>
                          <a:xfrm>
                            <a:off x="0" y="0"/>
                            <a:ext cx="2725779" cy="1800000"/>
                          </a:xfrm>
                          <a:prstGeom prst="rect">
                            <a:avLst/>
                          </a:prstGeom>
                        </pic:spPr>
                      </pic:pic>
                    </a:graphicData>
                  </a:graphic>
                </wp:inline>
              </w:drawing>
            </w:r>
          </w:p>
        </w:tc>
        <w:tc>
          <w:tcPr>
            <w:tcW w:w="227" w:type="dxa"/>
          </w:tcPr>
          <w:p w14:paraId="500F6D33" w14:textId="77777777" w:rsidR="00E45268" w:rsidRPr="003A3374" w:rsidRDefault="00E45268" w:rsidP="006D2966">
            <w:pPr>
              <w:pStyle w:val="Normal0"/>
            </w:pPr>
          </w:p>
        </w:tc>
        <w:tc>
          <w:tcPr>
            <w:tcW w:w="4705" w:type="dxa"/>
            <w:tcBorders>
              <w:top w:val="single" w:sz="8" w:space="0" w:color="000000" w:themeColor="text1"/>
              <w:bottom w:val="single" w:sz="8" w:space="0" w:color="000000" w:themeColor="text1"/>
            </w:tcBorders>
          </w:tcPr>
          <w:p w14:paraId="7ADD1843" w14:textId="69B45F6A" w:rsidR="00E45268" w:rsidRPr="003A3374" w:rsidRDefault="00EB6B55" w:rsidP="006D2966">
            <w:pPr>
              <w:pStyle w:val="Tableplaceholder"/>
            </w:pPr>
            <w:r w:rsidRPr="003A3374">
              <w:rPr>
                <w:noProof/>
              </w:rPr>
              <w:drawing>
                <wp:inline distT="0" distB="0" distL="0" distR="0" wp14:anchorId="47BD48DD" wp14:editId="0C781BBC">
                  <wp:extent cx="2028516" cy="1800000"/>
                  <wp:effectExtent l="0" t="0" r="0" b="0"/>
                  <wp:docPr id="88793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30186" name=""/>
                          <pic:cNvPicPr/>
                        </pic:nvPicPr>
                        <pic:blipFill rotWithShape="1">
                          <a:blip r:embed="rId49"/>
                          <a:srcRect t="2743" r="1984" b="2555"/>
                          <a:stretch>
                            <a:fillRect/>
                          </a:stretch>
                        </pic:blipFill>
                        <pic:spPr bwMode="auto">
                          <a:xfrm>
                            <a:off x="0" y="0"/>
                            <a:ext cx="2028516" cy="1800000"/>
                          </a:xfrm>
                          <a:prstGeom prst="rect">
                            <a:avLst/>
                          </a:prstGeom>
                          <a:ln>
                            <a:noFill/>
                          </a:ln>
                          <a:extLst>
                            <a:ext uri="{53640926-AAD7-44D8-BBD7-CCE9431645EC}">
                              <a14:shadowObscured xmlns:a14="http://schemas.microsoft.com/office/drawing/2010/main"/>
                            </a:ext>
                          </a:extLst>
                        </pic:spPr>
                      </pic:pic>
                    </a:graphicData>
                  </a:graphic>
                </wp:inline>
              </w:drawing>
            </w:r>
          </w:p>
        </w:tc>
      </w:tr>
      <w:tr w:rsidR="00E45268" w:rsidRPr="003A3374" w14:paraId="2481220E" w14:textId="77777777" w:rsidTr="006D2966">
        <w:trPr>
          <w:cantSplit/>
        </w:trPr>
        <w:tc>
          <w:tcPr>
            <w:tcW w:w="4705" w:type="dxa"/>
            <w:tcBorders>
              <w:top w:val="single" w:sz="8" w:space="0" w:color="000000" w:themeColor="text1"/>
            </w:tcBorders>
          </w:tcPr>
          <w:p w14:paraId="781B4283" w14:textId="5059B00B" w:rsidR="00E45268" w:rsidRPr="003A3374" w:rsidRDefault="00E45268" w:rsidP="006D2966">
            <w:pPr>
              <w:pStyle w:val="TableSource"/>
            </w:pPr>
            <w:r w:rsidRPr="003A3374">
              <w:t xml:space="preserve">Source: </w:t>
            </w:r>
            <w:r w:rsidR="00EB6B55" w:rsidRPr="003A3374">
              <w:t>Rothschild &amp; Co Redburn</w:t>
            </w:r>
          </w:p>
        </w:tc>
        <w:tc>
          <w:tcPr>
            <w:tcW w:w="227" w:type="dxa"/>
          </w:tcPr>
          <w:p w14:paraId="48D3A29C" w14:textId="77777777" w:rsidR="00E45268" w:rsidRPr="003A3374" w:rsidRDefault="00E45268" w:rsidP="006D2966">
            <w:pPr>
              <w:pStyle w:val="Normal0"/>
            </w:pPr>
          </w:p>
        </w:tc>
        <w:tc>
          <w:tcPr>
            <w:tcW w:w="4705" w:type="dxa"/>
            <w:tcBorders>
              <w:top w:val="single" w:sz="8" w:space="0" w:color="000000" w:themeColor="text1"/>
            </w:tcBorders>
          </w:tcPr>
          <w:p w14:paraId="7A1220CC" w14:textId="3BDF8B7D" w:rsidR="00E45268" w:rsidRPr="003A3374" w:rsidRDefault="00E45268" w:rsidP="006D2966">
            <w:pPr>
              <w:pStyle w:val="TableSource"/>
            </w:pPr>
            <w:r w:rsidRPr="003A3374">
              <w:t xml:space="preserve">Source: </w:t>
            </w:r>
            <w:r w:rsidR="00EB6B55" w:rsidRPr="003A3374">
              <w:t>Tesco.co.uk</w:t>
            </w:r>
          </w:p>
        </w:tc>
      </w:tr>
    </w:tbl>
    <w:p w14:paraId="3E1FBCAB" w14:textId="33422B16" w:rsidR="00D77DCE" w:rsidRPr="003A3374" w:rsidRDefault="00F83A69" w:rsidP="00F83A69">
      <w:pPr>
        <w:pStyle w:val="BodyText"/>
      </w:pPr>
      <w:r w:rsidRPr="003A3374">
        <w:t xml:space="preserve">These price match guarantees are usually funded by both the retailer and CCGB, lessening the hit to CCGB’s price/mix growth. </w:t>
      </w:r>
      <w:r w:rsidR="003632AF" w:rsidRPr="003A3374">
        <w:t>T</w:t>
      </w:r>
      <w:r w:rsidR="00BD2EFF" w:rsidRPr="003A3374">
        <w:t>he issue is that p</w:t>
      </w:r>
      <w:r w:rsidR="00D77DCE" w:rsidRPr="003A3374">
        <w:t xml:space="preserve">rice matching could limit </w:t>
      </w:r>
      <w:r w:rsidR="00CE2789" w:rsidRPr="003A3374">
        <w:t>CCGB’s</w:t>
      </w:r>
      <w:r w:rsidR="00D77DCE" w:rsidRPr="003A3374">
        <w:t xml:space="preserve"> pricing power with the UK’s largest grocers</w:t>
      </w:r>
      <w:r w:rsidR="00B64276" w:rsidRPr="003A3374">
        <w:t>. Moreover, as the discounters continue to win market share</w:t>
      </w:r>
      <w:r w:rsidR="00BD2EFF" w:rsidRPr="003A3374">
        <w:t xml:space="preserve"> (and therefore consumer footfall)</w:t>
      </w:r>
      <w:r w:rsidR="00B64276" w:rsidRPr="003A3374">
        <w:t xml:space="preserve"> there is a risk that consumers</w:t>
      </w:r>
      <w:r w:rsidR="00BD2EFF" w:rsidRPr="003A3374">
        <w:t xml:space="preserve"> could switch to</w:t>
      </w:r>
      <w:r w:rsidR="00B64276" w:rsidRPr="003A3374">
        <w:t xml:space="preserve"> their cheaper </w:t>
      </w:r>
      <w:r w:rsidR="00B20A79" w:rsidRPr="003A3374">
        <w:t>private</w:t>
      </w:r>
      <w:r w:rsidR="00B64276" w:rsidRPr="003A3374">
        <w:t xml:space="preserve"> label products.</w:t>
      </w:r>
    </w:p>
    <w:p w14:paraId="02ECBEA0" w14:textId="17171F35" w:rsidR="00E237DB" w:rsidRPr="003A3374" w:rsidRDefault="00FE65E7" w:rsidP="00F952D1">
      <w:pPr>
        <w:pStyle w:val="BodyText"/>
      </w:pPr>
      <w:r w:rsidRPr="003A3374">
        <w:t>Comparing</w:t>
      </w:r>
      <w:r w:rsidR="00915602" w:rsidRPr="003A3374">
        <w:t xml:space="preserve"> the price points at Tesco and Sainsbury to the two</w:t>
      </w:r>
      <w:r w:rsidR="0062219E" w:rsidRPr="003A3374">
        <w:t xml:space="preserve"> German</w:t>
      </w:r>
      <w:r w:rsidR="00915602" w:rsidRPr="003A3374">
        <w:t xml:space="preserve"> discounters across larger multi-pack formats</w:t>
      </w:r>
      <w:r w:rsidRPr="003A3374">
        <w:t xml:space="preserve"> illustrates this point</w:t>
      </w:r>
      <w:r w:rsidR="00915602" w:rsidRPr="003A3374">
        <w:t xml:space="preserve"> </w:t>
      </w:r>
      <w:r w:rsidR="00C10533" w:rsidRPr="003A3374">
        <w:t>(</w:t>
      </w:r>
      <w:r w:rsidR="00915602" w:rsidRPr="003A3374">
        <w:t>for comparability reasons</w:t>
      </w:r>
      <w:r w:rsidR="00C10533" w:rsidRPr="003A3374">
        <w:t xml:space="preserve">, </w:t>
      </w:r>
      <w:r w:rsidR="00915602" w:rsidRPr="003A3374">
        <w:t>the discounters do not offer many single-serve formats) (</w:t>
      </w:r>
      <w:r w:rsidR="00331852" w:rsidRPr="003A3374">
        <w:t>Fig </w:t>
      </w:r>
      <w:r w:rsidR="00331852" w:rsidRPr="003A3374">
        <w:fldChar w:fldCharType="begin"/>
      </w:r>
      <w:r w:rsidR="00331852" w:rsidRPr="003A3374">
        <w:instrText xml:space="preserve"> REF LINK_067104 \h </w:instrText>
      </w:r>
      <w:r w:rsidR="00331852" w:rsidRPr="003A3374">
        <w:fldChar w:fldCharType="separate"/>
      </w:r>
      <w:r w:rsidR="006A4635" w:rsidRPr="003A3374">
        <w:rPr>
          <w:noProof/>
        </w:rPr>
        <w:t>24</w:t>
      </w:r>
      <w:r w:rsidR="00331852" w:rsidRPr="003A3374">
        <w:fldChar w:fldCharType="end"/>
      </w:r>
      <w:r w:rsidR="00915602" w:rsidRPr="003A3374">
        <w:t xml:space="preserve">). </w:t>
      </w:r>
      <w:r w:rsidR="00187DD4" w:rsidRPr="003A3374">
        <w:t xml:space="preserve">As discussed, Tesco has matched Aldi’s price point for the </w:t>
      </w:r>
      <w:r w:rsidR="00607C92" w:rsidRPr="003A3374">
        <w:t>1.75</w:t>
      </w:r>
      <w:r w:rsidR="00FF0B0B" w:rsidRPr="003A3374">
        <w:t xml:space="preserve"> </w:t>
      </w:r>
      <w:r w:rsidR="00607C92" w:rsidRPr="003A3374">
        <w:t>litre PET bottle</w:t>
      </w:r>
      <w:r w:rsidR="00187DD4" w:rsidRPr="003A3374">
        <w:t xml:space="preserve"> format</w:t>
      </w:r>
      <w:r w:rsidR="00E73419" w:rsidRPr="003A3374">
        <w:t xml:space="preserve"> of Coca-Cola Classic</w:t>
      </w:r>
      <w:r w:rsidR="00187DD4" w:rsidRPr="003A3374">
        <w:t xml:space="preserve">, which equates to just </w:t>
      </w:r>
      <w:r w:rsidR="006D0E14" w:rsidRPr="003A3374">
        <w:t>15</w:t>
      </w:r>
      <w:r w:rsidR="00187DD4" w:rsidRPr="003A3374">
        <w:t xml:space="preserve"> pence per </w:t>
      </w:r>
      <w:r w:rsidR="005A2DDA" w:rsidRPr="003A3374">
        <w:t>100ml</w:t>
      </w:r>
      <w:r w:rsidR="00187DD4" w:rsidRPr="003A3374">
        <w:t xml:space="preserve"> of product.</w:t>
      </w:r>
    </w:p>
    <w:p w14:paraId="661C6ED3" w14:textId="23485030" w:rsidR="001A5350" w:rsidRPr="003A3374" w:rsidRDefault="00187DD4" w:rsidP="005A2DDA">
      <w:pPr>
        <w:pStyle w:val="BodyText"/>
      </w:pPr>
      <w:r w:rsidRPr="003A3374">
        <w:t xml:space="preserve">If we look at the private label offerings </w:t>
      </w:r>
      <w:r w:rsidR="003B0D43" w:rsidRPr="003A3374">
        <w:t>of</w:t>
      </w:r>
      <w:r w:rsidRPr="003A3374">
        <w:t xml:space="preserve"> each grocer, Tesco and Sainsbury colas </w:t>
      </w:r>
      <w:r w:rsidR="005A2DDA" w:rsidRPr="003A3374">
        <w:t xml:space="preserve">in the comparable </w:t>
      </w:r>
      <w:r w:rsidR="000A1881" w:rsidRPr="003A3374">
        <w:t>two</w:t>
      </w:r>
      <w:r w:rsidR="005A2DDA" w:rsidRPr="003A3374">
        <w:t xml:space="preserve">-litre PET bottle format </w:t>
      </w:r>
      <w:r w:rsidRPr="003A3374">
        <w:t xml:space="preserve">are just </w:t>
      </w:r>
      <w:r w:rsidR="00336FFB" w:rsidRPr="003A3374">
        <w:t>4</w:t>
      </w:r>
      <w:r w:rsidRPr="003A3374">
        <w:t xml:space="preserve"> pence per </w:t>
      </w:r>
      <w:r w:rsidR="005A2DDA" w:rsidRPr="003A3374">
        <w:t xml:space="preserve">100ml </w:t>
      </w:r>
      <w:r w:rsidRPr="003A3374">
        <w:t>(c</w:t>
      </w:r>
      <w:r w:rsidR="00F5592B" w:rsidRPr="003A3374">
        <w:t>75</w:t>
      </w:r>
      <w:r w:rsidRPr="003A3374">
        <w:t xml:space="preserve">% discount to Coca-Cola Classic) while Aldi and Lidl colas are just 2 pence per </w:t>
      </w:r>
      <w:r w:rsidR="005A2DDA" w:rsidRPr="003A3374">
        <w:t xml:space="preserve">100ml </w:t>
      </w:r>
      <w:r w:rsidRPr="003A3374">
        <w:t>(c</w:t>
      </w:r>
      <w:r w:rsidR="00F5592B" w:rsidRPr="003A3374">
        <w:t>8</w:t>
      </w:r>
      <w:r w:rsidRPr="003A3374">
        <w:t>5% discount).</w:t>
      </w:r>
      <w:r w:rsidR="008A54B2" w:rsidRPr="003A3374">
        <w:t xml:space="preserve"> </w:t>
      </w:r>
      <w:r w:rsidR="005B0686" w:rsidRPr="003A3374">
        <w:t xml:space="preserve">We would conjecture that most consumers would switch back to Coca-Cola Classic after tasting these private label offerings, which </w:t>
      </w:r>
      <w:r w:rsidR="003B0D43" w:rsidRPr="003A3374">
        <w:t>CCGB</w:t>
      </w:r>
      <w:r w:rsidR="005B0686" w:rsidRPr="003A3374">
        <w:t xml:space="preserve"> </w:t>
      </w:r>
      <w:r w:rsidR="00883609" w:rsidRPr="003A3374">
        <w:t>can capitalise on by</w:t>
      </w:r>
      <w:r w:rsidR="009C10CB" w:rsidRPr="003A3374">
        <w:t xml:space="preserve"> </w:t>
      </w:r>
      <w:r w:rsidR="00883609" w:rsidRPr="003A3374">
        <w:t xml:space="preserve">expanding distribution of smaller </w:t>
      </w:r>
      <w:r w:rsidR="005B0686" w:rsidRPr="003A3374">
        <w:t>single-serve formats</w:t>
      </w:r>
      <w:r w:rsidR="00883609" w:rsidRPr="003A3374">
        <w:t xml:space="preserve"> </w:t>
      </w:r>
      <w:r w:rsidR="009C10CB" w:rsidRPr="003A3374">
        <w:t>that have</w:t>
      </w:r>
      <w:r w:rsidR="00883609" w:rsidRPr="003A3374">
        <w:t xml:space="preserve"> a low absolute price point</w:t>
      </w:r>
      <w:r w:rsidR="005B0686" w:rsidRPr="003A3374">
        <w:t xml:space="preserve">, like the 150ml </w:t>
      </w:r>
      <w:r w:rsidR="005E7292" w:rsidRPr="003A3374">
        <w:t xml:space="preserve">‘mini </w:t>
      </w:r>
      <w:r w:rsidR="005B0686" w:rsidRPr="003A3374">
        <w:t>cans</w:t>
      </w:r>
      <w:r w:rsidR="005E7292" w:rsidRPr="003A3374">
        <w:t>’</w:t>
      </w:r>
      <w:r w:rsidR="005B0686" w:rsidRPr="003A3374">
        <w:t xml:space="preserve"> that retail for £0.60-0.75</w:t>
      </w:r>
      <w:r w:rsidR="001B705D" w:rsidRPr="003A3374">
        <w:t xml:space="preserve"> each</w:t>
      </w:r>
      <w:r w:rsidR="005B0686" w:rsidRPr="003A3374">
        <w:t xml:space="preserve"> and are usually on </w:t>
      </w:r>
      <w:r w:rsidR="009C10CB" w:rsidRPr="003A3374">
        <w:t>offer at</w:t>
      </w:r>
      <w:r w:rsidR="005B0686" w:rsidRPr="003A3374">
        <w:t xml:space="preserve"> five</w:t>
      </w:r>
      <w:r w:rsidR="002805EB" w:rsidRPr="003A3374">
        <w:t xml:space="preserve"> cans</w:t>
      </w:r>
      <w:r w:rsidR="005B0686" w:rsidRPr="003A3374">
        <w:t xml:space="preserve"> for £2.50.</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FF6594" w:rsidRPr="003A3374" w14:paraId="7B909E06" w14:textId="77777777" w:rsidTr="00811298">
        <w:trPr>
          <w:cantSplit/>
          <w:tblHeader/>
        </w:trPr>
        <w:tc>
          <w:tcPr>
            <w:tcW w:w="7654" w:type="dxa"/>
            <w:tcBorders>
              <w:bottom w:val="single" w:sz="8" w:space="0" w:color="000000" w:themeColor="text1"/>
            </w:tcBorders>
            <w:vAlign w:val="bottom"/>
          </w:tcPr>
          <w:p w14:paraId="68AE2364" w14:textId="29126DBE" w:rsidR="00FF6594" w:rsidRPr="003A3374" w:rsidRDefault="00811298" w:rsidP="00811298">
            <w:pPr>
              <w:pStyle w:val="TableTitle"/>
            </w:pPr>
            <w:bookmarkStart w:id="49" w:name="PH_1_4_1_016466"/>
            <w:r w:rsidRPr="003A3374">
              <w:t xml:space="preserve">Fig </w:t>
            </w:r>
            <w:bookmarkStart w:id="50" w:name="LINK_067104"/>
            <w:r w:rsidRPr="003A3374">
              <w:fldChar w:fldCharType="begin"/>
            </w:r>
            <w:r w:rsidRPr="003A3374">
              <w:instrText xml:space="preserve"> SEQ Fig </w:instrText>
            </w:r>
            <w:r w:rsidRPr="003A3374">
              <w:fldChar w:fldCharType="separate"/>
            </w:r>
            <w:r w:rsidR="006A4635" w:rsidRPr="003A3374">
              <w:rPr>
                <w:noProof/>
              </w:rPr>
              <w:t>24</w:t>
            </w:r>
            <w:r w:rsidRPr="003A3374">
              <w:fldChar w:fldCharType="end"/>
            </w:r>
            <w:bookmarkEnd w:id="50"/>
            <w:r w:rsidRPr="003A3374">
              <w:t xml:space="preserve">: </w:t>
            </w:r>
            <w:r w:rsidR="00F01554" w:rsidRPr="003A3374">
              <w:t>The vast price gap between branded products and private label</w:t>
            </w:r>
          </w:p>
        </w:tc>
      </w:tr>
      <w:tr w:rsidR="00FF6594" w:rsidRPr="003A3374" w14:paraId="2884341D" w14:textId="77777777" w:rsidTr="00811298">
        <w:trPr>
          <w:cantSplit/>
        </w:trPr>
        <w:tc>
          <w:tcPr>
            <w:tcW w:w="7654" w:type="dxa"/>
            <w:tcBorders>
              <w:top w:val="single" w:sz="8" w:space="0" w:color="000000" w:themeColor="text1"/>
              <w:bottom w:val="single" w:sz="8" w:space="0" w:color="000000" w:themeColor="text1"/>
            </w:tcBorders>
          </w:tcPr>
          <w:tbl>
            <w:tblPr>
              <w:tblStyle w:val="Dataholder"/>
              <w:tblW w:w="0" w:type="auto"/>
              <w:tblLayout w:type="fixed"/>
              <w:tblLook w:val="06A0" w:firstRow="1" w:lastRow="0" w:firstColumn="1" w:lastColumn="0" w:noHBand="1" w:noVBand="1"/>
            </w:tblPr>
            <w:tblGrid>
              <w:gridCol w:w="1169"/>
              <w:gridCol w:w="2023"/>
              <w:gridCol w:w="1855"/>
              <w:gridCol w:w="514"/>
              <w:gridCol w:w="647"/>
              <w:gridCol w:w="1445"/>
            </w:tblGrid>
            <w:tr w:rsidR="00811298" w:rsidRPr="003A3374" w14:paraId="170E6FD5" w14:textId="77777777" w:rsidTr="008112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Borders>
                    <w:bottom w:val="single" w:sz="8" w:space="0" w:color="000000" w:themeColor="text1"/>
                  </w:tcBorders>
                  <w:vAlign w:val="bottom"/>
                </w:tcPr>
                <w:p w14:paraId="20D9F6B7" w14:textId="77777777" w:rsidR="00811298" w:rsidRPr="003A3374" w:rsidRDefault="00811298" w:rsidP="00811298">
                  <w:pPr>
                    <w:pStyle w:val="TableText0"/>
                  </w:pPr>
                  <w:r w:rsidRPr="003A3374">
                    <w:t>Grocer</w:t>
                  </w:r>
                </w:p>
              </w:tc>
              <w:tc>
                <w:tcPr>
                  <w:tcW w:w="2023" w:type="dxa"/>
                  <w:tcBorders>
                    <w:bottom w:val="single" w:sz="8" w:space="0" w:color="000000" w:themeColor="text1"/>
                  </w:tcBorders>
                  <w:vAlign w:val="bottom"/>
                </w:tcPr>
                <w:p w14:paraId="64DA9CF9" w14:textId="77777777" w:rsidR="00811298" w:rsidRPr="003A3374" w:rsidRDefault="00811298" w:rsidP="00811298">
                  <w:pPr>
                    <w:pStyle w:val="TableText0"/>
                    <w:cnfStyle w:val="100000000000" w:firstRow="1" w:lastRow="0" w:firstColumn="0" w:lastColumn="0" w:oddVBand="0" w:evenVBand="0" w:oddHBand="0" w:evenHBand="0" w:firstRowFirstColumn="0" w:firstRowLastColumn="0" w:lastRowFirstColumn="0" w:lastRowLastColumn="0"/>
                  </w:pPr>
                  <w:r w:rsidRPr="003A3374">
                    <w:t>Brand</w:t>
                  </w:r>
                </w:p>
              </w:tc>
              <w:tc>
                <w:tcPr>
                  <w:tcW w:w="1855" w:type="dxa"/>
                  <w:tcBorders>
                    <w:bottom w:val="single" w:sz="8" w:space="0" w:color="000000" w:themeColor="text1"/>
                  </w:tcBorders>
                  <w:vAlign w:val="bottom"/>
                </w:tcPr>
                <w:p w14:paraId="31C4FC23" w14:textId="77777777" w:rsidR="00811298" w:rsidRPr="003A3374" w:rsidRDefault="00811298" w:rsidP="00811298">
                  <w:pPr>
                    <w:pStyle w:val="TableText0"/>
                    <w:cnfStyle w:val="100000000000" w:firstRow="1" w:lastRow="0" w:firstColumn="0" w:lastColumn="0" w:oddVBand="0" w:evenVBand="0" w:oddHBand="0" w:evenHBand="0" w:firstRowFirstColumn="0" w:firstRowLastColumn="0" w:lastRowFirstColumn="0" w:lastRowLastColumn="0"/>
                  </w:pPr>
                  <w:r w:rsidRPr="003A3374">
                    <w:t>Format</w:t>
                  </w:r>
                </w:p>
              </w:tc>
              <w:tc>
                <w:tcPr>
                  <w:tcW w:w="514" w:type="dxa"/>
                  <w:tcBorders>
                    <w:bottom w:val="single" w:sz="8" w:space="0" w:color="000000" w:themeColor="text1"/>
                  </w:tcBorders>
                  <w:vAlign w:val="bottom"/>
                </w:tcPr>
                <w:p w14:paraId="6D0991F8" w14:textId="77777777" w:rsidR="00811298" w:rsidRPr="003A3374" w:rsidRDefault="00811298" w:rsidP="00811298">
                  <w:pPr>
                    <w:pStyle w:val="TableText0"/>
                    <w:cnfStyle w:val="100000000000" w:firstRow="1" w:lastRow="0" w:firstColumn="0" w:lastColumn="0" w:oddVBand="0" w:evenVBand="0" w:oddHBand="0" w:evenHBand="0" w:firstRowFirstColumn="0" w:firstRowLastColumn="0" w:lastRowFirstColumn="0" w:lastRowLastColumn="0"/>
                  </w:pPr>
                  <w:r w:rsidRPr="003A3374">
                    <w:t>£</w:t>
                  </w:r>
                </w:p>
              </w:tc>
              <w:tc>
                <w:tcPr>
                  <w:tcW w:w="647" w:type="dxa"/>
                  <w:tcBorders>
                    <w:bottom w:val="single" w:sz="8" w:space="0" w:color="000000" w:themeColor="text1"/>
                  </w:tcBorders>
                  <w:vAlign w:val="bottom"/>
                </w:tcPr>
                <w:p w14:paraId="2331CD55" w14:textId="77777777" w:rsidR="00811298" w:rsidRPr="003A3374" w:rsidRDefault="00811298" w:rsidP="00811298">
                  <w:pPr>
                    <w:pStyle w:val="TableText0"/>
                    <w:cnfStyle w:val="100000000000" w:firstRow="1" w:lastRow="0" w:firstColumn="0" w:lastColumn="0" w:oddVBand="0" w:evenVBand="0" w:oddHBand="0" w:evenHBand="0" w:firstRowFirstColumn="0" w:firstRowLastColumn="0" w:lastRowFirstColumn="0" w:lastRowLastColumn="0"/>
                  </w:pPr>
                  <w:r w:rsidRPr="003A3374">
                    <w:t>ml</w:t>
                  </w:r>
                </w:p>
              </w:tc>
              <w:tc>
                <w:tcPr>
                  <w:tcW w:w="1445" w:type="dxa"/>
                  <w:tcBorders>
                    <w:bottom w:val="single" w:sz="8" w:space="0" w:color="000000" w:themeColor="text1"/>
                  </w:tcBorders>
                  <w:vAlign w:val="bottom"/>
                </w:tcPr>
                <w:p w14:paraId="489F01A2" w14:textId="77777777" w:rsidR="00811298" w:rsidRPr="003A3374" w:rsidRDefault="00811298" w:rsidP="00811298">
                  <w:pPr>
                    <w:pStyle w:val="TableText0"/>
                    <w:cnfStyle w:val="100000000000" w:firstRow="1" w:lastRow="0" w:firstColumn="0" w:lastColumn="0" w:oddVBand="0" w:evenVBand="0" w:oddHBand="0" w:evenHBand="0" w:firstRowFirstColumn="0" w:firstRowLastColumn="0" w:lastRowFirstColumn="0" w:lastRowLastColumn="0"/>
                  </w:pPr>
                  <w:r w:rsidRPr="003A3374">
                    <w:t>p per 100ml</w:t>
                  </w:r>
                </w:p>
              </w:tc>
            </w:tr>
            <w:tr w:rsidR="00811298" w:rsidRPr="003A3374" w14:paraId="2A162527" w14:textId="77777777" w:rsidTr="00F01554">
              <w:tc>
                <w:tcPr>
                  <w:cnfStyle w:val="001000000000" w:firstRow="0" w:lastRow="0" w:firstColumn="1" w:lastColumn="0" w:oddVBand="0" w:evenVBand="0" w:oddHBand="0" w:evenHBand="0" w:firstRowFirstColumn="0" w:firstRowLastColumn="0" w:lastRowFirstColumn="0" w:lastRowLastColumn="0"/>
                  <w:tcW w:w="3192" w:type="dxa"/>
                  <w:gridSpan w:val="2"/>
                  <w:tcBorders>
                    <w:top w:val="single" w:sz="8" w:space="0" w:color="000000" w:themeColor="text1"/>
                  </w:tcBorders>
                  <w:shd w:val="clear" w:color="auto" w:fill="EBD9BA"/>
                </w:tcPr>
                <w:p w14:paraId="1FE4F8E6" w14:textId="77777777" w:rsidR="00811298" w:rsidRPr="003A3374" w:rsidRDefault="00811298" w:rsidP="00811298">
                  <w:pPr>
                    <w:pStyle w:val="TableText0"/>
                    <w:rPr>
                      <w:b/>
                      <w:bCs/>
                    </w:rPr>
                  </w:pPr>
                  <w:r w:rsidRPr="003A3374">
                    <w:rPr>
                      <w:b/>
                      <w:bCs/>
                    </w:rPr>
                    <w:t>Branded</w:t>
                  </w:r>
                </w:p>
              </w:tc>
              <w:tc>
                <w:tcPr>
                  <w:tcW w:w="1855" w:type="dxa"/>
                  <w:tcBorders>
                    <w:top w:val="single" w:sz="8" w:space="0" w:color="000000" w:themeColor="text1"/>
                  </w:tcBorders>
                  <w:shd w:val="clear" w:color="auto" w:fill="EBD9BA"/>
                </w:tcPr>
                <w:p w14:paraId="1E65028C"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514" w:type="dxa"/>
                  <w:tcBorders>
                    <w:top w:val="single" w:sz="8" w:space="0" w:color="000000" w:themeColor="text1"/>
                  </w:tcBorders>
                  <w:shd w:val="clear" w:color="auto" w:fill="EBD9BA"/>
                </w:tcPr>
                <w:p w14:paraId="241F7FF1"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47" w:type="dxa"/>
                  <w:tcBorders>
                    <w:top w:val="single" w:sz="8" w:space="0" w:color="000000" w:themeColor="text1"/>
                  </w:tcBorders>
                  <w:shd w:val="clear" w:color="auto" w:fill="EBD9BA"/>
                </w:tcPr>
                <w:p w14:paraId="677BF42D"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1445" w:type="dxa"/>
                  <w:tcBorders>
                    <w:top w:val="single" w:sz="8" w:space="0" w:color="000000" w:themeColor="text1"/>
                  </w:tcBorders>
                  <w:shd w:val="clear" w:color="auto" w:fill="EBD9BA"/>
                </w:tcPr>
                <w:p w14:paraId="195341F5"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rPr>
                      <w:b/>
                      <w:bCs/>
                    </w:rPr>
                  </w:pPr>
                </w:p>
              </w:tc>
            </w:tr>
            <w:tr w:rsidR="00811298" w:rsidRPr="003A3374" w14:paraId="26CD3D0C" w14:textId="77777777" w:rsidTr="00F01554">
              <w:tc>
                <w:tcPr>
                  <w:cnfStyle w:val="001000000000" w:firstRow="0" w:lastRow="0" w:firstColumn="1" w:lastColumn="0" w:oddVBand="0" w:evenVBand="0" w:oddHBand="0" w:evenHBand="0" w:firstRowFirstColumn="0" w:firstRowLastColumn="0" w:lastRowFirstColumn="0" w:lastRowLastColumn="0"/>
                  <w:tcW w:w="1169" w:type="dxa"/>
                </w:tcPr>
                <w:p w14:paraId="2E9C1825" w14:textId="77777777" w:rsidR="00811298" w:rsidRPr="003A3374" w:rsidRDefault="00811298" w:rsidP="00811298">
                  <w:pPr>
                    <w:pStyle w:val="TableText0"/>
                  </w:pPr>
                  <w:r w:rsidRPr="003A3374">
                    <w:t>Tesco</w:t>
                  </w:r>
                </w:p>
              </w:tc>
              <w:tc>
                <w:tcPr>
                  <w:tcW w:w="2023" w:type="dxa"/>
                </w:tcPr>
                <w:p w14:paraId="35570827"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Coca-Cola Classic</w:t>
                  </w:r>
                </w:p>
              </w:tc>
              <w:tc>
                <w:tcPr>
                  <w:tcW w:w="1855" w:type="dxa"/>
                </w:tcPr>
                <w:p w14:paraId="66E0894C" w14:textId="3594D396"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1x 1.75</w:t>
                  </w:r>
                  <w:r w:rsidR="00FF0B0B" w:rsidRPr="003A3374">
                    <w:t xml:space="preserve"> </w:t>
                  </w:r>
                  <w:r w:rsidRPr="003A3374">
                    <w:t>litre PET</w:t>
                  </w:r>
                </w:p>
              </w:tc>
              <w:tc>
                <w:tcPr>
                  <w:tcW w:w="514" w:type="dxa"/>
                </w:tcPr>
                <w:p w14:paraId="4F000D3D"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2.55</w:t>
                  </w:r>
                </w:p>
              </w:tc>
              <w:tc>
                <w:tcPr>
                  <w:tcW w:w="647" w:type="dxa"/>
                </w:tcPr>
                <w:p w14:paraId="5008B4D3"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1,750</w:t>
                  </w:r>
                </w:p>
              </w:tc>
              <w:tc>
                <w:tcPr>
                  <w:tcW w:w="1445" w:type="dxa"/>
                </w:tcPr>
                <w:p w14:paraId="790DF06B" w14:textId="77777777" w:rsidR="00811298" w:rsidRPr="003A3374" w:rsidRDefault="00811298" w:rsidP="00F01554">
                  <w:pPr>
                    <w:pStyle w:val="TableText0"/>
                    <w:cnfStyle w:val="000000000000" w:firstRow="0" w:lastRow="0" w:firstColumn="0" w:lastColumn="0" w:oddVBand="0" w:evenVBand="0" w:oddHBand="0" w:evenHBand="0" w:firstRowFirstColumn="0" w:firstRowLastColumn="0" w:lastRowFirstColumn="0" w:lastRowLastColumn="0"/>
                  </w:pPr>
                  <w:r w:rsidRPr="003A3374">
                    <w:t>15</w:t>
                  </w:r>
                </w:p>
              </w:tc>
            </w:tr>
            <w:tr w:rsidR="00811298" w:rsidRPr="003A3374" w14:paraId="7C2185E3" w14:textId="77777777" w:rsidTr="00F01554">
              <w:tc>
                <w:tcPr>
                  <w:cnfStyle w:val="001000000000" w:firstRow="0" w:lastRow="0" w:firstColumn="1" w:lastColumn="0" w:oddVBand="0" w:evenVBand="0" w:oddHBand="0" w:evenHBand="0" w:firstRowFirstColumn="0" w:firstRowLastColumn="0" w:lastRowFirstColumn="0" w:lastRowLastColumn="0"/>
                  <w:tcW w:w="1169" w:type="dxa"/>
                </w:tcPr>
                <w:p w14:paraId="2AABB8B9" w14:textId="77777777" w:rsidR="00811298" w:rsidRPr="003A3374" w:rsidRDefault="00811298" w:rsidP="00811298">
                  <w:pPr>
                    <w:pStyle w:val="TableText0"/>
                  </w:pPr>
                  <w:r w:rsidRPr="003A3374">
                    <w:t>Sainsbury</w:t>
                  </w:r>
                </w:p>
              </w:tc>
              <w:tc>
                <w:tcPr>
                  <w:tcW w:w="2023" w:type="dxa"/>
                </w:tcPr>
                <w:p w14:paraId="18DA5000"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Coca-Cola Classic</w:t>
                  </w:r>
                </w:p>
              </w:tc>
              <w:tc>
                <w:tcPr>
                  <w:tcW w:w="1855" w:type="dxa"/>
                </w:tcPr>
                <w:p w14:paraId="0A3BCBB9" w14:textId="40988C52"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1x 1.75</w:t>
                  </w:r>
                  <w:r w:rsidR="00FF0B0B" w:rsidRPr="003A3374">
                    <w:t xml:space="preserve"> </w:t>
                  </w:r>
                  <w:r w:rsidRPr="003A3374">
                    <w:t>litre PET</w:t>
                  </w:r>
                </w:p>
              </w:tc>
              <w:tc>
                <w:tcPr>
                  <w:tcW w:w="514" w:type="dxa"/>
                </w:tcPr>
                <w:p w14:paraId="330322C4"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2.65</w:t>
                  </w:r>
                </w:p>
              </w:tc>
              <w:tc>
                <w:tcPr>
                  <w:tcW w:w="647" w:type="dxa"/>
                </w:tcPr>
                <w:p w14:paraId="1A5999A3"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1,750</w:t>
                  </w:r>
                </w:p>
              </w:tc>
              <w:tc>
                <w:tcPr>
                  <w:tcW w:w="1445" w:type="dxa"/>
                </w:tcPr>
                <w:p w14:paraId="7A67D349" w14:textId="77777777" w:rsidR="00811298" w:rsidRPr="003A3374" w:rsidRDefault="00811298" w:rsidP="00F01554">
                  <w:pPr>
                    <w:pStyle w:val="TableText0"/>
                    <w:cnfStyle w:val="000000000000" w:firstRow="0" w:lastRow="0" w:firstColumn="0" w:lastColumn="0" w:oddVBand="0" w:evenVBand="0" w:oddHBand="0" w:evenHBand="0" w:firstRowFirstColumn="0" w:firstRowLastColumn="0" w:lastRowFirstColumn="0" w:lastRowLastColumn="0"/>
                  </w:pPr>
                  <w:r w:rsidRPr="003A3374">
                    <w:t>15</w:t>
                  </w:r>
                </w:p>
              </w:tc>
            </w:tr>
            <w:tr w:rsidR="00811298" w:rsidRPr="003A3374" w14:paraId="5EF1B5AF" w14:textId="77777777" w:rsidTr="00F01554">
              <w:tc>
                <w:tcPr>
                  <w:cnfStyle w:val="001000000000" w:firstRow="0" w:lastRow="0" w:firstColumn="1" w:lastColumn="0" w:oddVBand="0" w:evenVBand="0" w:oddHBand="0" w:evenHBand="0" w:firstRowFirstColumn="0" w:firstRowLastColumn="0" w:lastRowFirstColumn="0" w:lastRowLastColumn="0"/>
                  <w:tcW w:w="1169" w:type="dxa"/>
                </w:tcPr>
                <w:p w14:paraId="2D1A44BC" w14:textId="77777777" w:rsidR="00811298" w:rsidRPr="003A3374" w:rsidRDefault="00811298" w:rsidP="00811298">
                  <w:pPr>
                    <w:pStyle w:val="TableText0"/>
                  </w:pPr>
                  <w:r w:rsidRPr="003A3374">
                    <w:t>Aldi</w:t>
                  </w:r>
                </w:p>
              </w:tc>
              <w:tc>
                <w:tcPr>
                  <w:tcW w:w="2023" w:type="dxa"/>
                </w:tcPr>
                <w:p w14:paraId="63CBB018"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Coca-Cola Classic</w:t>
                  </w:r>
                </w:p>
              </w:tc>
              <w:tc>
                <w:tcPr>
                  <w:tcW w:w="1855" w:type="dxa"/>
                </w:tcPr>
                <w:p w14:paraId="182F73B8" w14:textId="77F6E80A"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1x 1.75</w:t>
                  </w:r>
                  <w:r w:rsidR="00FF0B0B" w:rsidRPr="003A3374">
                    <w:t xml:space="preserve"> </w:t>
                  </w:r>
                  <w:r w:rsidRPr="003A3374">
                    <w:t>litre PET</w:t>
                  </w:r>
                </w:p>
              </w:tc>
              <w:tc>
                <w:tcPr>
                  <w:tcW w:w="514" w:type="dxa"/>
                </w:tcPr>
                <w:p w14:paraId="6F771C01"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2.55</w:t>
                  </w:r>
                </w:p>
              </w:tc>
              <w:tc>
                <w:tcPr>
                  <w:tcW w:w="647" w:type="dxa"/>
                </w:tcPr>
                <w:p w14:paraId="477A3B1D"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1,750</w:t>
                  </w:r>
                </w:p>
              </w:tc>
              <w:tc>
                <w:tcPr>
                  <w:tcW w:w="1445" w:type="dxa"/>
                </w:tcPr>
                <w:p w14:paraId="373A9EFA" w14:textId="77777777" w:rsidR="00811298" w:rsidRPr="003A3374" w:rsidRDefault="00811298" w:rsidP="00F01554">
                  <w:pPr>
                    <w:pStyle w:val="TableText0"/>
                    <w:cnfStyle w:val="000000000000" w:firstRow="0" w:lastRow="0" w:firstColumn="0" w:lastColumn="0" w:oddVBand="0" w:evenVBand="0" w:oddHBand="0" w:evenHBand="0" w:firstRowFirstColumn="0" w:firstRowLastColumn="0" w:lastRowFirstColumn="0" w:lastRowLastColumn="0"/>
                  </w:pPr>
                  <w:r w:rsidRPr="003A3374">
                    <w:t>15</w:t>
                  </w:r>
                </w:p>
              </w:tc>
            </w:tr>
            <w:tr w:rsidR="00811298" w:rsidRPr="003A3374" w14:paraId="50D68845" w14:textId="77777777" w:rsidTr="00F01554">
              <w:tc>
                <w:tcPr>
                  <w:cnfStyle w:val="001000000000" w:firstRow="0" w:lastRow="0" w:firstColumn="1" w:lastColumn="0" w:oddVBand="0" w:evenVBand="0" w:oddHBand="0" w:evenHBand="0" w:firstRowFirstColumn="0" w:firstRowLastColumn="0" w:lastRowFirstColumn="0" w:lastRowLastColumn="0"/>
                  <w:tcW w:w="1169" w:type="dxa"/>
                </w:tcPr>
                <w:p w14:paraId="79D3E4BF" w14:textId="77777777" w:rsidR="00811298" w:rsidRPr="003A3374" w:rsidRDefault="00811298" w:rsidP="00811298">
                  <w:pPr>
                    <w:pStyle w:val="TableText0"/>
                  </w:pPr>
                  <w:r w:rsidRPr="003A3374">
                    <w:t>Lidl</w:t>
                  </w:r>
                </w:p>
              </w:tc>
              <w:tc>
                <w:tcPr>
                  <w:tcW w:w="2023" w:type="dxa"/>
                </w:tcPr>
                <w:p w14:paraId="50FB5BFC"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Coca-Cola Classic</w:t>
                  </w:r>
                </w:p>
              </w:tc>
              <w:tc>
                <w:tcPr>
                  <w:tcW w:w="1855" w:type="dxa"/>
                </w:tcPr>
                <w:p w14:paraId="5604C244" w14:textId="268C4438"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1x 1.75</w:t>
                  </w:r>
                  <w:r w:rsidR="00FF0B0B" w:rsidRPr="003A3374">
                    <w:t xml:space="preserve"> </w:t>
                  </w:r>
                  <w:r w:rsidRPr="003A3374">
                    <w:t>litre PET</w:t>
                  </w:r>
                </w:p>
              </w:tc>
              <w:tc>
                <w:tcPr>
                  <w:tcW w:w="514" w:type="dxa"/>
                </w:tcPr>
                <w:p w14:paraId="0F9D7DE0"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2.55</w:t>
                  </w:r>
                </w:p>
              </w:tc>
              <w:tc>
                <w:tcPr>
                  <w:tcW w:w="647" w:type="dxa"/>
                </w:tcPr>
                <w:p w14:paraId="27F2C5AE"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1,750</w:t>
                  </w:r>
                </w:p>
              </w:tc>
              <w:tc>
                <w:tcPr>
                  <w:tcW w:w="1445" w:type="dxa"/>
                </w:tcPr>
                <w:p w14:paraId="27966CBE" w14:textId="77777777" w:rsidR="00811298" w:rsidRPr="003A3374" w:rsidRDefault="00811298" w:rsidP="00F01554">
                  <w:pPr>
                    <w:pStyle w:val="TableText0"/>
                    <w:cnfStyle w:val="000000000000" w:firstRow="0" w:lastRow="0" w:firstColumn="0" w:lastColumn="0" w:oddVBand="0" w:evenVBand="0" w:oddHBand="0" w:evenHBand="0" w:firstRowFirstColumn="0" w:firstRowLastColumn="0" w:lastRowFirstColumn="0" w:lastRowLastColumn="0"/>
                  </w:pPr>
                  <w:r w:rsidRPr="003A3374">
                    <w:t>15</w:t>
                  </w:r>
                </w:p>
              </w:tc>
            </w:tr>
            <w:tr w:rsidR="00811298" w:rsidRPr="003A3374" w14:paraId="37BCA74D" w14:textId="77777777" w:rsidTr="00F01554">
              <w:tc>
                <w:tcPr>
                  <w:cnfStyle w:val="001000000000" w:firstRow="0" w:lastRow="0" w:firstColumn="1" w:lastColumn="0" w:oddVBand="0" w:evenVBand="0" w:oddHBand="0" w:evenHBand="0" w:firstRowFirstColumn="0" w:firstRowLastColumn="0" w:lastRowFirstColumn="0" w:lastRowLastColumn="0"/>
                  <w:tcW w:w="1169" w:type="dxa"/>
                </w:tcPr>
                <w:p w14:paraId="51369156" w14:textId="77777777" w:rsidR="00811298" w:rsidRPr="003A3374" w:rsidRDefault="00811298" w:rsidP="00811298">
                  <w:pPr>
                    <w:pStyle w:val="TableText0"/>
                  </w:pPr>
                </w:p>
              </w:tc>
              <w:tc>
                <w:tcPr>
                  <w:tcW w:w="2023" w:type="dxa"/>
                </w:tcPr>
                <w:p w14:paraId="35727B04"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p>
              </w:tc>
              <w:tc>
                <w:tcPr>
                  <w:tcW w:w="1855" w:type="dxa"/>
                </w:tcPr>
                <w:p w14:paraId="03E61C14"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p>
              </w:tc>
              <w:tc>
                <w:tcPr>
                  <w:tcW w:w="514" w:type="dxa"/>
                </w:tcPr>
                <w:p w14:paraId="2DCFD3A7"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p>
              </w:tc>
              <w:tc>
                <w:tcPr>
                  <w:tcW w:w="647" w:type="dxa"/>
                </w:tcPr>
                <w:p w14:paraId="18F783D7"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p>
              </w:tc>
              <w:tc>
                <w:tcPr>
                  <w:tcW w:w="1445" w:type="dxa"/>
                </w:tcPr>
                <w:p w14:paraId="6A897E3C" w14:textId="77777777" w:rsidR="00811298" w:rsidRPr="003A3374" w:rsidRDefault="00811298" w:rsidP="00F01554">
                  <w:pPr>
                    <w:pStyle w:val="TableText0"/>
                    <w:cnfStyle w:val="000000000000" w:firstRow="0" w:lastRow="0" w:firstColumn="0" w:lastColumn="0" w:oddVBand="0" w:evenVBand="0" w:oddHBand="0" w:evenHBand="0" w:firstRowFirstColumn="0" w:firstRowLastColumn="0" w:lastRowFirstColumn="0" w:lastRowLastColumn="0"/>
                  </w:pPr>
                </w:p>
              </w:tc>
            </w:tr>
            <w:tr w:rsidR="00811298" w:rsidRPr="003A3374" w14:paraId="63E7043A" w14:textId="77777777" w:rsidTr="00F01554">
              <w:tc>
                <w:tcPr>
                  <w:cnfStyle w:val="001000000000" w:firstRow="0" w:lastRow="0" w:firstColumn="1" w:lastColumn="0" w:oddVBand="0" w:evenVBand="0" w:oddHBand="0" w:evenHBand="0" w:firstRowFirstColumn="0" w:firstRowLastColumn="0" w:lastRowFirstColumn="0" w:lastRowLastColumn="0"/>
                  <w:tcW w:w="3192" w:type="dxa"/>
                  <w:gridSpan w:val="2"/>
                  <w:shd w:val="clear" w:color="auto" w:fill="E6E3DF" w:themeFill="accent4"/>
                </w:tcPr>
                <w:p w14:paraId="5B6B1734" w14:textId="77777777" w:rsidR="00811298" w:rsidRPr="003A3374" w:rsidRDefault="00811298" w:rsidP="00811298">
                  <w:pPr>
                    <w:pStyle w:val="TableText0"/>
                    <w:rPr>
                      <w:b/>
                      <w:bCs/>
                    </w:rPr>
                  </w:pPr>
                  <w:r w:rsidRPr="003A3374">
                    <w:rPr>
                      <w:b/>
                      <w:bCs/>
                    </w:rPr>
                    <w:t>Private label</w:t>
                  </w:r>
                </w:p>
              </w:tc>
              <w:tc>
                <w:tcPr>
                  <w:tcW w:w="1855" w:type="dxa"/>
                  <w:shd w:val="clear" w:color="auto" w:fill="E6E3DF" w:themeFill="accent4"/>
                </w:tcPr>
                <w:p w14:paraId="02D111F2"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514" w:type="dxa"/>
                  <w:shd w:val="clear" w:color="auto" w:fill="E6E3DF" w:themeFill="accent4"/>
                </w:tcPr>
                <w:p w14:paraId="29AA1C60"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47" w:type="dxa"/>
                  <w:shd w:val="clear" w:color="auto" w:fill="E6E3DF" w:themeFill="accent4"/>
                </w:tcPr>
                <w:p w14:paraId="7E0F4FD6"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1445" w:type="dxa"/>
                  <w:shd w:val="clear" w:color="auto" w:fill="E6E3DF" w:themeFill="accent4"/>
                </w:tcPr>
                <w:p w14:paraId="2C76C818" w14:textId="77777777" w:rsidR="00811298" w:rsidRPr="003A3374" w:rsidRDefault="00811298" w:rsidP="00F01554">
                  <w:pPr>
                    <w:pStyle w:val="TableText0"/>
                    <w:cnfStyle w:val="000000000000" w:firstRow="0" w:lastRow="0" w:firstColumn="0" w:lastColumn="0" w:oddVBand="0" w:evenVBand="0" w:oddHBand="0" w:evenHBand="0" w:firstRowFirstColumn="0" w:firstRowLastColumn="0" w:lastRowFirstColumn="0" w:lastRowLastColumn="0"/>
                    <w:rPr>
                      <w:b/>
                      <w:bCs/>
                    </w:rPr>
                  </w:pPr>
                </w:p>
              </w:tc>
            </w:tr>
            <w:tr w:rsidR="00811298" w:rsidRPr="003A3374" w14:paraId="2B58310E" w14:textId="77777777" w:rsidTr="00F01554">
              <w:tc>
                <w:tcPr>
                  <w:cnfStyle w:val="001000000000" w:firstRow="0" w:lastRow="0" w:firstColumn="1" w:lastColumn="0" w:oddVBand="0" w:evenVBand="0" w:oddHBand="0" w:evenHBand="0" w:firstRowFirstColumn="0" w:firstRowLastColumn="0" w:lastRowFirstColumn="0" w:lastRowLastColumn="0"/>
                  <w:tcW w:w="1169" w:type="dxa"/>
                </w:tcPr>
                <w:p w14:paraId="309A1829" w14:textId="77777777" w:rsidR="00811298" w:rsidRPr="003A3374" w:rsidRDefault="00811298" w:rsidP="00811298">
                  <w:pPr>
                    <w:pStyle w:val="TableText0"/>
                  </w:pPr>
                  <w:r w:rsidRPr="003A3374">
                    <w:t>Tesco</w:t>
                  </w:r>
                </w:p>
              </w:tc>
              <w:tc>
                <w:tcPr>
                  <w:tcW w:w="2023" w:type="dxa"/>
                </w:tcPr>
                <w:p w14:paraId="229DB6BC"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Tesco</w:t>
                  </w:r>
                </w:p>
              </w:tc>
              <w:tc>
                <w:tcPr>
                  <w:tcW w:w="1855" w:type="dxa"/>
                </w:tcPr>
                <w:p w14:paraId="17781BF9" w14:textId="22D41A9C"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1x 2</w:t>
                  </w:r>
                  <w:r w:rsidR="00FF0B0B" w:rsidRPr="003A3374">
                    <w:t xml:space="preserve"> </w:t>
                  </w:r>
                  <w:r w:rsidRPr="003A3374">
                    <w:t>litre PET</w:t>
                  </w:r>
                </w:p>
              </w:tc>
              <w:tc>
                <w:tcPr>
                  <w:tcW w:w="514" w:type="dxa"/>
                </w:tcPr>
                <w:p w14:paraId="75D5D27B"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0.80</w:t>
                  </w:r>
                </w:p>
              </w:tc>
              <w:tc>
                <w:tcPr>
                  <w:tcW w:w="647" w:type="dxa"/>
                </w:tcPr>
                <w:p w14:paraId="26F8AD46"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2,000</w:t>
                  </w:r>
                </w:p>
              </w:tc>
              <w:tc>
                <w:tcPr>
                  <w:tcW w:w="1445" w:type="dxa"/>
                </w:tcPr>
                <w:p w14:paraId="2D1C222F" w14:textId="77777777" w:rsidR="00811298" w:rsidRPr="003A3374" w:rsidRDefault="00811298" w:rsidP="00F01554">
                  <w:pPr>
                    <w:pStyle w:val="TableText0"/>
                    <w:cnfStyle w:val="000000000000" w:firstRow="0" w:lastRow="0" w:firstColumn="0" w:lastColumn="0" w:oddVBand="0" w:evenVBand="0" w:oddHBand="0" w:evenHBand="0" w:firstRowFirstColumn="0" w:firstRowLastColumn="0" w:lastRowFirstColumn="0" w:lastRowLastColumn="0"/>
                  </w:pPr>
                  <w:r w:rsidRPr="003A3374">
                    <w:t>4</w:t>
                  </w:r>
                </w:p>
              </w:tc>
            </w:tr>
            <w:tr w:rsidR="00811298" w:rsidRPr="003A3374" w14:paraId="544675B2" w14:textId="77777777" w:rsidTr="00F01554">
              <w:tc>
                <w:tcPr>
                  <w:cnfStyle w:val="001000000000" w:firstRow="0" w:lastRow="0" w:firstColumn="1" w:lastColumn="0" w:oddVBand="0" w:evenVBand="0" w:oddHBand="0" w:evenHBand="0" w:firstRowFirstColumn="0" w:firstRowLastColumn="0" w:lastRowFirstColumn="0" w:lastRowLastColumn="0"/>
                  <w:tcW w:w="1169" w:type="dxa"/>
                </w:tcPr>
                <w:p w14:paraId="715EA09A" w14:textId="77777777" w:rsidR="00811298" w:rsidRPr="003A3374" w:rsidRDefault="00811298" w:rsidP="00811298">
                  <w:pPr>
                    <w:pStyle w:val="TableText0"/>
                  </w:pPr>
                  <w:r w:rsidRPr="003A3374">
                    <w:t>Sainsbury</w:t>
                  </w:r>
                </w:p>
              </w:tc>
              <w:tc>
                <w:tcPr>
                  <w:tcW w:w="2023" w:type="dxa"/>
                </w:tcPr>
                <w:p w14:paraId="56442ED4"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Sainsbury</w:t>
                  </w:r>
                </w:p>
              </w:tc>
              <w:tc>
                <w:tcPr>
                  <w:tcW w:w="1855" w:type="dxa"/>
                </w:tcPr>
                <w:p w14:paraId="10C550A9" w14:textId="2841ED15"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1x 2</w:t>
                  </w:r>
                  <w:r w:rsidR="00FF0B0B" w:rsidRPr="003A3374">
                    <w:t xml:space="preserve"> </w:t>
                  </w:r>
                  <w:r w:rsidRPr="003A3374">
                    <w:t>litre PET</w:t>
                  </w:r>
                </w:p>
              </w:tc>
              <w:tc>
                <w:tcPr>
                  <w:tcW w:w="514" w:type="dxa"/>
                </w:tcPr>
                <w:p w14:paraId="7CB42E78"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0.85</w:t>
                  </w:r>
                </w:p>
              </w:tc>
              <w:tc>
                <w:tcPr>
                  <w:tcW w:w="647" w:type="dxa"/>
                </w:tcPr>
                <w:p w14:paraId="2767B1F3"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2,000</w:t>
                  </w:r>
                </w:p>
              </w:tc>
              <w:tc>
                <w:tcPr>
                  <w:tcW w:w="1445" w:type="dxa"/>
                </w:tcPr>
                <w:p w14:paraId="50227099" w14:textId="77777777" w:rsidR="00811298" w:rsidRPr="003A3374" w:rsidRDefault="00811298" w:rsidP="00F01554">
                  <w:pPr>
                    <w:pStyle w:val="TableText0"/>
                    <w:cnfStyle w:val="000000000000" w:firstRow="0" w:lastRow="0" w:firstColumn="0" w:lastColumn="0" w:oddVBand="0" w:evenVBand="0" w:oddHBand="0" w:evenHBand="0" w:firstRowFirstColumn="0" w:firstRowLastColumn="0" w:lastRowFirstColumn="0" w:lastRowLastColumn="0"/>
                  </w:pPr>
                  <w:r w:rsidRPr="003A3374">
                    <w:t>4</w:t>
                  </w:r>
                </w:p>
              </w:tc>
            </w:tr>
            <w:tr w:rsidR="00811298" w:rsidRPr="003A3374" w14:paraId="462CA3E8" w14:textId="77777777" w:rsidTr="00F01554">
              <w:tc>
                <w:tcPr>
                  <w:cnfStyle w:val="001000000000" w:firstRow="0" w:lastRow="0" w:firstColumn="1" w:lastColumn="0" w:oddVBand="0" w:evenVBand="0" w:oddHBand="0" w:evenHBand="0" w:firstRowFirstColumn="0" w:firstRowLastColumn="0" w:lastRowFirstColumn="0" w:lastRowLastColumn="0"/>
                  <w:tcW w:w="1169" w:type="dxa"/>
                </w:tcPr>
                <w:p w14:paraId="2E1E1EE2" w14:textId="77777777" w:rsidR="00811298" w:rsidRPr="003A3374" w:rsidRDefault="00811298" w:rsidP="00811298">
                  <w:pPr>
                    <w:pStyle w:val="TableText0"/>
                  </w:pPr>
                  <w:r w:rsidRPr="003A3374">
                    <w:t>Aldi</w:t>
                  </w:r>
                </w:p>
              </w:tc>
              <w:tc>
                <w:tcPr>
                  <w:tcW w:w="2023" w:type="dxa"/>
                </w:tcPr>
                <w:p w14:paraId="5493892F"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Vive</w:t>
                  </w:r>
                </w:p>
              </w:tc>
              <w:tc>
                <w:tcPr>
                  <w:tcW w:w="1855" w:type="dxa"/>
                </w:tcPr>
                <w:p w14:paraId="3B02BC0C" w14:textId="66B3313C"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1x 2</w:t>
                  </w:r>
                  <w:r w:rsidR="00FF0B0B" w:rsidRPr="003A3374">
                    <w:t xml:space="preserve"> </w:t>
                  </w:r>
                  <w:r w:rsidRPr="003A3374">
                    <w:t>litre PET</w:t>
                  </w:r>
                </w:p>
              </w:tc>
              <w:tc>
                <w:tcPr>
                  <w:tcW w:w="514" w:type="dxa"/>
                </w:tcPr>
                <w:p w14:paraId="72F4E861"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0.49</w:t>
                  </w:r>
                </w:p>
              </w:tc>
              <w:tc>
                <w:tcPr>
                  <w:tcW w:w="647" w:type="dxa"/>
                </w:tcPr>
                <w:p w14:paraId="3883D124"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2,000</w:t>
                  </w:r>
                </w:p>
              </w:tc>
              <w:tc>
                <w:tcPr>
                  <w:tcW w:w="1445" w:type="dxa"/>
                </w:tcPr>
                <w:p w14:paraId="33FB2E51" w14:textId="77777777" w:rsidR="00811298" w:rsidRPr="003A3374" w:rsidRDefault="00811298" w:rsidP="00F01554">
                  <w:pPr>
                    <w:pStyle w:val="TableText0"/>
                    <w:cnfStyle w:val="000000000000" w:firstRow="0" w:lastRow="0" w:firstColumn="0" w:lastColumn="0" w:oddVBand="0" w:evenVBand="0" w:oddHBand="0" w:evenHBand="0" w:firstRowFirstColumn="0" w:firstRowLastColumn="0" w:lastRowFirstColumn="0" w:lastRowLastColumn="0"/>
                  </w:pPr>
                  <w:r w:rsidRPr="003A3374">
                    <w:t>2</w:t>
                  </w:r>
                </w:p>
              </w:tc>
            </w:tr>
            <w:tr w:rsidR="00811298" w:rsidRPr="003A3374" w14:paraId="2DEC4F89" w14:textId="77777777" w:rsidTr="00F01554">
              <w:tc>
                <w:tcPr>
                  <w:cnfStyle w:val="001000000000" w:firstRow="0" w:lastRow="0" w:firstColumn="1" w:lastColumn="0" w:oddVBand="0" w:evenVBand="0" w:oddHBand="0" w:evenHBand="0" w:firstRowFirstColumn="0" w:firstRowLastColumn="0" w:lastRowFirstColumn="0" w:lastRowLastColumn="0"/>
                  <w:tcW w:w="1169" w:type="dxa"/>
                </w:tcPr>
                <w:p w14:paraId="3998C3E3" w14:textId="77777777" w:rsidR="00811298" w:rsidRPr="003A3374" w:rsidRDefault="00811298" w:rsidP="00811298">
                  <w:pPr>
                    <w:pStyle w:val="TableText0"/>
                  </w:pPr>
                  <w:r w:rsidRPr="003A3374">
                    <w:t>Lidl</w:t>
                  </w:r>
                </w:p>
              </w:tc>
              <w:tc>
                <w:tcPr>
                  <w:tcW w:w="2023" w:type="dxa"/>
                </w:tcPr>
                <w:p w14:paraId="349FB5AE"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Freeway</w:t>
                  </w:r>
                </w:p>
              </w:tc>
              <w:tc>
                <w:tcPr>
                  <w:tcW w:w="1855" w:type="dxa"/>
                </w:tcPr>
                <w:p w14:paraId="6E09A25C" w14:textId="2FCDF101"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1x 2</w:t>
                  </w:r>
                  <w:r w:rsidR="00FF0B0B" w:rsidRPr="003A3374">
                    <w:t xml:space="preserve"> </w:t>
                  </w:r>
                  <w:r w:rsidRPr="003A3374">
                    <w:t>litre PET</w:t>
                  </w:r>
                </w:p>
              </w:tc>
              <w:tc>
                <w:tcPr>
                  <w:tcW w:w="514" w:type="dxa"/>
                </w:tcPr>
                <w:p w14:paraId="02A68E93"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0.49</w:t>
                  </w:r>
                </w:p>
              </w:tc>
              <w:tc>
                <w:tcPr>
                  <w:tcW w:w="647" w:type="dxa"/>
                </w:tcPr>
                <w:p w14:paraId="4AB84749" w14:textId="77777777" w:rsidR="00811298" w:rsidRPr="003A3374" w:rsidRDefault="00811298" w:rsidP="00811298">
                  <w:pPr>
                    <w:pStyle w:val="TableText0"/>
                    <w:cnfStyle w:val="000000000000" w:firstRow="0" w:lastRow="0" w:firstColumn="0" w:lastColumn="0" w:oddVBand="0" w:evenVBand="0" w:oddHBand="0" w:evenHBand="0" w:firstRowFirstColumn="0" w:firstRowLastColumn="0" w:lastRowFirstColumn="0" w:lastRowLastColumn="0"/>
                  </w:pPr>
                  <w:r w:rsidRPr="003A3374">
                    <w:t>2,000</w:t>
                  </w:r>
                </w:p>
              </w:tc>
              <w:tc>
                <w:tcPr>
                  <w:tcW w:w="1445" w:type="dxa"/>
                </w:tcPr>
                <w:p w14:paraId="1A93A9F8" w14:textId="77777777" w:rsidR="00811298" w:rsidRPr="003A3374" w:rsidRDefault="00811298" w:rsidP="00F01554">
                  <w:pPr>
                    <w:pStyle w:val="TableText0"/>
                    <w:cnfStyle w:val="000000000000" w:firstRow="0" w:lastRow="0" w:firstColumn="0" w:lastColumn="0" w:oddVBand="0" w:evenVBand="0" w:oddHBand="0" w:evenHBand="0" w:firstRowFirstColumn="0" w:firstRowLastColumn="0" w:lastRowFirstColumn="0" w:lastRowLastColumn="0"/>
                  </w:pPr>
                  <w:r w:rsidRPr="003A3374">
                    <w:t>2</w:t>
                  </w:r>
                </w:p>
              </w:tc>
            </w:tr>
          </w:tbl>
          <w:p w14:paraId="760B3F31" w14:textId="77777777" w:rsidR="00FF6594" w:rsidRPr="003A3374" w:rsidRDefault="00FF6594" w:rsidP="00A8292A">
            <w:pPr>
              <w:pStyle w:val="Tableplaceholder"/>
            </w:pPr>
          </w:p>
        </w:tc>
      </w:tr>
      <w:tr w:rsidR="00FF6594" w:rsidRPr="003A3374" w14:paraId="2EAA6F97" w14:textId="77777777" w:rsidTr="00811298">
        <w:trPr>
          <w:cantSplit/>
        </w:trPr>
        <w:tc>
          <w:tcPr>
            <w:tcW w:w="7654" w:type="dxa"/>
            <w:tcBorders>
              <w:top w:val="single" w:sz="8" w:space="0" w:color="000000" w:themeColor="text1"/>
            </w:tcBorders>
          </w:tcPr>
          <w:p w14:paraId="72CFF301" w14:textId="58D0FA67" w:rsidR="00FF6594" w:rsidRPr="003A3374" w:rsidRDefault="00811298" w:rsidP="00811298">
            <w:pPr>
              <w:pStyle w:val="TableSource"/>
            </w:pPr>
            <w:r w:rsidRPr="003A3374">
              <w:t>Source: Rothschild &amp; Co Redburn, Tesco.co.uk, Sainsbury.co.uk, Aldi.co.uk, Lidl.co.uk</w:t>
            </w:r>
          </w:p>
        </w:tc>
      </w:tr>
      <w:bookmarkEnd w:id="49"/>
    </w:tbl>
    <w:p w14:paraId="5B87C201" w14:textId="77777777" w:rsidR="00FF6594" w:rsidRPr="003A3374" w:rsidRDefault="00FF6594" w:rsidP="00694885">
      <w:pPr>
        <w:pStyle w:val="Tablespaceafter"/>
      </w:pPr>
    </w:p>
    <w:p w14:paraId="6201BD24" w14:textId="514081AD" w:rsidR="009335F9" w:rsidRPr="003A3374" w:rsidRDefault="007A3A82" w:rsidP="009B5BCF">
      <w:pPr>
        <w:pStyle w:val="Heading20"/>
      </w:pPr>
      <w:bookmarkStart w:id="51" w:name="_Toc214545129"/>
      <w:r w:rsidRPr="003A3374">
        <w:lastRenderedPageBreak/>
        <w:t>What does the shift to discounters mean for CC</w:t>
      </w:r>
      <w:r w:rsidR="00370730" w:rsidRPr="003A3374">
        <w:t>GB</w:t>
      </w:r>
      <w:r w:rsidRPr="003A3374">
        <w:t>?</w:t>
      </w:r>
      <w:bookmarkEnd w:id="51"/>
    </w:p>
    <w:p w14:paraId="6799F522" w14:textId="71EB0F07" w:rsidR="009335F9" w:rsidRPr="003A3374" w:rsidRDefault="007C558A" w:rsidP="00A53B85">
      <w:pPr>
        <w:pStyle w:val="BodyText"/>
      </w:pPr>
      <w:r w:rsidRPr="003A3374">
        <w:t xml:space="preserve">From a margin perspective, the shift from traditional grocers to discounters could create gross margin pressure for </w:t>
      </w:r>
      <w:r w:rsidR="00370730" w:rsidRPr="003A3374">
        <w:t>CCGB</w:t>
      </w:r>
      <w:r w:rsidRPr="003A3374">
        <w:t>.</w:t>
      </w:r>
      <w:r w:rsidR="005D33B7" w:rsidRPr="003A3374">
        <w:t xml:space="preserve"> This stems firstly from the lower revenue</w:t>
      </w:r>
      <w:r w:rsidR="00AB5D21" w:rsidRPr="003A3374">
        <w:t xml:space="preserve"> </w:t>
      </w:r>
      <w:r w:rsidR="005D33B7" w:rsidRPr="003A3374">
        <w:t>per</w:t>
      </w:r>
      <w:r w:rsidR="00AB5D21" w:rsidRPr="003A3374">
        <w:t xml:space="preserve"> </w:t>
      </w:r>
      <w:r w:rsidR="005D33B7" w:rsidRPr="003A3374">
        <w:t>case that CC</w:t>
      </w:r>
      <w:r w:rsidR="00370730" w:rsidRPr="003A3374">
        <w:t>GB</w:t>
      </w:r>
      <w:r w:rsidR="005D33B7" w:rsidRPr="003A3374">
        <w:t xml:space="preserve"> earns from selling to the discounters, and secondly from the ‘price matches’ that could limit pricing power with the traditional grocers.</w:t>
      </w:r>
    </w:p>
    <w:p w14:paraId="26251C06" w14:textId="7B451A0D" w:rsidR="002E5D3A" w:rsidRPr="003A3374" w:rsidRDefault="002E5D3A" w:rsidP="00A53B85">
      <w:pPr>
        <w:pStyle w:val="BodyText"/>
      </w:pPr>
      <w:r w:rsidRPr="003A3374">
        <w:t xml:space="preserve">It is difficult to </w:t>
      </w:r>
      <w:r w:rsidR="00E01463" w:rsidRPr="003A3374">
        <w:t>glean much information from the statutory accounts</w:t>
      </w:r>
      <w:r w:rsidR="00AB5D21" w:rsidRPr="003A3374">
        <w:t xml:space="preserve"> of the impact of the shift to discounters</w:t>
      </w:r>
      <w:r w:rsidR="00E01463" w:rsidRPr="003A3374">
        <w:t xml:space="preserve"> because the gross margin has been knocked repeatedly by the 2018 UK sugar tax, the 2020 pandemic and then ongoing inflation following the 2022 war in Ukraine (</w:t>
      </w:r>
      <w:r w:rsidR="0046206F" w:rsidRPr="003A3374">
        <w:t>Fig </w:t>
      </w:r>
      <w:r w:rsidR="0046206F" w:rsidRPr="003A3374">
        <w:fldChar w:fldCharType="begin"/>
      </w:r>
      <w:r w:rsidR="0046206F" w:rsidRPr="003A3374">
        <w:instrText xml:space="preserve"> REF LINK_056118 \h </w:instrText>
      </w:r>
      <w:r w:rsidR="0046206F" w:rsidRPr="003A3374">
        <w:fldChar w:fldCharType="separate"/>
      </w:r>
      <w:r w:rsidR="006A4635" w:rsidRPr="003A3374">
        <w:rPr>
          <w:noProof/>
        </w:rPr>
        <w:t>25</w:t>
      </w:r>
      <w:r w:rsidR="0046206F" w:rsidRPr="003A3374">
        <w:fldChar w:fldCharType="end"/>
      </w:r>
      <w:r w:rsidR="00E01463" w:rsidRPr="003A3374">
        <w:t>). Furthermore, in 2025 the UK sugar tax was increased, leading to more gross margin pressure.</w:t>
      </w:r>
    </w:p>
    <w:p w14:paraId="6DADBD0E" w14:textId="0BCC1EA7" w:rsidR="002E5D3A" w:rsidRPr="003A3374" w:rsidRDefault="00A12900" w:rsidP="00A53B85">
      <w:pPr>
        <w:pStyle w:val="BodyText"/>
      </w:pPr>
      <w:r w:rsidRPr="003A3374">
        <w:t xml:space="preserve">If pricing power is more limited due to the rise of </w:t>
      </w:r>
      <w:r w:rsidR="00F1390F" w:rsidRPr="003A3374">
        <w:t>discounters,</w:t>
      </w:r>
      <w:r w:rsidRPr="003A3374">
        <w:t xml:space="preserve"> then improving the gross margin will </w:t>
      </w:r>
      <w:r w:rsidR="001B6F76" w:rsidRPr="003A3374">
        <w:t xml:space="preserve">depend </w:t>
      </w:r>
      <w:r w:rsidRPr="003A3374">
        <w:t xml:space="preserve">on improving the cost </w:t>
      </w:r>
      <w:r w:rsidR="00637A74" w:rsidRPr="003A3374">
        <w:t>base</w:t>
      </w:r>
      <w:r w:rsidRPr="003A3374">
        <w:t xml:space="preserve"> </w:t>
      </w:r>
      <w:r w:rsidR="00E83DB6" w:rsidRPr="003A3374">
        <w:t>at CCGB</w:t>
      </w:r>
      <w:r w:rsidRPr="003A3374">
        <w:t>.</w:t>
      </w:r>
      <w:r w:rsidR="00D721EB" w:rsidRPr="003A3374">
        <w:t xml:space="preserve"> The statutory accounts imply that concentrate is c33% of cost of goods sold (COGS) in Great Britain and this </w:t>
      </w:r>
      <w:r w:rsidR="00C37DD6" w:rsidRPr="003A3374">
        <w:t>is largely fixed</w:t>
      </w:r>
      <w:r w:rsidR="00D721EB" w:rsidRPr="003A3374">
        <w:t xml:space="preserve"> due to the bottler agreement</w:t>
      </w:r>
      <w:r w:rsidR="00FA36FA" w:rsidRPr="003A3374">
        <w:t xml:space="preserve"> with TCCC</w:t>
      </w:r>
      <w:r w:rsidR="00D721EB" w:rsidRPr="003A3374">
        <w:t xml:space="preserve">. But for the remaining two-thirds of COGS, </w:t>
      </w:r>
      <w:r w:rsidR="003A3E8C" w:rsidRPr="003A3374">
        <w:t>CCGB</w:t>
      </w:r>
      <w:r w:rsidR="00D721EB" w:rsidRPr="003A3374">
        <w:t xml:space="preserve"> can</w:t>
      </w:r>
      <w:r w:rsidR="00CE1C9D" w:rsidRPr="003A3374">
        <w:t xml:space="preserve"> improve its cost base to drive gross margin expansion – as discussed </w:t>
      </w:r>
      <w:r w:rsidR="009C5CF0" w:rsidRPr="003A3374">
        <w:t>on</w:t>
      </w:r>
      <w:r w:rsidR="00CE1C9D" w:rsidRPr="003A3374">
        <w:t xml:space="preserve"> page </w:t>
      </w:r>
      <w:r w:rsidR="00A11D2E" w:rsidRPr="003A3374">
        <w:t>10</w:t>
      </w:r>
      <w:r w:rsidR="00F3453E" w:rsidRPr="003A3374">
        <w:t>,</w:t>
      </w:r>
      <w:r w:rsidR="0046206F" w:rsidRPr="003A3374">
        <w:t xml:space="preserve"> </w:t>
      </w:r>
      <w:r w:rsidR="00CE1C9D" w:rsidRPr="003A3374">
        <w:t xml:space="preserve">the </w:t>
      </w:r>
      <w:r w:rsidR="009C5CF0" w:rsidRPr="003A3374">
        <w:t xml:space="preserve">new warehouse being built </w:t>
      </w:r>
      <w:r w:rsidR="00CE1C9D" w:rsidRPr="003A3374">
        <w:t>at Wakefield should help in this regard.</w:t>
      </w:r>
    </w:p>
    <w:p w14:paraId="07880338" w14:textId="5D423424" w:rsidR="002E544D" w:rsidRPr="003A3374" w:rsidRDefault="00394C23" w:rsidP="00A53B85">
      <w:pPr>
        <w:pStyle w:val="BodyText"/>
      </w:pPr>
      <w:r w:rsidRPr="003A3374">
        <w:t>The operating margin should not</w:t>
      </w:r>
      <w:r w:rsidR="00462D91" w:rsidRPr="003A3374">
        <w:t xml:space="preserve"> </w:t>
      </w:r>
      <w:r w:rsidRPr="003A3374">
        <w:t xml:space="preserve">face </w:t>
      </w:r>
      <w:r w:rsidR="000D79B5" w:rsidRPr="003A3374">
        <w:t>as</w:t>
      </w:r>
      <w:r w:rsidRPr="003A3374">
        <w:t xml:space="preserve"> much pressure from the shift to </w:t>
      </w:r>
      <w:r w:rsidR="00380509" w:rsidRPr="003A3374">
        <w:t xml:space="preserve">the </w:t>
      </w:r>
      <w:r w:rsidRPr="003A3374">
        <w:t>discount</w:t>
      </w:r>
      <w:r w:rsidR="00380509" w:rsidRPr="003A3374">
        <w:t xml:space="preserve"> channel</w:t>
      </w:r>
      <w:r w:rsidRPr="003A3374">
        <w:t xml:space="preserve"> as although </w:t>
      </w:r>
      <w:r w:rsidR="003A3E8C" w:rsidRPr="003A3374">
        <w:t>CCGB</w:t>
      </w:r>
      <w:r w:rsidRPr="003A3374">
        <w:t xml:space="preserve"> sells to the discounter at a lower </w:t>
      </w:r>
      <w:r w:rsidR="000D79B5" w:rsidRPr="003A3374">
        <w:t>gross margin</w:t>
      </w:r>
      <w:r w:rsidRPr="003A3374">
        <w:t xml:space="preserve">, </w:t>
      </w:r>
      <w:r w:rsidR="00C3513A" w:rsidRPr="003A3374">
        <w:t>operating expenses</w:t>
      </w:r>
      <w:r w:rsidRPr="003A3374">
        <w:t xml:space="preserve"> </w:t>
      </w:r>
      <w:r w:rsidR="009E7F2F" w:rsidRPr="003A3374">
        <w:t>are</w:t>
      </w:r>
      <w:r w:rsidR="00C3513A" w:rsidRPr="003A3374">
        <w:t xml:space="preserve"> also lower </w:t>
      </w:r>
      <w:r w:rsidRPr="003A3374">
        <w:t>as products are shipped to the</w:t>
      </w:r>
      <w:r w:rsidR="009E7F2F" w:rsidRPr="003A3374">
        <w:t xml:space="preserve"> distributors’</w:t>
      </w:r>
      <w:r w:rsidRPr="003A3374">
        <w:t xml:space="preserve"> warehouses and merchandised by the</w:t>
      </w:r>
      <w:r w:rsidR="00310022" w:rsidRPr="003A3374">
        <w:t>ir</w:t>
      </w:r>
      <w:r w:rsidRPr="003A3374">
        <w:t xml:space="preserve"> in-store clerks.</w:t>
      </w:r>
      <w:r w:rsidR="003510FA" w:rsidRPr="003A3374">
        <w:t xml:space="preserve"> </w:t>
      </w:r>
    </w:p>
    <w:p w14:paraId="50048F40" w14:textId="337F710B" w:rsidR="00CE1C9D" w:rsidRPr="003A3374" w:rsidRDefault="003510FA" w:rsidP="00A53B85">
      <w:pPr>
        <w:pStyle w:val="BodyText"/>
      </w:pPr>
      <w:r w:rsidRPr="003A3374">
        <w:t>We therefore suspect that CC</w:t>
      </w:r>
      <w:r w:rsidR="003A3E8C" w:rsidRPr="003A3374">
        <w:t>GB</w:t>
      </w:r>
      <w:r w:rsidRPr="003A3374">
        <w:t xml:space="preserve">’s operating margin in the discount channel is not vastly </w:t>
      </w:r>
      <w:r w:rsidR="002E18E9" w:rsidRPr="003A3374">
        <w:t>lower than</w:t>
      </w:r>
      <w:r w:rsidRPr="003A3374">
        <w:t xml:space="preserve"> its average </w:t>
      </w:r>
      <w:r w:rsidR="002E18E9" w:rsidRPr="003A3374">
        <w:t>in</w:t>
      </w:r>
      <w:r w:rsidRPr="003A3374">
        <w:t xml:space="preserve"> the at-home channel, which as discussed in ‘</w:t>
      </w:r>
      <w:hyperlink r:id="rId50" w:history="1">
        <w:r w:rsidRPr="003A3374">
          <w:rPr>
            <w:rStyle w:val="Hyperlink"/>
          </w:rPr>
          <w:t>Europe Emerging</w:t>
        </w:r>
      </w:hyperlink>
      <w:r w:rsidRPr="003A3374">
        <w:t xml:space="preserve">’ (10 March 2025) </w:t>
      </w:r>
      <w:r w:rsidR="002E18E9" w:rsidRPr="003A3374">
        <w:t xml:space="preserve">we estimate was 12.8% in Europe in 2019 compared to the region’s average </w:t>
      </w:r>
      <w:r w:rsidR="00462D91" w:rsidRPr="003A3374">
        <w:t xml:space="preserve">of </w:t>
      </w:r>
      <w:r w:rsidR="002E18E9" w:rsidRPr="003A3374">
        <w:t xml:space="preserve">13.9% and the </w:t>
      </w:r>
      <w:r w:rsidR="00462D91" w:rsidRPr="003A3374">
        <w:t xml:space="preserve">European </w:t>
      </w:r>
      <w:r w:rsidR="002E18E9" w:rsidRPr="003A3374">
        <w:t xml:space="preserve">AFH channel </w:t>
      </w:r>
      <w:r w:rsidR="00462D91" w:rsidRPr="003A3374">
        <w:t xml:space="preserve">average </w:t>
      </w:r>
      <w:r w:rsidR="002E18E9" w:rsidRPr="003A3374">
        <w:t>of 15.4%.</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2E5D3A" w:rsidRPr="003A3374" w14:paraId="7579238B" w14:textId="77777777" w:rsidTr="006D2966">
        <w:trPr>
          <w:cantSplit/>
          <w:tblHeader/>
        </w:trPr>
        <w:tc>
          <w:tcPr>
            <w:tcW w:w="7653" w:type="dxa"/>
            <w:tcBorders>
              <w:bottom w:val="single" w:sz="8" w:space="0" w:color="000000" w:themeColor="text1"/>
            </w:tcBorders>
            <w:vAlign w:val="bottom"/>
          </w:tcPr>
          <w:p w14:paraId="37774404" w14:textId="13E8DC8A" w:rsidR="002E5D3A" w:rsidRPr="003A3374" w:rsidRDefault="002E5D3A" w:rsidP="006D2966">
            <w:pPr>
              <w:pStyle w:val="TableTitle"/>
            </w:pPr>
            <w:r w:rsidRPr="003A3374">
              <w:t xml:space="preserve">Fig </w:t>
            </w:r>
            <w:bookmarkStart w:id="52" w:name="LINK_056118"/>
            <w:r w:rsidRPr="003A3374">
              <w:fldChar w:fldCharType="begin"/>
            </w:r>
            <w:r w:rsidRPr="003A3374">
              <w:instrText xml:space="preserve"> SEQ Fig </w:instrText>
            </w:r>
            <w:r w:rsidRPr="003A3374">
              <w:fldChar w:fldCharType="separate"/>
            </w:r>
            <w:r w:rsidR="006A4635" w:rsidRPr="003A3374">
              <w:rPr>
                <w:noProof/>
              </w:rPr>
              <w:t>25</w:t>
            </w:r>
            <w:r w:rsidRPr="003A3374">
              <w:fldChar w:fldCharType="end"/>
            </w:r>
            <w:bookmarkEnd w:id="52"/>
            <w:r w:rsidRPr="003A3374">
              <w:t xml:space="preserve">: </w:t>
            </w:r>
            <w:r w:rsidR="002E544D" w:rsidRPr="003A3374">
              <w:t>Falling gross margin, rising operating margin</w:t>
            </w:r>
          </w:p>
        </w:tc>
      </w:tr>
      <w:tr w:rsidR="002E5D3A" w:rsidRPr="003A3374" w14:paraId="422B173A" w14:textId="77777777" w:rsidTr="006D2966">
        <w:trPr>
          <w:cantSplit/>
        </w:trPr>
        <w:tc>
          <w:tcPr>
            <w:tcW w:w="7653" w:type="dxa"/>
            <w:tcBorders>
              <w:top w:val="single" w:sz="8" w:space="0" w:color="000000" w:themeColor="text1"/>
              <w:bottom w:val="single" w:sz="8" w:space="0" w:color="000000" w:themeColor="text1"/>
            </w:tcBorders>
          </w:tcPr>
          <w:p w14:paraId="43558062" w14:textId="32806A42" w:rsidR="002E5D3A" w:rsidRPr="003A3374" w:rsidRDefault="002E5D3A" w:rsidP="006D2966">
            <w:pPr>
              <w:pStyle w:val="Tableplaceholder"/>
            </w:pPr>
            <w:r w:rsidRPr="003A3374">
              <w:rPr>
                <w:noProof/>
              </w:rPr>
              <w:drawing>
                <wp:inline distT="0" distB="0" distL="0" distR="0" wp14:anchorId="0FCFB6F9" wp14:editId="233B3C2E">
                  <wp:extent cx="4859655" cy="2157095"/>
                  <wp:effectExtent l="0" t="0" r="0" b="0"/>
                  <wp:docPr id="80205961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859655" cy="2157095"/>
                          </a:xfrm>
                          <a:prstGeom prst="rect">
                            <a:avLst/>
                          </a:prstGeom>
                          <a:noFill/>
                          <a:ln>
                            <a:noFill/>
                          </a:ln>
                        </pic:spPr>
                      </pic:pic>
                    </a:graphicData>
                  </a:graphic>
                </wp:inline>
              </w:drawing>
            </w:r>
          </w:p>
        </w:tc>
      </w:tr>
      <w:tr w:rsidR="002E5D3A" w:rsidRPr="003A3374" w14:paraId="12827F7B" w14:textId="77777777" w:rsidTr="006D2966">
        <w:trPr>
          <w:cantSplit/>
        </w:trPr>
        <w:tc>
          <w:tcPr>
            <w:tcW w:w="7653" w:type="dxa"/>
            <w:tcBorders>
              <w:top w:val="single" w:sz="8" w:space="0" w:color="000000" w:themeColor="text1"/>
            </w:tcBorders>
          </w:tcPr>
          <w:p w14:paraId="0A26EDEE" w14:textId="5F66FC3C" w:rsidR="002E5D3A" w:rsidRPr="003A3374" w:rsidRDefault="002E5D3A" w:rsidP="006D2966">
            <w:pPr>
              <w:pStyle w:val="TableSource"/>
            </w:pPr>
            <w:r w:rsidRPr="003A3374">
              <w:t>Source: Rothschild &amp; Co Redburn, company</w:t>
            </w:r>
          </w:p>
        </w:tc>
      </w:tr>
    </w:tbl>
    <w:p w14:paraId="4144080F" w14:textId="36E75FD2" w:rsidR="00A53B85" w:rsidRPr="003A3374" w:rsidRDefault="00F1568B" w:rsidP="00611100">
      <w:pPr>
        <w:pStyle w:val="BodyText"/>
      </w:pPr>
      <w:r w:rsidRPr="003A3374">
        <w:t>From a top-line growth perspective, o</w:t>
      </w:r>
      <w:r w:rsidR="00A53B85" w:rsidRPr="003A3374">
        <w:t>ngoing market share gains</w:t>
      </w:r>
      <w:r w:rsidR="00E474BF" w:rsidRPr="003A3374">
        <w:t xml:space="preserve"> by the discount channel</w:t>
      </w:r>
      <w:r w:rsidR="00A53B85" w:rsidRPr="003A3374">
        <w:t xml:space="preserve"> means that</w:t>
      </w:r>
      <w:r w:rsidR="00C17BE4" w:rsidRPr="003A3374">
        <w:t xml:space="preserve"> private label </w:t>
      </w:r>
      <w:r w:rsidR="00E474BF" w:rsidRPr="003A3374">
        <w:t>could</w:t>
      </w:r>
      <w:r w:rsidR="00C17BE4" w:rsidRPr="003A3374">
        <w:t xml:space="preserve"> win share</w:t>
      </w:r>
      <w:r w:rsidR="00A53B85" w:rsidRPr="003A3374">
        <w:t xml:space="preserve"> in certain soft drinks subcategories</w:t>
      </w:r>
      <w:r w:rsidRPr="003A3374">
        <w:t>, hampering CC</w:t>
      </w:r>
      <w:r w:rsidR="00294FAA" w:rsidRPr="003A3374">
        <w:t>GB</w:t>
      </w:r>
      <w:r w:rsidRPr="003A3374">
        <w:t>’s sales growth</w:t>
      </w:r>
      <w:r w:rsidR="00611100" w:rsidRPr="003A3374">
        <w:t>.</w:t>
      </w:r>
      <w:r w:rsidR="00A53B85" w:rsidRPr="003A3374">
        <w:t xml:space="preserve"> </w:t>
      </w:r>
      <w:r w:rsidR="00611100" w:rsidRPr="003A3374">
        <w:t>B</w:t>
      </w:r>
      <w:r w:rsidR="00A53B85" w:rsidRPr="003A3374">
        <w:t>randed colas have usually fended off private label thanks to their superior taste</w:t>
      </w:r>
      <w:r w:rsidR="00611100" w:rsidRPr="003A3374">
        <w:t xml:space="preserve"> and brand equity</w:t>
      </w:r>
      <w:r w:rsidR="00A53B85" w:rsidRPr="003A3374">
        <w:t xml:space="preserve">, </w:t>
      </w:r>
      <w:r w:rsidR="001B261A" w:rsidRPr="003A3374">
        <w:t>while</w:t>
      </w:r>
      <w:r w:rsidR="00A53B85" w:rsidRPr="003A3374">
        <w:t xml:space="preserve"> lemonades and orangeades are more susceptible to private label trade down.</w:t>
      </w:r>
      <w:r w:rsidR="00611100" w:rsidRPr="003A3374">
        <w:t xml:space="preserve"> However, </w:t>
      </w:r>
      <w:r w:rsidR="00E474BF" w:rsidRPr="003A3374">
        <w:t xml:space="preserve">market </w:t>
      </w:r>
      <w:r w:rsidR="00E474BF" w:rsidRPr="003A3374">
        <w:lastRenderedPageBreak/>
        <w:t>share data shows that private label still only accounted for c12% of total soft drinks value in 2024, up from the historic</w:t>
      </w:r>
      <w:r w:rsidR="008B2E14" w:rsidRPr="003A3374">
        <w:t>al average of</w:t>
      </w:r>
      <w:r w:rsidR="00E474BF" w:rsidRPr="003A3374">
        <w:t xml:space="preserve"> c10% but below the peak of c13% during the 2020 pandemic (</w:t>
      </w:r>
      <w:r w:rsidR="00461901" w:rsidRPr="003A3374">
        <w:t>Fig </w:t>
      </w:r>
      <w:r w:rsidR="00461901" w:rsidRPr="003A3374">
        <w:fldChar w:fldCharType="begin"/>
      </w:r>
      <w:r w:rsidR="00461901" w:rsidRPr="003A3374">
        <w:instrText xml:space="preserve"> REF LINK_039904 \h </w:instrText>
      </w:r>
      <w:r w:rsidR="00461901" w:rsidRPr="003A3374">
        <w:fldChar w:fldCharType="separate"/>
      </w:r>
      <w:r w:rsidR="006A4635" w:rsidRPr="003A3374">
        <w:rPr>
          <w:noProof/>
        </w:rPr>
        <w:t>26</w:t>
      </w:r>
      <w:r w:rsidR="00461901" w:rsidRPr="003A3374">
        <w:fldChar w:fldCharType="end"/>
      </w:r>
      <w:r w:rsidR="00E474BF" w:rsidRPr="003A3374">
        <w:t>).</w:t>
      </w:r>
    </w:p>
    <w:p w14:paraId="72D08FC0" w14:textId="570C9A6A" w:rsidR="00904768" w:rsidRPr="003A3374" w:rsidRDefault="00904768" w:rsidP="00904768">
      <w:pPr>
        <w:pStyle w:val="BodyText"/>
      </w:pPr>
      <w:r w:rsidRPr="003A3374">
        <w:t>CCGB has managed to fend off private label through a variety of measures and we expect it can continue to do so. Firstly, CCGB has improved its execution in the discount channel. Although Coca-Cola products in Great Britain have been available in Aldi since 2012, the price/pack architecture was immature and generally consisted solely of large PET bottles. Today, there are multi-packs of cans and single-serve PET formats to offer a wider array of options that also earn a higher revenue per case.</w:t>
      </w:r>
    </w:p>
    <w:p w14:paraId="48E071C6" w14:textId="619B25F5" w:rsidR="00904768" w:rsidRPr="003A3374" w:rsidRDefault="00904768" w:rsidP="00904768">
      <w:pPr>
        <w:pStyle w:val="BodyText"/>
      </w:pPr>
      <w:r w:rsidRPr="003A3374">
        <w:t xml:space="preserve">Secondly, as discussed, CCGB has won value share in the AFH channel, while the site visit highlighted the improved execution across the entire business which should help mitigate the risk of share losses </w:t>
      </w:r>
      <w:r w:rsidR="007409C1" w:rsidRPr="003A3374">
        <w:t xml:space="preserve">both </w:t>
      </w:r>
      <w:r w:rsidRPr="003A3374">
        <w:t xml:space="preserve">to other competitors and </w:t>
      </w:r>
      <w:r w:rsidR="007409C1" w:rsidRPr="003A3374">
        <w:t xml:space="preserve">to </w:t>
      </w:r>
      <w:r w:rsidRPr="003A3374">
        <w:t>private label.</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C17BE4" w:rsidRPr="003A3374" w14:paraId="3AE1BB05" w14:textId="77777777" w:rsidTr="00B158BC">
        <w:trPr>
          <w:cantSplit/>
          <w:tblHeader/>
        </w:trPr>
        <w:tc>
          <w:tcPr>
            <w:tcW w:w="7653" w:type="dxa"/>
            <w:tcBorders>
              <w:bottom w:val="single" w:sz="8" w:space="0" w:color="000000" w:themeColor="text1"/>
            </w:tcBorders>
            <w:vAlign w:val="bottom"/>
          </w:tcPr>
          <w:p w14:paraId="4B9554C4" w14:textId="493BE5EB" w:rsidR="00C17BE4" w:rsidRPr="003A3374" w:rsidRDefault="00C17BE4" w:rsidP="006D2966">
            <w:pPr>
              <w:pStyle w:val="TableTitle"/>
            </w:pPr>
            <w:r w:rsidRPr="003A3374">
              <w:t xml:space="preserve">Fig </w:t>
            </w:r>
            <w:bookmarkStart w:id="53" w:name="LINK_039904"/>
            <w:r w:rsidRPr="003A3374">
              <w:fldChar w:fldCharType="begin"/>
            </w:r>
            <w:r w:rsidRPr="003A3374">
              <w:instrText xml:space="preserve"> SEQ Fig </w:instrText>
            </w:r>
            <w:r w:rsidRPr="003A3374">
              <w:fldChar w:fldCharType="separate"/>
            </w:r>
            <w:r w:rsidR="006A4635" w:rsidRPr="003A3374">
              <w:rPr>
                <w:noProof/>
              </w:rPr>
              <w:t>26</w:t>
            </w:r>
            <w:r w:rsidRPr="003A3374">
              <w:fldChar w:fldCharType="end"/>
            </w:r>
            <w:bookmarkEnd w:id="53"/>
            <w:r w:rsidRPr="003A3374">
              <w:t xml:space="preserve">: </w:t>
            </w:r>
            <w:r w:rsidR="00F47C63" w:rsidRPr="003A3374">
              <w:t>Private label has not won much share, despite a weak consumer</w:t>
            </w:r>
          </w:p>
        </w:tc>
      </w:tr>
      <w:tr w:rsidR="00C17BE4" w:rsidRPr="003A3374" w14:paraId="5A6AEE76" w14:textId="77777777" w:rsidTr="00B158BC">
        <w:trPr>
          <w:cantSplit/>
        </w:trPr>
        <w:tc>
          <w:tcPr>
            <w:tcW w:w="7653" w:type="dxa"/>
            <w:tcBorders>
              <w:top w:val="single" w:sz="8" w:space="0" w:color="000000" w:themeColor="text1"/>
              <w:bottom w:val="single" w:sz="8" w:space="0" w:color="000000" w:themeColor="text1"/>
            </w:tcBorders>
          </w:tcPr>
          <w:p w14:paraId="00D0842A" w14:textId="24B82A84" w:rsidR="00C17BE4" w:rsidRPr="003A3374" w:rsidRDefault="00294FAA" w:rsidP="006D2966">
            <w:pPr>
              <w:pStyle w:val="Tableplaceholder"/>
            </w:pPr>
            <w:r w:rsidRPr="003A3374">
              <w:rPr>
                <w:noProof/>
              </w:rPr>
              <w:drawing>
                <wp:inline distT="0" distB="0" distL="0" distR="0" wp14:anchorId="4930A8BE" wp14:editId="1EF47EFB">
                  <wp:extent cx="4859655" cy="2155190"/>
                  <wp:effectExtent l="0" t="0" r="0" b="0"/>
                  <wp:docPr id="13731098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59655" cy="2155190"/>
                          </a:xfrm>
                          <a:prstGeom prst="rect">
                            <a:avLst/>
                          </a:prstGeom>
                          <a:noFill/>
                          <a:ln>
                            <a:noFill/>
                          </a:ln>
                        </pic:spPr>
                      </pic:pic>
                    </a:graphicData>
                  </a:graphic>
                </wp:inline>
              </w:drawing>
            </w:r>
          </w:p>
        </w:tc>
      </w:tr>
      <w:tr w:rsidR="00C17BE4" w:rsidRPr="003A3374" w14:paraId="0198662F" w14:textId="77777777" w:rsidTr="00B158BC">
        <w:trPr>
          <w:cantSplit/>
        </w:trPr>
        <w:tc>
          <w:tcPr>
            <w:tcW w:w="7653" w:type="dxa"/>
            <w:tcBorders>
              <w:top w:val="single" w:sz="8" w:space="0" w:color="000000" w:themeColor="text1"/>
            </w:tcBorders>
          </w:tcPr>
          <w:p w14:paraId="534B0F57" w14:textId="77777777" w:rsidR="00C17BE4" w:rsidRPr="003A3374" w:rsidRDefault="00C17BE4" w:rsidP="006D2966">
            <w:pPr>
              <w:pStyle w:val="TableSource"/>
            </w:pPr>
            <w:r w:rsidRPr="003A3374">
              <w:t>Source: Rothschild &amp; Co Redburn, Nielsen CGA, Circana, Kantar</w:t>
            </w:r>
          </w:p>
        </w:tc>
      </w:tr>
    </w:tbl>
    <w:p w14:paraId="290126C4" w14:textId="19F22FCA" w:rsidR="00BD531F" w:rsidRPr="003A3374" w:rsidRDefault="00A11D2E" w:rsidP="009B5BCF">
      <w:pPr>
        <w:pStyle w:val="Heading10"/>
      </w:pPr>
      <w:bookmarkStart w:id="54" w:name="_Toc214545130"/>
      <w:r w:rsidRPr="003A3374">
        <w:t>Market</w:t>
      </w:r>
      <w:r w:rsidR="00547736" w:rsidRPr="003A3374">
        <w:t xml:space="preserve"> visit</w:t>
      </w:r>
      <w:r w:rsidR="00BD531F" w:rsidRPr="003A3374">
        <w:t>: tour around Leeds</w:t>
      </w:r>
      <w:bookmarkEnd w:id="54"/>
    </w:p>
    <w:p w14:paraId="3745E163" w14:textId="77777777" w:rsidR="00FC645C" w:rsidRPr="003A3374" w:rsidRDefault="0012176A" w:rsidP="00FC645C">
      <w:pPr>
        <w:pStyle w:val="BodyText"/>
      </w:pPr>
      <w:r w:rsidRPr="003A3374">
        <w:t xml:space="preserve">One of the key elements </w:t>
      </w:r>
      <w:r w:rsidR="00FA0998" w:rsidRPr="003A3374">
        <w:t>behind</w:t>
      </w:r>
      <w:r w:rsidRPr="003A3374">
        <w:t xml:space="preserve"> the improved execution both at CCGB and across the wider CCEP is the </w:t>
      </w:r>
      <w:r w:rsidR="00FA0998" w:rsidRPr="003A3374">
        <w:t xml:space="preserve">increasing power of the company’s data and analytics tools. </w:t>
      </w:r>
      <w:r w:rsidR="00FC645C" w:rsidRPr="003A3374">
        <w:t xml:space="preserve">These were discussed in detail at CCEP’s 2025 Capital Markets Event in Manila, so we will not repeat here apart from the </w:t>
      </w:r>
      <w:r w:rsidRPr="003A3374">
        <w:t xml:space="preserve">Right Execution Daily (RED) </w:t>
      </w:r>
      <w:r w:rsidR="00FC645C" w:rsidRPr="003A3374">
        <w:t>One application.</w:t>
      </w:r>
    </w:p>
    <w:p w14:paraId="08B134BA" w14:textId="47F488B7" w:rsidR="0012176A" w:rsidRPr="003A3374" w:rsidRDefault="00FC645C" w:rsidP="00FC645C">
      <w:pPr>
        <w:pStyle w:val="BodyText"/>
      </w:pPr>
      <w:r w:rsidRPr="003A3374">
        <w:t>E</w:t>
      </w:r>
      <w:r w:rsidR="0012176A" w:rsidRPr="003A3374">
        <w:t xml:space="preserve">ach of </w:t>
      </w:r>
      <w:r w:rsidRPr="003A3374">
        <w:t xml:space="preserve">CCGB’s </w:t>
      </w:r>
      <w:r w:rsidR="0012176A" w:rsidRPr="003A3374">
        <w:t xml:space="preserve">c800 field sales team has an iPad with the RED One </w:t>
      </w:r>
      <w:r w:rsidRPr="003A3374">
        <w:t>app</w:t>
      </w:r>
      <w:r w:rsidR="0012176A" w:rsidRPr="003A3374">
        <w:t xml:space="preserve">. This is a proprietary app that improves in-store execution by providing </w:t>
      </w:r>
      <w:r w:rsidR="00F645BA" w:rsidRPr="003A3374">
        <w:t>the field sales team</w:t>
      </w:r>
      <w:r w:rsidR="0012176A" w:rsidRPr="003A3374">
        <w:t xml:space="preserve"> with store-level planograms and data and analytics tools to help review each store’s performance and suggest actions for improvement. The tool can also help to help optimise routes</w:t>
      </w:r>
      <w:r w:rsidR="008D3D27" w:rsidRPr="003A3374">
        <w:t>, maximising</w:t>
      </w:r>
      <w:r w:rsidR="0012176A" w:rsidRPr="003A3374">
        <w:t xml:space="preserve"> the field sales rep’s </w:t>
      </w:r>
      <w:r w:rsidR="008D3D27" w:rsidRPr="003A3374">
        <w:t xml:space="preserve">productive </w:t>
      </w:r>
      <w:r w:rsidR="0012176A" w:rsidRPr="003A3374">
        <w:t>time in store</w:t>
      </w:r>
      <w:r w:rsidR="008D3D27" w:rsidRPr="003A3374">
        <w:t xml:space="preserve"> and minimising the unproductive time travelling between stores</w:t>
      </w:r>
      <w:r w:rsidR="0012176A" w:rsidRPr="003A3374">
        <w:t xml:space="preserve">. </w:t>
      </w:r>
      <w:r w:rsidR="008D3D27" w:rsidRPr="003A3374">
        <w:t xml:space="preserve">It is an incredibly powerful tool and has helped CCEP to strengthen its relationships with customers, both through selling more soft drinks but also through selling more of the customer’s products – for example, RED One often suggests initiatives such as placing Coca-Cola products adjacent to a retailer’s food products, which leads to greater sales of both products. </w:t>
      </w:r>
    </w:p>
    <w:p w14:paraId="4606A9E9" w14:textId="5547A7D0" w:rsidR="0012176A" w:rsidRPr="003A3374" w:rsidRDefault="0012176A" w:rsidP="0012176A">
      <w:pPr>
        <w:pStyle w:val="BodyText"/>
      </w:pPr>
      <w:r w:rsidRPr="003A3374">
        <w:lastRenderedPageBreak/>
        <w:t>The RED One application then scores each store out of 100 using a variety of metrics – the higher the REDScore, the better the overall execution. This introduces a gamification aspect to the field sales role,</w:t>
      </w:r>
      <w:r w:rsidR="0066505E" w:rsidRPr="003A3374">
        <w:t xml:space="preserve"> making the job more engaging (important for talent retention)</w:t>
      </w:r>
      <w:r w:rsidRPr="003A3374">
        <w:t xml:space="preserve"> with improvements to the REDScore tied to incentives.</w:t>
      </w:r>
    </w:p>
    <w:p w14:paraId="342794DA" w14:textId="7E42F7F0" w:rsidR="00B158BC" w:rsidRPr="003A3374" w:rsidRDefault="00BD531F" w:rsidP="009B5BCF">
      <w:pPr>
        <w:pStyle w:val="Heading20"/>
      </w:pPr>
      <w:bookmarkStart w:id="55" w:name="_Toc214545131"/>
      <w:r w:rsidRPr="003A3374">
        <w:t>Tesco</w:t>
      </w:r>
      <w:r w:rsidR="00187ABD" w:rsidRPr="003A3374">
        <w:t xml:space="preserve"> visit</w:t>
      </w:r>
      <w:bookmarkEnd w:id="55"/>
    </w:p>
    <w:p w14:paraId="7BD70A45" w14:textId="43996C76" w:rsidR="00BF577B" w:rsidRPr="003A3374" w:rsidRDefault="00214D1B" w:rsidP="00BF577B">
      <w:pPr>
        <w:pStyle w:val="BodyText"/>
      </w:pPr>
      <w:r w:rsidRPr="003A3374">
        <w:t>As discussed, Tesco is the largest UK grocer and</w:t>
      </w:r>
      <w:r w:rsidR="009E74D6" w:rsidRPr="003A3374">
        <w:t xml:space="preserve"> it is CCGB’s largest customer by volume.</w:t>
      </w:r>
      <w:r w:rsidRPr="003A3374">
        <w:t xml:space="preserve"> </w:t>
      </w:r>
      <w:r w:rsidR="009E74D6" w:rsidRPr="003A3374">
        <w:t>W</w:t>
      </w:r>
      <w:r w:rsidRPr="003A3374">
        <w:t>e visited a Tesco ‘Extra’ (one of Tesco’s large hyperstore formats) at the Seacroft Green Shopping Centre – the largest Tesco</w:t>
      </w:r>
      <w:r w:rsidR="005275A1" w:rsidRPr="003A3374">
        <w:t xml:space="preserve"> store by sales for CCGB</w:t>
      </w:r>
      <w:r w:rsidRPr="003A3374">
        <w:t xml:space="preserve"> in Yorkshire.</w:t>
      </w:r>
    </w:p>
    <w:p w14:paraId="3378A5BC" w14:textId="6C11F23E" w:rsidR="00214D1B" w:rsidRPr="003A3374" w:rsidRDefault="00BF577B" w:rsidP="00BF577B">
      <w:pPr>
        <w:pStyle w:val="BodyText"/>
      </w:pPr>
      <w:r w:rsidRPr="003A3374">
        <w:t>T</w:t>
      </w:r>
      <w:r w:rsidR="00214D1B" w:rsidRPr="003A3374">
        <w:t>his store had a REDScore of 92 out of 100</w:t>
      </w:r>
      <w:r w:rsidRPr="003A3374">
        <w:t xml:space="preserve"> i.e</w:t>
      </w:r>
      <w:r w:rsidR="005A2D42" w:rsidRPr="003A3374">
        <w:t>.</w:t>
      </w:r>
      <w:r w:rsidRPr="003A3374">
        <w:t xml:space="preserve"> very good, and it was easy to see why. </w:t>
      </w:r>
      <w:r w:rsidR="002A2E80" w:rsidRPr="003A3374">
        <w:t xml:space="preserve">Coca-Cola products had a very strong presence throughout the store and especially at the </w:t>
      </w:r>
      <w:r w:rsidR="00D24042" w:rsidRPr="003A3374">
        <w:t>end-of-</w:t>
      </w:r>
      <w:r w:rsidR="002A2E80" w:rsidRPr="003A3374">
        <w:t>aisle displays</w:t>
      </w:r>
      <w:r w:rsidR="00D24042" w:rsidRPr="003A3374">
        <w:t xml:space="preserve">; the </w:t>
      </w:r>
      <w:r w:rsidR="002A2E80" w:rsidRPr="003A3374">
        <w:t>‘prime real estate’ for brand building.</w:t>
      </w:r>
    </w:p>
    <w:p w14:paraId="3F4C4F39" w14:textId="6D880CC1" w:rsidR="00D775F3" w:rsidRPr="003A3374" w:rsidRDefault="001D230D" w:rsidP="00BF577B">
      <w:pPr>
        <w:pStyle w:val="BodyText"/>
      </w:pPr>
      <w:r w:rsidRPr="003A3374">
        <w:t>We saw numerous examples of both affordability and premiumisation initiatives – a barbell pricing strategy that CCEP has deployed in numerous markets to drive both volume and price/mix growth in a soft consumer environment.</w:t>
      </w:r>
    </w:p>
    <w:p w14:paraId="0B45B95A" w14:textId="485E489F" w:rsidR="006D27AD" w:rsidRPr="003A3374" w:rsidRDefault="00D775F3" w:rsidP="0063376D">
      <w:pPr>
        <w:pStyle w:val="BodyText"/>
      </w:pPr>
      <w:r w:rsidRPr="003A3374">
        <w:t xml:space="preserve">Using Coca-Cola Zero Sugar as an example, at the low end of the pricing ladder, consumers could purchase two </w:t>
      </w:r>
      <w:r w:rsidR="002C1EDD" w:rsidRPr="003A3374">
        <w:t>two-</w:t>
      </w:r>
      <w:r w:rsidRPr="003A3374">
        <w:t>litre PET bottles for £2.75 under a Tesco clubcard promotion, equivalent to 7p per 100ml. Slightly higher up the ladder</w:t>
      </w:r>
      <w:r w:rsidR="001D230D" w:rsidRPr="003A3374">
        <w:t>, the new 8+2 extra free multipack can format for Coca-Cola Zero Sugar was prevalent across the store and has been performing</w:t>
      </w:r>
      <w:r w:rsidR="006944F8" w:rsidRPr="003A3374">
        <w:t xml:space="preserve"> “very</w:t>
      </w:r>
      <w:r w:rsidR="001D230D" w:rsidRPr="003A3374">
        <w:t xml:space="preserve"> well</w:t>
      </w:r>
      <w:r w:rsidR="006944F8" w:rsidRPr="003A3374">
        <w:t>”</w:t>
      </w:r>
      <w:r w:rsidR="001D230D" w:rsidRPr="003A3374">
        <w:t xml:space="preserve"> for CCGB year-to-date (</w:t>
      </w:r>
      <w:r w:rsidR="00761E1E" w:rsidRPr="003A3374">
        <w:t>Fig </w:t>
      </w:r>
      <w:r w:rsidR="00761E1E" w:rsidRPr="003A3374">
        <w:fldChar w:fldCharType="begin"/>
      </w:r>
      <w:r w:rsidR="00761E1E" w:rsidRPr="003A3374">
        <w:instrText xml:space="preserve"> REF LINK_093536 \h </w:instrText>
      </w:r>
      <w:r w:rsidR="00761E1E" w:rsidRPr="003A3374">
        <w:fldChar w:fldCharType="separate"/>
      </w:r>
      <w:r w:rsidR="006A4635" w:rsidRPr="003A3374">
        <w:rPr>
          <w:noProof/>
        </w:rPr>
        <w:t>27</w:t>
      </w:r>
      <w:r w:rsidR="00761E1E" w:rsidRPr="003A3374">
        <w:fldChar w:fldCharType="end"/>
      </w:r>
      <w:r w:rsidR="001D230D" w:rsidRPr="003A3374">
        <w:t>).</w:t>
      </w:r>
      <w:r w:rsidR="00506461" w:rsidRPr="003A3374">
        <w:t xml:space="preserve"> T</w:t>
      </w:r>
      <w:r w:rsidR="001D230D" w:rsidRPr="003A3374">
        <w:t>his format is also sold under a clubcard promotion for £3.50 (11p per 100ml) to further improve affordability.</w:t>
      </w:r>
    </w:p>
    <w:p w14:paraId="07DD07D6" w14:textId="27F35E94" w:rsidR="00FB3FD8" w:rsidRPr="003A3374" w:rsidRDefault="00761E1E" w:rsidP="00111744">
      <w:pPr>
        <w:pStyle w:val="BodyText"/>
      </w:pPr>
      <w:r w:rsidRPr="003A3374">
        <w:t>At</w:t>
      </w:r>
      <w:r w:rsidR="0063376D" w:rsidRPr="003A3374">
        <w:t xml:space="preserve"> the top of the ladder</w:t>
      </w:r>
      <w:r w:rsidR="001D230D" w:rsidRPr="003A3374">
        <w:t>, premium ‘mini cans’ of Coca-Cola Zero Sugar were placed at the end of the spirits aisle</w:t>
      </w:r>
      <w:r w:rsidR="006D27AD" w:rsidRPr="003A3374">
        <w:t xml:space="preserve"> and</w:t>
      </w:r>
      <w:r w:rsidR="001D230D" w:rsidRPr="003A3374">
        <w:t xml:space="preserve"> priced at £6</w:t>
      </w:r>
      <w:r w:rsidR="00B44793" w:rsidRPr="003A3374">
        <w:t xml:space="preserve"> (</w:t>
      </w:r>
      <w:r w:rsidR="001D230D" w:rsidRPr="003A3374">
        <w:t>33p per 100ml</w:t>
      </w:r>
      <w:r w:rsidR="00B44793" w:rsidRPr="003A3374">
        <w:t>) to complement various whisky products</w:t>
      </w:r>
      <w:r w:rsidR="001D230D" w:rsidRPr="003A3374">
        <w:t xml:space="preserve"> (</w:t>
      </w:r>
      <w:r w:rsidRPr="003A3374">
        <w:t>Fig </w:t>
      </w:r>
      <w:r w:rsidRPr="003A3374">
        <w:fldChar w:fldCharType="begin"/>
      </w:r>
      <w:r w:rsidRPr="003A3374">
        <w:instrText xml:space="preserve"> REF LINK_006218 \h </w:instrText>
      </w:r>
      <w:r w:rsidRPr="003A3374">
        <w:fldChar w:fldCharType="separate"/>
      </w:r>
      <w:r w:rsidR="006A4635" w:rsidRPr="003A3374">
        <w:rPr>
          <w:noProof/>
        </w:rPr>
        <w:t>28</w:t>
      </w:r>
      <w:r w:rsidRPr="003A3374">
        <w:fldChar w:fldCharType="end"/>
      </w:r>
      <w:r w:rsidR="001D230D" w:rsidRPr="003A3374">
        <w:t>).</w:t>
      </w:r>
      <w:r w:rsidR="0097647E" w:rsidRPr="003A3374">
        <w:t xml:space="preserve"> </w:t>
      </w:r>
      <w:r w:rsidR="00111744" w:rsidRPr="003A3374">
        <w:t xml:space="preserve">The </w:t>
      </w:r>
      <w:r w:rsidR="00114B78" w:rsidRPr="003A3374">
        <w:t xml:space="preserve">premium priced </w:t>
      </w:r>
      <w:r w:rsidR="00111744" w:rsidRPr="003A3374">
        <w:t>Jack Daniels and Coke alcoholic ready-to-drink (ARTD) format was also present</w:t>
      </w:r>
      <w:r w:rsidR="00D450D0" w:rsidRPr="003A3374">
        <w:t xml:space="preserve"> (48p per 100ml on clubcard promotion)</w:t>
      </w:r>
      <w:r w:rsidR="00111744" w:rsidRPr="003A3374">
        <w:t xml:space="preserve"> to offer a more convenient pack format and a lower absolute </w:t>
      </w:r>
      <w:r w:rsidR="00D450D0" w:rsidRPr="003A3374">
        <w:t xml:space="preserve">all-in </w:t>
      </w:r>
      <w:r w:rsidR="00111744" w:rsidRPr="003A3374">
        <w:t>cost</w:t>
      </w:r>
      <w:r w:rsidR="00025BB5" w:rsidRPr="003A3374">
        <w:t xml:space="preserve"> </w:t>
      </w:r>
      <w:r w:rsidR="00111744" w:rsidRPr="003A3374">
        <w:t>compared to buying both a bottle of whisk</w:t>
      </w:r>
      <w:r w:rsidR="009073F3" w:rsidRPr="003A3374">
        <w:t>e</w:t>
      </w:r>
      <w:r w:rsidR="00111744" w:rsidRPr="003A3374">
        <w:t>y and a pack of mini cans.</w:t>
      </w:r>
    </w:p>
    <w:tbl>
      <w:tblPr>
        <w:tblStyle w:val="TableGrid"/>
        <w:tblW w:w="9637" w:type="dxa"/>
        <w:tblLayout w:type="fixed"/>
        <w:tblCellMar>
          <w:left w:w="0" w:type="dxa"/>
          <w:right w:w="0" w:type="dxa"/>
        </w:tblCellMar>
        <w:tblLook w:val="04A0" w:firstRow="1" w:lastRow="0" w:firstColumn="1" w:lastColumn="0" w:noHBand="0" w:noVBand="1"/>
      </w:tblPr>
      <w:tblGrid>
        <w:gridCol w:w="4705"/>
        <w:gridCol w:w="227"/>
        <w:gridCol w:w="4705"/>
      </w:tblGrid>
      <w:tr w:rsidR="00F82AE1" w:rsidRPr="003A3374" w14:paraId="20844792" w14:textId="77777777" w:rsidTr="0097647E">
        <w:trPr>
          <w:cantSplit/>
          <w:tblHeader/>
        </w:trPr>
        <w:tc>
          <w:tcPr>
            <w:tcW w:w="4706" w:type="dxa"/>
            <w:tcBorders>
              <w:bottom w:val="single" w:sz="8" w:space="0" w:color="000000" w:themeColor="text1"/>
            </w:tcBorders>
            <w:vAlign w:val="bottom"/>
          </w:tcPr>
          <w:p w14:paraId="420A1655" w14:textId="29F76592" w:rsidR="00F82AE1" w:rsidRPr="003A3374" w:rsidRDefault="00F82AE1" w:rsidP="0097647E">
            <w:pPr>
              <w:pStyle w:val="TableTitle"/>
            </w:pPr>
            <w:bookmarkStart w:id="56" w:name="PH_2_8_1_077357"/>
            <w:r w:rsidRPr="003A3374">
              <w:t xml:space="preserve">Fig </w:t>
            </w:r>
            <w:bookmarkStart w:id="57" w:name="LINK_093536"/>
            <w:r w:rsidRPr="003A3374">
              <w:fldChar w:fldCharType="begin"/>
            </w:r>
            <w:r w:rsidRPr="003A3374">
              <w:instrText xml:space="preserve"> SEQ Fig </w:instrText>
            </w:r>
            <w:r w:rsidRPr="003A3374">
              <w:fldChar w:fldCharType="separate"/>
            </w:r>
            <w:r w:rsidR="006A4635" w:rsidRPr="003A3374">
              <w:rPr>
                <w:noProof/>
              </w:rPr>
              <w:t>27</w:t>
            </w:r>
            <w:r w:rsidRPr="003A3374">
              <w:fldChar w:fldCharType="end"/>
            </w:r>
            <w:bookmarkEnd w:id="57"/>
            <w:r w:rsidRPr="003A3374">
              <w:t xml:space="preserve">: </w:t>
            </w:r>
            <w:r w:rsidR="00A7036E" w:rsidRPr="003A3374">
              <w:t xml:space="preserve">Highlighting the extra value on the pack </w:t>
            </w:r>
          </w:p>
        </w:tc>
        <w:tc>
          <w:tcPr>
            <w:tcW w:w="227" w:type="dxa"/>
            <w:vAlign w:val="bottom"/>
          </w:tcPr>
          <w:p w14:paraId="18079E29" w14:textId="77777777" w:rsidR="00F82AE1" w:rsidRPr="003A3374" w:rsidRDefault="00F82AE1" w:rsidP="0097647E">
            <w:pPr>
              <w:pStyle w:val="Normal0"/>
            </w:pPr>
          </w:p>
        </w:tc>
        <w:tc>
          <w:tcPr>
            <w:tcW w:w="4706" w:type="dxa"/>
            <w:tcBorders>
              <w:bottom w:val="single" w:sz="8" w:space="0" w:color="000000" w:themeColor="text1"/>
            </w:tcBorders>
            <w:vAlign w:val="bottom"/>
          </w:tcPr>
          <w:p w14:paraId="774B5838" w14:textId="0DA9AE40" w:rsidR="00F82AE1" w:rsidRPr="003A3374" w:rsidRDefault="0097647E" w:rsidP="0097647E">
            <w:pPr>
              <w:pStyle w:val="TableTitle"/>
            </w:pPr>
            <w:r w:rsidRPr="003A3374">
              <w:t xml:space="preserve">Fig </w:t>
            </w:r>
            <w:bookmarkStart w:id="58" w:name="LINK_006218"/>
            <w:r w:rsidRPr="003A3374">
              <w:fldChar w:fldCharType="begin"/>
            </w:r>
            <w:r w:rsidRPr="003A3374">
              <w:instrText xml:space="preserve"> SEQ Fig </w:instrText>
            </w:r>
            <w:r w:rsidRPr="003A3374">
              <w:fldChar w:fldCharType="separate"/>
            </w:r>
            <w:r w:rsidR="006A4635" w:rsidRPr="003A3374">
              <w:rPr>
                <w:noProof/>
              </w:rPr>
              <w:t>28</w:t>
            </w:r>
            <w:r w:rsidRPr="003A3374">
              <w:fldChar w:fldCharType="end"/>
            </w:r>
            <w:bookmarkEnd w:id="58"/>
            <w:r w:rsidRPr="003A3374">
              <w:t xml:space="preserve">: </w:t>
            </w:r>
            <w:r w:rsidR="009073F3" w:rsidRPr="003A3374">
              <w:t>Whiskey Oscar Whiskey</w:t>
            </w:r>
          </w:p>
        </w:tc>
      </w:tr>
      <w:tr w:rsidR="00F82AE1" w:rsidRPr="003A3374" w14:paraId="2880F1E1" w14:textId="77777777" w:rsidTr="0097647E">
        <w:trPr>
          <w:cantSplit/>
        </w:trPr>
        <w:tc>
          <w:tcPr>
            <w:tcW w:w="4706" w:type="dxa"/>
            <w:tcBorders>
              <w:top w:val="single" w:sz="8" w:space="0" w:color="000000" w:themeColor="text1"/>
              <w:bottom w:val="single" w:sz="8" w:space="0" w:color="000000" w:themeColor="text1"/>
            </w:tcBorders>
          </w:tcPr>
          <w:p w14:paraId="0DBA5CD2" w14:textId="24E5B1C9" w:rsidR="00F82AE1" w:rsidRPr="003A3374" w:rsidRDefault="00F82AE1" w:rsidP="0097647E">
            <w:pPr>
              <w:pStyle w:val="Tableplaceholder"/>
            </w:pPr>
            <w:r w:rsidRPr="003A3374">
              <w:rPr>
                <w:noProof/>
              </w:rPr>
              <w:drawing>
                <wp:inline distT="0" distB="0" distL="0" distR="0" wp14:anchorId="74B2AFE3" wp14:editId="6ECDC6FC">
                  <wp:extent cx="2776205" cy="2160000"/>
                  <wp:effectExtent l="0" t="0" r="5715" b="0"/>
                  <wp:docPr id="13953854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b="41647"/>
                          <a:stretch>
                            <a:fillRect/>
                          </a:stretch>
                        </pic:blipFill>
                        <pic:spPr bwMode="auto">
                          <a:xfrm>
                            <a:off x="0" y="0"/>
                            <a:ext cx="2776205" cy="216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7" w:type="dxa"/>
          </w:tcPr>
          <w:p w14:paraId="4187A148" w14:textId="77777777" w:rsidR="00F82AE1" w:rsidRPr="003A3374" w:rsidRDefault="00F82AE1" w:rsidP="0097647E">
            <w:pPr>
              <w:pStyle w:val="Normal0"/>
            </w:pPr>
          </w:p>
        </w:tc>
        <w:tc>
          <w:tcPr>
            <w:tcW w:w="4706" w:type="dxa"/>
            <w:tcBorders>
              <w:top w:val="single" w:sz="8" w:space="0" w:color="000000" w:themeColor="text1"/>
              <w:bottom w:val="single" w:sz="8" w:space="0" w:color="000000" w:themeColor="text1"/>
            </w:tcBorders>
          </w:tcPr>
          <w:p w14:paraId="0B431B74" w14:textId="0B16E6F1" w:rsidR="00F82AE1" w:rsidRPr="003A3374" w:rsidRDefault="0097647E" w:rsidP="0097647E">
            <w:pPr>
              <w:pStyle w:val="Tableplaceholder"/>
            </w:pPr>
            <w:r w:rsidRPr="003A3374">
              <w:rPr>
                <w:noProof/>
              </w:rPr>
              <w:drawing>
                <wp:inline distT="0" distB="0" distL="0" distR="0" wp14:anchorId="08A650CB" wp14:editId="0424DDC7">
                  <wp:extent cx="2877037" cy="2160000"/>
                  <wp:effectExtent l="0" t="0" r="0" b="0"/>
                  <wp:docPr id="159723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30222" name=""/>
                          <pic:cNvPicPr/>
                        </pic:nvPicPr>
                        <pic:blipFill rotWithShape="1">
                          <a:blip r:embed="rId54"/>
                          <a:srcRect l="10724" t="5512" b="5126"/>
                          <a:stretch>
                            <a:fillRect/>
                          </a:stretch>
                        </pic:blipFill>
                        <pic:spPr bwMode="auto">
                          <a:xfrm>
                            <a:off x="0" y="0"/>
                            <a:ext cx="2877037" cy="2160000"/>
                          </a:xfrm>
                          <a:prstGeom prst="rect">
                            <a:avLst/>
                          </a:prstGeom>
                          <a:ln>
                            <a:noFill/>
                          </a:ln>
                          <a:extLst>
                            <a:ext uri="{53640926-AAD7-44D8-BBD7-CCE9431645EC}">
                              <a14:shadowObscured xmlns:a14="http://schemas.microsoft.com/office/drawing/2010/main"/>
                            </a:ext>
                          </a:extLst>
                        </pic:spPr>
                      </pic:pic>
                    </a:graphicData>
                  </a:graphic>
                </wp:inline>
              </w:drawing>
            </w:r>
          </w:p>
        </w:tc>
      </w:tr>
      <w:tr w:rsidR="00F82AE1" w:rsidRPr="003A3374" w14:paraId="55852DBE" w14:textId="77777777" w:rsidTr="0097647E">
        <w:trPr>
          <w:cantSplit/>
        </w:trPr>
        <w:tc>
          <w:tcPr>
            <w:tcW w:w="4706" w:type="dxa"/>
            <w:tcBorders>
              <w:top w:val="single" w:sz="8" w:space="0" w:color="000000" w:themeColor="text1"/>
            </w:tcBorders>
          </w:tcPr>
          <w:p w14:paraId="75CC1C2D" w14:textId="45C644D8" w:rsidR="00F82AE1" w:rsidRPr="003A3374" w:rsidRDefault="00F82AE1" w:rsidP="0097647E">
            <w:pPr>
              <w:pStyle w:val="TableSource"/>
            </w:pPr>
            <w:r w:rsidRPr="003A3374">
              <w:t>Source: Rothschild &amp; Co Redburn</w:t>
            </w:r>
          </w:p>
        </w:tc>
        <w:tc>
          <w:tcPr>
            <w:tcW w:w="227" w:type="dxa"/>
          </w:tcPr>
          <w:p w14:paraId="3261E994" w14:textId="77777777" w:rsidR="00F82AE1" w:rsidRPr="003A3374" w:rsidRDefault="00F82AE1" w:rsidP="0097647E">
            <w:pPr>
              <w:pStyle w:val="Normal0"/>
            </w:pPr>
          </w:p>
        </w:tc>
        <w:tc>
          <w:tcPr>
            <w:tcW w:w="4706" w:type="dxa"/>
            <w:tcBorders>
              <w:top w:val="single" w:sz="8" w:space="0" w:color="000000" w:themeColor="text1"/>
            </w:tcBorders>
          </w:tcPr>
          <w:p w14:paraId="714A96B9" w14:textId="688B062C" w:rsidR="00F82AE1" w:rsidRPr="003A3374" w:rsidRDefault="0097647E" w:rsidP="0097647E">
            <w:pPr>
              <w:pStyle w:val="TableSource"/>
            </w:pPr>
            <w:r w:rsidRPr="003A3374">
              <w:t>Source: Rothschild &amp; Co Redburn</w:t>
            </w:r>
          </w:p>
        </w:tc>
      </w:tr>
      <w:bookmarkEnd w:id="56"/>
    </w:tbl>
    <w:p w14:paraId="7138B9A6" w14:textId="77777777" w:rsidR="00F82AE1" w:rsidRPr="003A3374" w:rsidRDefault="00F82AE1" w:rsidP="00E667A7">
      <w:pPr>
        <w:pStyle w:val="Tablespaceafter"/>
      </w:pPr>
    </w:p>
    <w:p w14:paraId="3578A0B8" w14:textId="672F48C7" w:rsidR="00485589" w:rsidRPr="003A3374" w:rsidRDefault="007965D3" w:rsidP="005A7123">
      <w:pPr>
        <w:pStyle w:val="BodyText"/>
      </w:pPr>
      <w:r w:rsidRPr="003A3374">
        <w:lastRenderedPageBreak/>
        <w:t xml:space="preserve">CCGB has a 58% share of the shelf space across all the coolers within this Tesco store and the visit </w:t>
      </w:r>
      <w:r w:rsidR="00F616D1" w:rsidRPr="003A3374">
        <w:t>showcased the</w:t>
      </w:r>
      <w:r w:rsidR="003E3E13" w:rsidRPr="003A3374">
        <w:t xml:space="preserve"> proprietary</w:t>
      </w:r>
      <w:r w:rsidR="00F616D1" w:rsidRPr="003A3374">
        <w:t xml:space="preserve"> cooler tool </w:t>
      </w:r>
      <w:r w:rsidRPr="003A3374">
        <w:t xml:space="preserve">that helps the field sales team to </w:t>
      </w:r>
      <w:r w:rsidR="003E3E13" w:rsidRPr="003A3374">
        <w:t>optimise the assortment and availability in each cooler (</w:t>
      </w:r>
      <w:r w:rsidR="005A7123" w:rsidRPr="003A3374">
        <w:t>Fig </w:t>
      </w:r>
      <w:r w:rsidR="005A7123" w:rsidRPr="003A3374">
        <w:fldChar w:fldCharType="begin"/>
      </w:r>
      <w:r w:rsidR="005A7123" w:rsidRPr="003A3374">
        <w:instrText xml:space="preserve"> REF LINK_095250 \h </w:instrText>
      </w:r>
      <w:r w:rsidR="005A7123" w:rsidRPr="003A3374">
        <w:fldChar w:fldCharType="separate"/>
      </w:r>
      <w:r w:rsidR="006A4635" w:rsidRPr="003A3374">
        <w:rPr>
          <w:noProof/>
        </w:rPr>
        <w:t>29</w:t>
      </w:r>
      <w:r w:rsidR="005A7123" w:rsidRPr="003A3374">
        <w:fldChar w:fldCharType="end"/>
      </w:r>
      <w:r w:rsidR="003E3E13" w:rsidRPr="003A3374">
        <w:t>). This ultimately helps to drive faster sales growth of the higher margin</w:t>
      </w:r>
      <w:r w:rsidR="00AE7161" w:rsidRPr="003A3374">
        <w:t>,</w:t>
      </w:r>
      <w:r w:rsidR="003E3E13" w:rsidRPr="003A3374">
        <w:t xml:space="preserve"> single-serve packs.</w:t>
      </w:r>
      <w:r w:rsidR="005A7123" w:rsidRPr="003A3374">
        <w:t xml:space="preserve"> </w:t>
      </w:r>
      <w:r w:rsidR="003E3E13" w:rsidRPr="003A3374">
        <w:t>We also saw a new multi-</w:t>
      </w:r>
      <w:r w:rsidR="005433DF" w:rsidRPr="003A3374">
        <w:t>can variety-</w:t>
      </w:r>
      <w:r w:rsidR="003E3E13" w:rsidRPr="003A3374">
        <w:t>pack format for</w:t>
      </w:r>
      <w:r w:rsidR="00635A03" w:rsidRPr="003A3374">
        <w:t xml:space="preserve"> the sugar-free</w:t>
      </w:r>
      <w:r w:rsidR="003E3E13" w:rsidRPr="003A3374">
        <w:t xml:space="preserve"> Monster </w:t>
      </w:r>
      <w:r w:rsidR="00635A03" w:rsidRPr="003A3374">
        <w:t>Ultra</w:t>
      </w:r>
      <w:r w:rsidR="003E3E13" w:rsidRPr="003A3374">
        <w:t xml:space="preserve">, which is currently a Tesco-exclusive format, but could be expanded </w:t>
      </w:r>
      <w:r w:rsidR="005A7123" w:rsidRPr="003A3374">
        <w:t>with</w:t>
      </w:r>
      <w:r w:rsidR="003E3E13" w:rsidRPr="003A3374">
        <w:t xml:space="preserve"> other customers </w:t>
      </w:r>
      <w:r w:rsidR="00635A03" w:rsidRPr="003A3374">
        <w:t>from</w:t>
      </w:r>
      <w:r w:rsidR="003E3E13" w:rsidRPr="003A3374">
        <w:t xml:space="preserve"> 2026 (</w:t>
      </w:r>
      <w:r w:rsidR="005A7123" w:rsidRPr="003A3374">
        <w:t>Fig </w:t>
      </w:r>
      <w:r w:rsidR="005A7123" w:rsidRPr="003A3374">
        <w:fldChar w:fldCharType="begin"/>
      </w:r>
      <w:r w:rsidR="005A7123" w:rsidRPr="003A3374">
        <w:instrText xml:space="preserve"> REF LINK_056209 \h </w:instrText>
      </w:r>
      <w:r w:rsidR="005A7123" w:rsidRPr="003A3374">
        <w:fldChar w:fldCharType="separate"/>
      </w:r>
      <w:r w:rsidR="006A4635" w:rsidRPr="003A3374">
        <w:rPr>
          <w:noProof/>
        </w:rPr>
        <w:t>30</w:t>
      </w:r>
      <w:r w:rsidR="005A7123" w:rsidRPr="003A3374">
        <w:fldChar w:fldCharType="end"/>
      </w:r>
      <w:r w:rsidR="003E3E13" w:rsidRPr="003A3374">
        <w:t>).</w:t>
      </w:r>
    </w:p>
    <w:tbl>
      <w:tblPr>
        <w:tblStyle w:val="TableGrid"/>
        <w:tblW w:w="9637" w:type="dxa"/>
        <w:tblLayout w:type="fixed"/>
        <w:tblCellMar>
          <w:left w:w="0" w:type="dxa"/>
          <w:right w:w="0" w:type="dxa"/>
        </w:tblCellMar>
        <w:tblLook w:val="04A0" w:firstRow="1" w:lastRow="0" w:firstColumn="1" w:lastColumn="0" w:noHBand="0" w:noVBand="1"/>
      </w:tblPr>
      <w:tblGrid>
        <w:gridCol w:w="4705"/>
        <w:gridCol w:w="227"/>
        <w:gridCol w:w="4705"/>
      </w:tblGrid>
      <w:tr w:rsidR="00BB32FF" w:rsidRPr="003A3374" w14:paraId="5654BE83" w14:textId="77777777" w:rsidTr="00E84E5E">
        <w:trPr>
          <w:cantSplit/>
          <w:tblHeader/>
        </w:trPr>
        <w:tc>
          <w:tcPr>
            <w:tcW w:w="4705" w:type="dxa"/>
            <w:tcBorders>
              <w:bottom w:val="single" w:sz="8" w:space="0" w:color="000000" w:themeColor="text1"/>
            </w:tcBorders>
            <w:vAlign w:val="bottom"/>
          </w:tcPr>
          <w:p w14:paraId="6DD977DF" w14:textId="2D19F531" w:rsidR="00BB32FF" w:rsidRPr="003A3374" w:rsidRDefault="00BB32FF" w:rsidP="00ED6730">
            <w:pPr>
              <w:pStyle w:val="TableTitle"/>
            </w:pPr>
            <w:r w:rsidRPr="003A3374">
              <w:t xml:space="preserve">Fig </w:t>
            </w:r>
            <w:bookmarkStart w:id="59" w:name="LINK_095250"/>
            <w:r w:rsidRPr="003A3374">
              <w:fldChar w:fldCharType="begin"/>
            </w:r>
            <w:r w:rsidRPr="003A3374">
              <w:instrText xml:space="preserve"> SEQ Fig </w:instrText>
            </w:r>
            <w:r w:rsidRPr="003A3374">
              <w:fldChar w:fldCharType="separate"/>
            </w:r>
            <w:r w:rsidR="006A4635" w:rsidRPr="003A3374">
              <w:rPr>
                <w:noProof/>
              </w:rPr>
              <w:t>29</w:t>
            </w:r>
            <w:r w:rsidRPr="003A3374">
              <w:fldChar w:fldCharType="end"/>
            </w:r>
            <w:bookmarkEnd w:id="59"/>
            <w:r w:rsidRPr="003A3374">
              <w:t xml:space="preserve">: </w:t>
            </w:r>
            <w:r w:rsidR="00FE3A41" w:rsidRPr="003A3374">
              <w:t>Efficient coolers</w:t>
            </w:r>
          </w:p>
        </w:tc>
        <w:tc>
          <w:tcPr>
            <w:tcW w:w="227" w:type="dxa"/>
            <w:vAlign w:val="bottom"/>
          </w:tcPr>
          <w:p w14:paraId="4AD894AE" w14:textId="77777777" w:rsidR="00BB32FF" w:rsidRPr="003A3374" w:rsidRDefault="00BB32FF" w:rsidP="00ED6730">
            <w:pPr>
              <w:pStyle w:val="Normal0"/>
            </w:pPr>
          </w:p>
        </w:tc>
        <w:tc>
          <w:tcPr>
            <w:tcW w:w="4705" w:type="dxa"/>
            <w:tcBorders>
              <w:bottom w:val="single" w:sz="8" w:space="0" w:color="000000" w:themeColor="text1"/>
            </w:tcBorders>
            <w:vAlign w:val="bottom"/>
          </w:tcPr>
          <w:p w14:paraId="71CCBBFD" w14:textId="2E0DB5C9" w:rsidR="00BB32FF" w:rsidRPr="003A3374" w:rsidRDefault="00BB32FF" w:rsidP="00ED6730">
            <w:pPr>
              <w:pStyle w:val="TableTitle"/>
            </w:pPr>
            <w:r w:rsidRPr="003A3374">
              <w:t xml:space="preserve">Fig </w:t>
            </w:r>
            <w:bookmarkStart w:id="60" w:name="LINK_056209"/>
            <w:r w:rsidRPr="003A3374">
              <w:fldChar w:fldCharType="begin"/>
            </w:r>
            <w:r w:rsidRPr="003A3374">
              <w:instrText xml:space="preserve"> SEQ Fig </w:instrText>
            </w:r>
            <w:r w:rsidRPr="003A3374">
              <w:fldChar w:fldCharType="separate"/>
            </w:r>
            <w:r w:rsidR="006A4635" w:rsidRPr="003A3374">
              <w:rPr>
                <w:noProof/>
              </w:rPr>
              <w:t>30</w:t>
            </w:r>
            <w:r w:rsidRPr="003A3374">
              <w:fldChar w:fldCharType="end"/>
            </w:r>
            <w:bookmarkEnd w:id="60"/>
            <w:r w:rsidRPr="003A3374">
              <w:t xml:space="preserve">: </w:t>
            </w:r>
            <w:r w:rsidR="00FE3A41" w:rsidRPr="003A3374">
              <w:t>Variety is the spice of life</w:t>
            </w:r>
          </w:p>
        </w:tc>
      </w:tr>
      <w:tr w:rsidR="00BB32FF" w:rsidRPr="003A3374" w14:paraId="78099261" w14:textId="77777777" w:rsidTr="00E84E5E">
        <w:trPr>
          <w:cantSplit/>
        </w:trPr>
        <w:tc>
          <w:tcPr>
            <w:tcW w:w="4705" w:type="dxa"/>
            <w:tcBorders>
              <w:top w:val="single" w:sz="8" w:space="0" w:color="000000" w:themeColor="text1"/>
              <w:bottom w:val="single" w:sz="8" w:space="0" w:color="000000" w:themeColor="text1"/>
            </w:tcBorders>
          </w:tcPr>
          <w:p w14:paraId="0C1D8D1F" w14:textId="24403A66" w:rsidR="00BB32FF" w:rsidRPr="003A3374" w:rsidRDefault="00D6119F" w:rsidP="00ED6730">
            <w:pPr>
              <w:pStyle w:val="Tableplaceholder"/>
            </w:pPr>
            <w:r w:rsidRPr="003A3374">
              <w:rPr>
                <w:noProof/>
              </w:rPr>
              <w:drawing>
                <wp:inline distT="0" distB="0" distL="0" distR="0" wp14:anchorId="4F0D0F81" wp14:editId="1600D387">
                  <wp:extent cx="1620086" cy="2160000"/>
                  <wp:effectExtent l="0" t="0" r="0" b="0"/>
                  <wp:docPr id="147998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83661" name=""/>
                          <pic:cNvPicPr/>
                        </pic:nvPicPr>
                        <pic:blipFill>
                          <a:blip r:embed="rId55"/>
                          <a:stretch>
                            <a:fillRect/>
                          </a:stretch>
                        </pic:blipFill>
                        <pic:spPr>
                          <a:xfrm>
                            <a:off x="0" y="0"/>
                            <a:ext cx="1620086" cy="2160000"/>
                          </a:xfrm>
                          <a:prstGeom prst="rect">
                            <a:avLst/>
                          </a:prstGeom>
                        </pic:spPr>
                      </pic:pic>
                    </a:graphicData>
                  </a:graphic>
                </wp:inline>
              </w:drawing>
            </w:r>
          </w:p>
        </w:tc>
        <w:tc>
          <w:tcPr>
            <w:tcW w:w="227" w:type="dxa"/>
          </w:tcPr>
          <w:p w14:paraId="64BB9675" w14:textId="77777777" w:rsidR="00BB32FF" w:rsidRPr="003A3374" w:rsidRDefault="00BB32FF" w:rsidP="00ED6730">
            <w:pPr>
              <w:pStyle w:val="Normal0"/>
            </w:pPr>
          </w:p>
        </w:tc>
        <w:tc>
          <w:tcPr>
            <w:tcW w:w="4705" w:type="dxa"/>
            <w:tcBorders>
              <w:top w:val="single" w:sz="8" w:space="0" w:color="000000" w:themeColor="text1"/>
              <w:bottom w:val="single" w:sz="8" w:space="0" w:color="000000" w:themeColor="text1"/>
            </w:tcBorders>
          </w:tcPr>
          <w:p w14:paraId="0B87E930" w14:textId="5EE0DF43" w:rsidR="00BB32FF" w:rsidRPr="003A3374" w:rsidRDefault="00D6119F" w:rsidP="00ED6730">
            <w:pPr>
              <w:pStyle w:val="Tableplaceholder"/>
            </w:pPr>
            <w:r w:rsidRPr="003A3374">
              <w:rPr>
                <w:noProof/>
              </w:rPr>
              <w:drawing>
                <wp:inline distT="0" distB="0" distL="0" distR="0" wp14:anchorId="73E1F5A3" wp14:editId="05D8F222">
                  <wp:extent cx="1964816" cy="2160000"/>
                  <wp:effectExtent l="0" t="0" r="0" b="0"/>
                  <wp:docPr id="19954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3153" name=""/>
                          <pic:cNvPicPr/>
                        </pic:nvPicPr>
                        <pic:blipFill rotWithShape="1">
                          <a:blip r:embed="rId56"/>
                          <a:srcRect l="1" t="15850" r="2793" b="3997"/>
                          <a:stretch>
                            <a:fillRect/>
                          </a:stretch>
                        </pic:blipFill>
                        <pic:spPr bwMode="auto">
                          <a:xfrm>
                            <a:off x="0" y="0"/>
                            <a:ext cx="1964816" cy="2160000"/>
                          </a:xfrm>
                          <a:prstGeom prst="rect">
                            <a:avLst/>
                          </a:prstGeom>
                          <a:ln>
                            <a:noFill/>
                          </a:ln>
                          <a:extLst>
                            <a:ext uri="{53640926-AAD7-44D8-BBD7-CCE9431645EC}">
                              <a14:shadowObscured xmlns:a14="http://schemas.microsoft.com/office/drawing/2010/main"/>
                            </a:ext>
                          </a:extLst>
                        </pic:spPr>
                      </pic:pic>
                    </a:graphicData>
                  </a:graphic>
                </wp:inline>
              </w:drawing>
            </w:r>
          </w:p>
        </w:tc>
      </w:tr>
      <w:tr w:rsidR="00BB32FF" w:rsidRPr="003A3374" w14:paraId="74208752" w14:textId="77777777" w:rsidTr="00E84E5E">
        <w:trPr>
          <w:cantSplit/>
        </w:trPr>
        <w:tc>
          <w:tcPr>
            <w:tcW w:w="4705" w:type="dxa"/>
            <w:tcBorders>
              <w:top w:val="single" w:sz="8" w:space="0" w:color="000000" w:themeColor="text1"/>
            </w:tcBorders>
          </w:tcPr>
          <w:p w14:paraId="22417911" w14:textId="77777777" w:rsidR="00BB32FF" w:rsidRPr="003A3374" w:rsidRDefault="00BB32FF" w:rsidP="00ED6730">
            <w:pPr>
              <w:pStyle w:val="TableSource"/>
            </w:pPr>
            <w:r w:rsidRPr="003A3374">
              <w:t>Source: Rothschild &amp; Co Redburn</w:t>
            </w:r>
          </w:p>
        </w:tc>
        <w:tc>
          <w:tcPr>
            <w:tcW w:w="227" w:type="dxa"/>
          </w:tcPr>
          <w:p w14:paraId="44CE5552" w14:textId="77777777" w:rsidR="00BB32FF" w:rsidRPr="003A3374" w:rsidRDefault="00BB32FF" w:rsidP="00ED6730">
            <w:pPr>
              <w:pStyle w:val="Normal0"/>
            </w:pPr>
          </w:p>
        </w:tc>
        <w:tc>
          <w:tcPr>
            <w:tcW w:w="4705" w:type="dxa"/>
            <w:tcBorders>
              <w:top w:val="single" w:sz="8" w:space="0" w:color="000000" w:themeColor="text1"/>
            </w:tcBorders>
          </w:tcPr>
          <w:p w14:paraId="3AAC03F4" w14:textId="77777777" w:rsidR="00BB32FF" w:rsidRPr="003A3374" w:rsidRDefault="00BB32FF" w:rsidP="00ED6730">
            <w:pPr>
              <w:pStyle w:val="TableSource"/>
            </w:pPr>
            <w:r w:rsidRPr="003A3374">
              <w:t>Source: Rothschild &amp; Co Redburn</w:t>
            </w:r>
          </w:p>
        </w:tc>
      </w:tr>
    </w:tbl>
    <w:p w14:paraId="00D15A65" w14:textId="77E90292" w:rsidR="00E84E5E" w:rsidRPr="003A3374" w:rsidRDefault="00E84E5E" w:rsidP="00E16BAE">
      <w:pPr>
        <w:pStyle w:val="BodyText"/>
      </w:pPr>
      <w:r w:rsidRPr="003A3374">
        <w:t xml:space="preserve">Monster Energy has been hugely successful in Great Britain – now the second largest market for Monster Energy </w:t>
      </w:r>
      <w:r w:rsidR="00970FA7" w:rsidRPr="003A3374">
        <w:t>after</w:t>
      </w:r>
      <w:r w:rsidRPr="003A3374">
        <w:t xml:space="preserve"> the US – </w:t>
      </w:r>
      <w:r w:rsidR="00970FA7" w:rsidRPr="003A3374">
        <w:t xml:space="preserve">but </w:t>
      </w:r>
      <w:r w:rsidRPr="003A3374">
        <w:t xml:space="preserve">growth </w:t>
      </w:r>
      <w:r w:rsidR="00970FA7" w:rsidRPr="003A3374">
        <w:t xml:space="preserve">has historically been driven by </w:t>
      </w:r>
      <w:r w:rsidRPr="003A3374">
        <w:t xml:space="preserve">the convenience channel. </w:t>
      </w:r>
      <w:r w:rsidR="00E16BAE" w:rsidRPr="003A3374">
        <w:t>Expanding these multipack</w:t>
      </w:r>
      <w:r w:rsidR="00630D76" w:rsidRPr="003A3374">
        <w:t xml:space="preserve"> can formats</w:t>
      </w:r>
      <w:r w:rsidR="00E16BAE" w:rsidRPr="003A3374">
        <w:t xml:space="preserve"> in the grocery channel offers a more affordable price point (19p per 100ml</w:t>
      </w:r>
      <w:r w:rsidR="007D5763" w:rsidRPr="003A3374">
        <w:t xml:space="preserve"> on clubcard promotion</w:t>
      </w:r>
      <w:r w:rsidR="00E16BAE" w:rsidRPr="003A3374">
        <w:t xml:space="preserve">, </w:t>
      </w:r>
      <w:r w:rsidR="00AC0A45" w:rsidRPr="003A3374">
        <w:t xml:space="preserve">a c40% discount </w:t>
      </w:r>
      <w:r w:rsidR="00E16BAE" w:rsidRPr="003A3374">
        <w:t>compared to</w:t>
      </w:r>
      <w:r w:rsidR="00040E9E" w:rsidRPr="003A3374">
        <w:t xml:space="preserve"> the</w:t>
      </w:r>
      <w:r w:rsidR="00E16BAE" w:rsidRPr="003A3374">
        <w:t xml:space="preserve"> 33p per 100ml for a single can of Monster </w:t>
      </w:r>
      <w:r w:rsidR="00A91505" w:rsidRPr="003A3374">
        <w:t>Ultra</w:t>
      </w:r>
      <w:r w:rsidR="002D7D03" w:rsidRPr="003A3374">
        <w:t xml:space="preserve"> </w:t>
      </w:r>
      <w:r w:rsidR="00E16BAE" w:rsidRPr="003A3374">
        <w:t>in the convenience channel) to drive further volume growth for CCGB’s energy drinks portfolio, as well as continue</w:t>
      </w:r>
      <w:r w:rsidR="00A91505" w:rsidRPr="003A3374">
        <w:t>d</w:t>
      </w:r>
      <w:r w:rsidR="00E16BAE" w:rsidRPr="003A3374">
        <w:t xml:space="preserve"> value share </w:t>
      </w:r>
      <w:r w:rsidR="00A91505" w:rsidRPr="003A3374">
        <w:t xml:space="preserve">gains for Monster </w:t>
      </w:r>
      <w:r w:rsidR="00E16BAE" w:rsidRPr="003A3374">
        <w:t>– in</w:t>
      </w:r>
      <w:r w:rsidRPr="003A3374">
        <w:t xml:space="preserve"> Great Britain, Monster</w:t>
      </w:r>
      <w:r w:rsidR="00A91505" w:rsidRPr="003A3374">
        <w:t xml:space="preserve">’s </w:t>
      </w:r>
      <w:r w:rsidRPr="003A3374">
        <w:t>value share in Nielsen-tracked channels has tripled over the past decade to c35%</w:t>
      </w:r>
      <w:r w:rsidR="00A91505" w:rsidRPr="003A3374">
        <w:t xml:space="preserve"> as at 3Q25</w:t>
      </w:r>
      <w:r w:rsidRPr="003A3374">
        <w:t xml:space="preserve"> (Fig </w:t>
      </w:r>
      <w:r w:rsidRPr="003A3374">
        <w:fldChar w:fldCharType="begin"/>
      </w:r>
      <w:r w:rsidRPr="003A3374">
        <w:instrText xml:space="preserve"> REF LINK_084335 \h </w:instrText>
      </w:r>
      <w:r w:rsidRPr="003A3374">
        <w:fldChar w:fldCharType="separate"/>
      </w:r>
      <w:r w:rsidR="006A4635" w:rsidRPr="003A3374">
        <w:rPr>
          <w:noProof/>
        </w:rPr>
        <w:t>31</w:t>
      </w:r>
      <w:r w:rsidRPr="003A3374">
        <w:fldChar w:fldCharType="end"/>
      </w:r>
      <w:r w:rsidRPr="003A3374">
        <w:t>).</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E84E5E" w:rsidRPr="003A3374" w14:paraId="6F279268" w14:textId="77777777" w:rsidTr="00ED6730">
        <w:trPr>
          <w:cantSplit/>
          <w:tblHeader/>
        </w:trPr>
        <w:tc>
          <w:tcPr>
            <w:tcW w:w="7653" w:type="dxa"/>
            <w:tcBorders>
              <w:bottom w:val="single" w:sz="8" w:space="0" w:color="000000" w:themeColor="text1"/>
            </w:tcBorders>
            <w:vAlign w:val="bottom"/>
          </w:tcPr>
          <w:p w14:paraId="7A85840B" w14:textId="11DD7784" w:rsidR="00E84E5E" w:rsidRPr="003A3374" w:rsidRDefault="00E84E5E" w:rsidP="00ED6730">
            <w:pPr>
              <w:pStyle w:val="TableTitle"/>
            </w:pPr>
            <w:bookmarkStart w:id="61" w:name="PH_1_4_1_007188"/>
            <w:r w:rsidRPr="003A3374">
              <w:t xml:space="preserve">Fig </w:t>
            </w:r>
            <w:bookmarkStart w:id="62" w:name="LINK_084335"/>
            <w:r w:rsidRPr="003A3374">
              <w:fldChar w:fldCharType="begin"/>
            </w:r>
            <w:r w:rsidRPr="003A3374">
              <w:instrText xml:space="preserve"> SEQ Fig </w:instrText>
            </w:r>
            <w:r w:rsidRPr="003A3374">
              <w:fldChar w:fldCharType="separate"/>
            </w:r>
            <w:r w:rsidR="006A4635" w:rsidRPr="003A3374">
              <w:rPr>
                <w:noProof/>
              </w:rPr>
              <w:t>31</w:t>
            </w:r>
            <w:r w:rsidRPr="003A3374">
              <w:fldChar w:fldCharType="end"/>
            </w:r>
            <w:bookmarkEnd w:id="62"/>
            <w:r w:rsidRPr="003A3374">
              <w:t>: Bottom left to top right</w:t>
            </w:r>
          </w:p>
        </w:tc>
      </w:tr>
      <w:tr w:rsidR="00E84E5E" w:rsidRPr="003A3374" w14:paraId="18F3CD52" w14:textId="77777777" w:rsidTr="00ED6730">
        <w:trPr>
          <w:cantSplit/>
        </w:trPr>
        <w:tc>
          <w:tcPr>
            <w:tcW w:w="7653" w:type="dxa"/>
            <w:tcBorders>
              <w:top w:val="single" w:sz="8" w:space="0" w:color="000000" w:themeColor="text1"/>
              <w:bottom w:val="single" w:sz="8" w:space="0" w:color="000000" w:themeColor="text1"/>
            </w:tcBorders>
          </w:tcPr>
          <w:p w14:paraId="5C288143" w14:textId="77777777" w:rsidR="00E84E5E" w:rsidRPr="003A3374" w:rsidRDefault="00E84E5E" w:rsidP="00ED6730">
            <w:pPr>
              <w:pStyle w:val="Tableplaceholder"/>
            </w:pPr>
            <w:r w:rsidRPr="003A3374">
              <w:rPr>
                <w:noProof/>
              </w:rPr>
              <w:drawing>
                <wp:inline distT="0" distB="0" distL="0" distR="0" wp14:anchorId="5096D107" wp14:editId="44DDEB6F">
                  <wp:extent cx="4860290" cy="2157095"/>
                  <wp:effectExtent l="0" t="0" r="0" b="0"/>
                  <wp:docPr id="69628556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860290" cy="2157095"/>
                          </a:xfrm>
                          <a:prstGeom prst="rect">
                            <a:avLst/>
                          </a:prstGeom>
                          <a:noFill/>
                          <a:ln>
                            <a:noFill/>
                          </a:ln>
                        </pic:spPr>
                      </pic:pic>
                    </a:graphicData>
                  </a:graphic>
                </wp:inline>
              </w:drawing>
            </w:r>
          </w:p>
        </w:tc>
      </w:tr>
      <w:tr w:rsidR="00E84E5E" w:rsidRPr="003A3374" w14:paraId="32B73248" w14:textId="77777777" w:rsidTr="00ED6730">
        <w:trPr>
          <w:cantSplit/>
        </w:trPr>
        <w:tc>
          <w:tcPr>
            <w:tcW w:w="7653" w:type="dxa"/>
            <w:tcBorders>
              <w:top w:val="single" w:sz="8" w:space="0" w:color="000000" w:themeColor="text1"/>
            </w:tcBorders>
          </w:tcPr>
          <w:p w14:paraId="5C187E6E" w14:textId="77777777" w:rsidR="00E84E5E" w:rsidRPr="003A3374" w:rsidRDefault="00E84E5E" w:rsidP="00ED6730">
            <w:pPr>
              <w:pStyle w:val="TableSource"/>
            </w:pPr>
            <w:r w:rsidRPr="003A3374">
              <w:t>Source: Rothschild &amp; Co Redburn, NiQ</w:t>
            </w:r>
          </w:p>
        </w:tc>
      </w:tr>
    </w:tbl>
    <w:p w14:paraId="3910B259" w14:textId="68186C23" w:rsidR="00E84E5E" w:rsidRPr="003A3374" w:rsidRDefault="00CF1220" w:rsidP="009B5BCF">
      <w:pPr>
        <w:pStyle w:val="Heading20"/>
      </w:pPr>
      <w:bookmarkStart w:id="63" w:name="_Toc214545132"/>
      <w:bookmarkEnd w:id="61"/>
      <w:r w:rsidRPr="003A3374">
        <w:lastRenderedPageBreak/>
        <w:t>Bestway</w:t>
      </w:r>
      <w:r w:rsidR="00187ABD" w:rsidRPr="003A3374">
        <w:t xml:space="preserve"> visit</w:t>
      </w:r>
      <w:bookmarkEnd w:id="63"/>
    </w:p>
    <w:p w14:paraId="7665C9F7" w14:textId="2426240B" w:rsidR="00CF1220" w:rsidRPr="003A3374" w:rsidRDefault="00AE7161" w:rsidP="009E74D6">
      <w:pPr>
        <w:pStyle w:val="BodyText"/>
      </w:pPr>
      <w:r w:rsidRPr="003A3374">
        <w:t>The second stop on the site visit was</w:t>
      </w:r>
      <w:r w:rsidR="002A5561" w:rsidRPr="003A3374">
        <w:t xml:space="preserve"> a Bestway</w:t>
      </w:r>
      <w:r w:rsidRPr="003A3374">
        <w:t xml:space="preserve"> depot</w:t>
      </w:r>
      <w:r w:rsidR="0049779E" w:rsidRPr="003A3374">
        <w:t xml:space="preserve"> in Stourton</w:t>
      </w:r>
      <w:r w:rsidRPr="003A3374">
        <w:t xml:space="preserve"> that had a 90 REDScore. Bestway is the second largest wholesaler in the UK behind Booker (which is owned by Tesco)</w:t>
      </w:r>
      <w:r w:rsidR="00927D29" w:rsidRPr="003A3374">
        <w:t xml:space="preserve">. </w:t>
      </w:r>
      <w:r w:rsidR="0049779E" w:rsidRPr="003A3374">
        <w:t xml:space="preserve">CCGB sells its products to Bestway, which then sells on the products to </w:t>
      </w:r>
      <w:r w:rsidR="00BD158A" w:rsidRPr="003A3374">
        <w:t>end-</w:t>
      </w:r>
      <w:r w:rsidR="0049779E" w:rsidRPr="003A3374">
        <w:t>customers in the AFH channel, such as convenience store and restaurant owners.</w:t>
      </w:r>
    </w:p>
    <w:p w14:paraId="267B94A1" w14:textId="581E97D8" w:rsidR="00EE7F87" w:rsidRPr="003A3374" w:rsidRDefault="00277BB2" w:rsidP="009E74D6">
      <w:pPr>
        <w:pStyle w:val="BodyText"/>
      </w:pPr>
      <w:r w:rsidRPr="003A3374">
        <w:t xml:space="preserve">As such, Bestway is a classic no-frills cash-and-carry with large pallets of Coca-Cola products </w:t>
      </w:r>
      <w:r w:rsidR="00B30208" w:rsidRPr="003A3374">
        <w:t>that helps CCGB</w:t>
      </w:r>
      <w:r w:rsidR="006441AD" w:rsidRPr="003A3374">
        <w:t xml:space="preserve"> to</w:t>
      </w:r>
      <w:r w:rsidR="00B30208" w:rsidRPr="003A3374">
        <w:t xml:space="preserve"> reach the c178,000 independent customers across Great Britain (i.e. the smaller, more fragmented customer base that is not part of a national chain) </w:t>
      </w:r>
      <w:r w:rsidRPr="003A3374">
        <w:t>(</w:t>
      </w:r>
      <w:r w:rsidR="005B43C5" w:rsidRPr="003A3374">
        <w:t>Fig </w:t>
      </w:r>
      <w:r w:rsidR="005B43C5" w:rsidRPr="003A3374">
        <w:fldChar w:fldCharType="begin"/>
      </w:r>
      <w:r w:rsidR="005B43C5" w:rsidRPr="003A3374">
        <w:instrText xml:space="preserve"> REF LINK_002931 \h </w:instrText>
      </w:r>
      <w:r w:rsidR="005B43C5" w:rsidRPr="003A3374">
        <w:fldChar w:fldCharType="separate"/>
      </w:r>
      <w:r w:rsidR="006A4635" w:rsidRPr="003A3374">
        <w:rPr>
          <w:noProof/>
        </w:rPr>
        <w:t>32</w:t>
      </w:r>
      <w:r w:rsidR="005B43C5" w:rsidRPr="003A3374">
        <w:fldChar w:fldCharType="end"/>
      </w:r>
      <w:r w:rsidRPr="003A3374">
        <w:t>).</w:t>
      </w:r>
      <w:r w:rsidR="006E4CE9" w:rsidRPr="003A3374">
        <w:t xml:space="preserve"> </w:t>
      </w:r>
    </w:p>
    <w:p w14:paraId="07AF5EEE" w14:textId="4FA59E5C" w:rsidR="00BB32FF" w:rsidRPr="003A3374" w:rsidRDefault="006E4CE9" w:rsidP="00C80D02">
      <w:pPr>
        <w:pStyle w:val="BodyText"/>
      </w:pPr>
      <w:r w:rsidRPr="003A3374">
        <w:t xml:space="preserve">Many of the packs in Bestway were price-marked packs (PMPs) i.e. </w:t>
      </w:r>
      <w:r w:rsidR="005B43C5" w:rsidRPr="003A3374">
        <w:t>each</w:t>
      </w:r>
      <w:r w:rsidRPr="003A3374">
        <w:t xml:space="preserve"> 500ml PET bottle of Coca-Cola Zero Sugar </w:t>
      </w:r>
      <w:r w:rsidR="005B43C5" w:rsidRPr="003A3374">
        <w:t xml:space="preserve">in the pallet </w:t>
      </w:r>
      <w:r w:rsidR="00DD0B92" w:rsidRPr="003A3374">
        <w:t>would have</w:t>
      </w:r>
      <w:r w:rsidRPr="003A3374">
        <w:t xml:space="preserve"> “£1.40” printed on the side. This allows CCGB to maintain </w:t>
      </w:r>
      <w:r w:rsidR="005B43C5" w:rsidRPr="003A3374">
        <w:t>price point</w:t>
      </w:r>
      <w:r w:rsidRPr="003A3374">
        <w:t xml:space="preserve"> discipline across </w:t>
      </w:r>
      <w:r w:rsidR="00DD0B92" w:rsidRPr="003A3374">
        <w:t>the</w:t>
      </w:r>
      <w:r w:rsidRPr="003A3374">
        <w:t xml:space="preserve"> fragmented customer base, as well as launch targeted campaigns to </w:t>
      </w:r>
      <w:r w:rsidR="00DD0B92" w:rsidRPr="003A3374">
        <w:t>drive faster growth of</w:t>
      </w:r>
      <w:r w:rsidRPr="003A3374">
        <w:t xml:space="preserve"> certain pack formats. For example, ahead of Christmas there is a deal on the 500ml </w:t>
      </w:r>
      <w:r w:rsidR="00FA7AAD" w:rsidRPr="003A3374">
        <w:t xml:space="preserve">PET bottles </w:t>
      </w:r>
      <w:r w:rsidRPr="003A3374">
        <w:t>that will earn customers a 40.8% Profit on Return (POR) i.e. the gross margin for the customer (</w:t>
      </w:r>
      <w:r w:rsidR="006A4635" w:rsidRPr="003A3374">
        <w:t>Fig </w:t>
      </w:r>
      <w:r w:rsidR="006A4635" w:rsidRPr="003A3374">
        <w:fldChar w:fldCharType="begin"/>
      </w:r>
      <w:r w:rsidR="006A4635" w:rsidRPr="003A3374">
        <w:instrText xml:space="preserve"> REF LINK_094353 \h </w:instrText>
      </w:r>
      <w:r w:rsidR="006A4635" w:rsidRPr="003A3374">
        <w:fldChar w:fldCharType="separate"/>
      </w:r>
      <w:r w:rsidR="006A4635" w:rsidRPr="003A3374">
        <w:rPr>
          <w:noProof/>
        </w:rPr>
        <w:t>33</w:t>
      </w:r>
      <w:r w:rsidR="006A4635" w:rsidRPr="003A3374">
        <w:fldChar w:fldCharType="end"/>
      </w:r>
      <w:r w:rsidRPr="003A3374">
        <w:t>).</w:t>
      </w:r>
    </w:p>
    <w:tbl>
      <w:tblPr>
        <w:tblStyle w:val="TableGrid"/>
        <w:tblW w:w="9637" w:type="dxa"/>
        <w:tblLayout w:type="fixed"/>
        <w:tblCellMar>
          <w:left w:w="0" w:type="dxa"/>
          <w:right w:w="0" w:type="dxa"/>
        </w:tblCellMar>
        <w:tblLook w:val="04A0" w:firstRow="1" w:lastRow="0" w:firstColumn="1" w:lastColumn="0" w:noHBand="0" w:noVBand="1"/>
      </w:tblPr>
      <w:tblGrid>
        <w:gridCol w:w="4705"/>
        <w:gridCol w:w="227"/>
        <w:gridCol w:w="4705"/>
      </w:tblGrid>
      <w:tr w:rsidR="00A14960" w:rsidRPr="003A3374" w14:paraId="3D68535D" w14:textId="77777777" w:rsidTr="00ED6730">
        <w:trPr>
          <w:cantSplit/>
          <w:tblHeader/>
        </w:trPr>
        <w:tc>
          <w:tcPr>
            <w:tcW w:w="4705" w:type="dxa"/>
            <w:tcBorders>
              <w:bottom w:val="single" w:sz="8" w:space="0" w:color="000000" w:themeColor="text1"/>
            </w:tcBorders>
            <w:vAlign w:val="bottom"/>
          </w:tcPr>
          <w:p w14:paraId="3CE8DB46" w14:textId="2D320308" w:rsidR="00A14960" w:rsidRPr="003A3374" w:rsidRDefault="00A14960" w:rsidP="00ED6730">
            <w:pPr>
              <w:pStyle w:val="TableTitle"/>
            </w:pPr>
            <w:r w:rsidRPr="003A3374">
              <w:t xml:space="preserve">Fig </w:t>
            </w:r>
            <w:bookmarkStart w:id="64" w:name="LINK_002931"/>
            <w:r w:rsidRPr="003A3374">
              <w:fldChar w:fldCharType="begin"/>
            </w:r>
            <w:r w:rsidRPr="003A3374">
              <w:instrText xml:space="preserve"> SEQ Fig </w:instrText>
            </w:r>
            <w:r w:rsidRPr="003A3374">
              <w:fldChar w:fldCharType="separate"/>
            </w:r>
            <w:r w:rsidR="006A4635" w:rsidRPr="003A3374">
              <w:rPr>
                <w:noProof/>
              </w:rPr>
              <w:t>32</w:t>
            </w:r>
            <w:r w:rsidRPr="003A3374">
              <w:fldChar w:fldCharType="end"/>
            </w:r>
            <w:bookmarkEnd w:id="64"/>
            <w:r w:rsidRPr="003A3374">
              <w:t>: Preparing to pounce</w:t>
            </w:r>
          </w:p>
        </w:tc>
        <w:tc>
          <w:tcPr>
            <w:tcW w:w="227" w:type="dxa"/>
            <w:vAlign w:val="bottom"/>
          </w:tcPr>
          <w:p w14:paraId="4C30E55F" w14:textId="77777777" w:rsidR="00A14960" w:rsidRPr="003A3374" w:rsidRDefault="00A14960" w:rsidP="00ED6730">
            <w:pPr>
              <w:pStyle w:val="Normal0"/>
            </w:pPr>
          </w:p>
        </w:tc>
        <w:tc>
          <w:tcPr>
            <w:tcW w:w="4705" w:type="dxa"/>
            <w:tcBorders>
              <w:bottom w:val="single" w:sz="8" w:space="0" w:color="000000" w:themeColor="text1"/>
            </w:tcBorders>
            <w:vAlign w:val="bottom"/>
          </w:tcPr>
          <w:p w14:paraId="0ADC384B" w14:textId="21CF3E22" w:rsidR="00A14960" w:rsidRPr="003A3374" w:rsidRDefault="00A14960" w:rsidP="00ED6730">
            <w:pPr>
              <w:pStyle w:val="TableTitle"/>
            </w:pPr>
            <w:r w:rsidRPr="003A3374">
              <w:t xml:space="preserve">Fig </w:t>
            </w:r>
            <w:bookmarkStart w:id="65" w:name="LINK_094353"/>
            <w:r w:rsidRPr="003A3374">
              <w:fldChar w:fldCharType="begin"/>
            </w:r>
            <w:r w:rsidRPr="003A3374">
              <w:instrText xml:space="preserve"> SEQ Fig </w:instrText>
            </w:r>
            <w:r w:rsidRPr="003A3374">
              <w:fldChar w:fldCharType="separate"/>
            </w:r>
            <w:r w:rsidR="006A4635" w:rsidRPr="003A3374">
              <w:rPr>
                <w:noProof/>
              </w:rPr>
              <w:t>33</w:t>
            </w:r>
            <w:r w:rsidRPr="003A3374">
              <w:fldChar w:fldCharType="end"/>
            </w:r>
            <w:bookmarkEnd w:id="65"/>
            <w:r w:rsidRPr="003A3374">
              <w:t xml:space="preserve">: </w:t>
            </w:r>
            <w:r w:rsidR="00CE6A99" w:rsidRPr="003A3374">
              <w:t>P</w:t>
            </w:r>
            <w:r w:rsidR="00056D82" w:rsidRPr="003A3374">
              <w:t>rofitable for</w:t>
            </w:r>
            <w:r w:rsidR="00CE6A99" w:rsidRPr="003A3374">
              <w:t xml:space="preserve"> </w:t>
            </w:r>
            <w:r w:rsidR="00056D82" w:rsidRPr="003A3374">
              <w:t>customers</w:t>
            </w:r>
          </w:p>
        </w:tc>
      </w:tr>
      <w:tr w:rsidR="00A14960" w:rsidRPr="003A3374" w14:paraId="30919322" w14:textId="77777777" w:rsidTr="00ED6730">
        <w:trPr>
          <w:cantSplit/>
        </w:trPr>
        <w:tc>
          <w:tcPr>
            <w:tcW w:w="4705" w:type="dxa"/>
            <w:tcBorders>
              <w:top w:val="single" w:sz="8" w:space="0" w:color="000000" w:themeColor="text1"/>
              <w:bottom w:val="single" w:sz="8" w:space="0" w:color="000000" w:themeColor="text1"/>
            </w:tcBorders>
          </w:tcPr>
          <w:p w14:paraId="6652E083" w14:textId="7A9185D4" w:rsidR="00A14960" w:rsidRPr="003A3374" w:rsidRDefault="00A14960" w:rsidP="00ED6730">
            <w:pPr>
              <w:pStyle w:val="Tableplaceholder"/>
            </w:pPr>
            <w:r w:rsidRPr="003A3374">
              <w:rPr>
                <w:noProof/>
              </w:rPr>
              <w:drawing>
                <wp:inline distT="0" distB="0" distL="0" distR="0" wp14:anchorId="3BC8024A" wp14:editId="70634178">
                  <wp:extent cx="2417581" cy="2159635"/>
                  <wp:effectExtent l="0" t="0" r="1905" b="0"/>
                  <wp:docPr id="22741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13945" name=""/>
                          <pic:cNvPicPr/>
                        </pic:nvPicPr>
                        <pic:blipFill rotWithShape="1">
                          <a:blip r:embed="rId58"/>
                          <a:srcRect l="16036"/>
                          <a:stretch>
                            <a:fillRect/>
                          </a:stretch>
                        </pic:blipFill>
                        <pic:spPr bwMode="auto">
                          <a:xfrm>
                            <a:off x="0" y="0"/>
                            <a:ext cx="2417990" cy="2160000"/>
                          </a:xfrm>
                          <a:prstGeom prst="rect">
                            <a:avLst/>
                          </a:prstGeom>
                          <a:ln>
                            <a:noFill/>
                          </a:ln>
                          <a:extLst>
                            <a:ext uri="{53640926-AAD7-44D8-BBD7-CCE9431645EC}">
                              <a14:shadowObscured xmlns:a14="http://schemas.microsoft.com/office/drawing/2010/main"/>
                            </a:ext>
                          </a:extLst>
                        </pic:spPr>
                      </pic:pic>
                    </a:graphicData>
                  </a:graphic>
                </wp:inline>
              </w:drawing>
            </w:r>
          </w:p>
        </w:tc>
        <w:tc>
          <w:tcPr>
            <w:tcW w:w="227" w:type="dxa"/>
          </w:tcPr>
          <w:p w14:paraId="147BF79B" w14:textId="77777777" w:rsidR="00A14960" w:rsidRPr="003A3374" w:rsidRDefault="00A14960" w:rsidP="00ED6730">
            <w:pPr>
              <w:pStyle w:val="Normal0"/>
            </w:pPr>
          </w:p>
        </w:tc>
        <w:tc>
          <w:tcPr>
            <w:tcW w:w="4705" w:type="dxa"/>
            <w:tcBorders>
              <w:top w:val="single" w:sz="8" w:space="0" w:color="000000" w:themeColor="text1"/>
              <w:bottom w:val="single" w:sz="8" w:space="0" w:color="000000" w:themeColor="text1"/>
            </w:tcBorders>
          </w:tcPr>
          <w:p w14:paraId="72D6AC01" w14:textId="7D952971" w:rsidR="00A14960" w:rsidRPr="003A3374" w:rsidRDefault="00921F9F" w:rsidP="00ED6730">
            <w:pPr>
              <w:pStyle w:val="Tableplaceholder"/>
            </w:pPr>
            <w:r w:rsidRPr="003A3374">
              <w:rPr>
                <w:noProof/>
              </w:rPr>
              <w:drawing>
                <wp:inline distT="0" distB="0" distL="0" distR="0" wp14:anchorId="5E63C693" wp14:editId="63565038">
                  <wp:extent cx="1867004" cy="2160000"/>
                  <wp:effectExtent l="0" t="0" r="0" b="0"/>
                  <wp:docPr id="116654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45330" name=""/>
                          <pic:cNvPicPr/>
                        </pic:nvPicPr>
                        <pic:blipFill rotWithShape="1">
                          <a:blip r:embed="rId59"/>
                          <a:srcRect t="6710" b="6515"/>
                          <a:stretch>
                            <a:fillRect/>
                          </a:stretch>
                        </pic:blipFill>
                        <pic:spPr bwMode="auto">
                          <a:xfrm>
                            <a:off x="0" y="0"/>
                            <a:ext cx="1867004" cy="2160000"/>
                          </a:xfrm>
                          <a:prstGeom prst="rect">
                            <a:avLst/>
                          </a:prstGeom>
                          <a:ln>
                            <a:noFill/>
                          </a:ln>
                          <a:extLst>
                            <a:ext uri="{53640926-AAD7-44D8-BBD7-CCE9431645EC}">
                              <a14:shadowObscured xmlns:a14="http://schemas.microsoft.com/office/drawing/2010/main"/>
                            </a:ext>
                          </a:extLst>
                        </pic:spPr>
                      </pic:pic>
                    </a:graphicData>
                  </a:graphic>
                </wp:inline>
              </w:drawing>
            </w:r>
          </w:p>
        </w:tc>
      </w:tr>
      <w:tr w:rsidR="00A14960" w:rsidRPr="003A3374" w14:paraId="40216044" w14:textId="77777777" w:rsidTr="00ED6730">
        <w:trPr>
          <w:cantSplit/>
        </w:trPr>
        <w:tc>
          <w:tcPr>
            <w:tcW w:w="4705" w:type="dxa"/>
            <w:tcBorders>
              <w:top w:val="single" w:sz="8" w:space="0" w:color="000000" w:themeColor="text1"/>
            </w:tcBorders>
          </w:tcPr>
          <w:p w14:paraId="5BC64110" w14:textId="77777777" w:rsidR="00A14960" w:rsidRPr="003A3374" w:rsidRDefault="00A14960" w:rsidP="00ED6730">
            <w:pPr>
              <w:pStyle w:val="TableSource"/>
            </w:pPr>
            <w:r w:rsidRPr="003A3374">
              <w:t>Source: Rothschild &amp; Co Redburn</w:t>
            </w:r>
          </w:p>
        </w:tc>
        <w:tc>
          <w:tcPr>
            <w:tcW w:w="227" w:type="dxa"/>
          </w:tcPr>
          <w:p w14:paraId="5FBAE81D" w14:textId="77777777" w:rsidR="00A14960" w:rsidRPr="003A3374" w:rsidRDefault="00A14960" w:rsidP="00ED6730">
            <w:pPr>
              <w:pStyle w:val="Normal0"/>
            </w:pPr>
          </w:p>
        </w:tc>
        <w:tc>
          <w:tcPr>
            <w:tcW w:w="4705" w:type="dxa"/>
            <w:tcBorders>
              <w:top w:val="single" w:sz="8" w:space="0" w:color="000000" w:themeColor="text1"/>
            </w:tcBorders>
          </w:tcPr>
          <w:p w14:paraId="2067908E" w14:textId="77777777" w:rsidR="00A14960" w:rsidRPr="003A3374" w:rsidRDefault="00A14960" w:rsidP="00ED6730">
            <w:pPr>
              <w:pStyle w:val="TableSource"/>
            </w:pPr>
            <w:r w:rsidRPr="003A3374">
              <w:t>Source: Rothschild &amp; Co Redburn</w:t>
            </w:r>
          </w:p>
        </w:tc>
      </w:tr>
    </w:tbl>
    <w:p w14:paraId="1B542884" w14:textId="77777777" w:rsidR="0069587C" w:rsidRPr="003A3374" w:rsidRDefault="00C80D02" w:rsidP="009E74D6">
      <w:pPr>
        <w:pStyle w:val="BodyText"/>
      </w:pPr>
      <w:r w:rsidRPr="003A3374">
        <w:t xml:space="preserve">Given Bestway is a major supplier to convenience stores there was also a sizeable amount of shelf space dedicated to energy drinks, which the store clerk said had been winning shelf space from the beer category. </w:t>
      </w:r>
    </w:p>
    <w:p w14:paraId="7E7B3608" w14:textId="54C9FB65" w:rsidR="00A14960" w:rsidRPr="003A3374" w:rsidRDefault="00C80D02" w:rsidP="009E74D6">
      <w:pPr>
        <w:pStyle w:val="BodyText"/>
      </w:pPr>
      <w:r w:rsidRPr="003A3374">
        <w:t xml:space="preserve">CCGB’s execution went beyond simply dropping a pallet of Monster Ultra </w:t>
      </w:r>
      <w:r w:rsidR="000D0C76" w:rsidRPr="003A3374">
        <w:t>off at</w:t>
      </w:r>
      <w:r w:rsidRPr="003A3374">
        <w:t xml:space="preserve"> the depot – there were end-of-aisle Monster displays </w:t>
      </w:r>
      <w:r w:rsidR="000D0C76" w:rsidRPr="003A3374">
        <w:t>to promote Monster Ultra with the latest video game campaign, along with promotional material to highlight Monster’s rapid rate-of-sale (</w:t>
      </w:r>
      <w:r w:rsidR="00CE6A99" w:rsidRPr="003A3374">
        <w:t>Fig </w:t>
      </w:r>
      <w:r w:rsidR="00CE6A99" w:rsidRPr="003A3374">
        <w:fldChar w:fldCharType="begin"/>
      </w:r>
      <w:r w:rsidR="00CE6A99" w:rsidRPr="003A3374">
        <w:instrText xml:space="preserve"> REF LINK_065355 \h </w:instrText>
      </w:r>
      <w:r w:rsidR="00CE6A99" w:rsidRPr="003A3374">
        <w:fldChar w:fldCharType="separate"/>
      </w:r>
      <w:r w:rsidR="006A4635" w:rsidRPr="003A3374">
        <w:rPr>
          <w:noProof/>
        </w:rPr>
        <w:t>34</w:t>
      </w:r>
      <w:r w:rsidR="00CE6A99" w:rsidRPr="003A3374">
        <w:fldChar w:fldCharType="end"/>
      </w:r>
      <w:r w:rsidR="000D0C76" w:rsidRPr="003A3374">
        <w:t>).</w:t>
      </w:r>
      <w:r w:rsidR="0069587C" w:rsidRPr="003A3374">
        <w:t xml:space="preserve"> These packs also earned a c40% POR and help to explain why energy drinks do so well in convenience stores: they earn a high margin and rotate very quickly, meaning they are highly cash generative for customers.</w:t>
      </w:r>
    </w:p>
    <w:p w14:paraId="12B3E6ED" w14:textId="11B6C4CE" w:rsidR="00EC1A69" w:rsidRPr="003A3374" w:rsidRDefault="00EC1A69" w:rsidP="0031717B">
      <w:pPr>
        <w:pStyle w:val="BodyText"/>
      </w:pPr>
      <w:r w:rsidRPr="003A3374">
        <w:t>CCGB</w:t>
      </w:r>
      <w:r w:rsidR="00654D0E" w:rsidRPr="003A3374">
        <w:t>’s</w:t>
      </w:r>
      <w:r w:rsidRPr="003A3374">
        <w:t xml:space="preserve"> field sales team </w:t>
      </w:r>
      <w:r w:rsidR="0031717B" w:rsidRPr="003A3374">
        <w:t>uses the wholesale channel to create and/or develop new business with end-customers</w:t>
      </w:r>
      <w:r w:rsidRPr="003A3374">
        <w:t xml:space="preserve">. </w:t>
      </w:r>
      <w:r w:rsidR="00043828" w:rsidRPr="003A3374">
        <w:t>For example, during the site visit</w:t>
      </w:r>
      <w:r w:rsidRPr="003A3374">
        <w:t xml:space="preserve"> </w:t>
      </w:r>
      <w:r w:rsidR="00C80D02" w:rsidRPr="003A3374">
        <w:t xml:space="preserve">Stephen </w:t>
      </w:r>
      <w:r w:rsidR="00C80D02" w:rsidRPr="003A3374">
        <w:lastRenderedPageBreak/>
        <w:t>Moorhous</w:t>
      </w:r>
      <w:r w:rsidRPr="003A3374">
        <w:t xml:space="preserve">e (General Manager of Great Britain) </w:t>
      </w:r>
      <w:r w:rsidR="0031717B" w:rsidRPr="003A3374">
        <w:t xml:space="preserve">led from the front and </w:t>
      </w:r>
      <w:r w:rsidR="003342CB" w:rsidRPr="003A3374">
        <w:t xml:space="preserve">spotted the owner of a newly-opened </w:t>
      </w:r>
      <w:r w:rsidR="00043828" w:rsidRPr="003A3374">
        <w:t xml:space="preserve">restaurant adding two trays of Coca-Cola Classic to their trolley. </w:t>
      </w:r>
      <w:r w:rsidR="0088033A" w:rsidRPr="003A3374">
        <w:t xml:space="preserve">After a brief conversation, Stephen obtained the </w:t>
      </w:r>
      <w:r w:rsidR="0031717B" w:rsidRPr="003A3374">
        <w:t>end-</w:t>
      </w:r>
      <w:r w:rsidR="0088033A" w:rsidRPr="003A3374">
        <w:t xml:space="preserve">customer’s details and a field sales rep will now follow up to suggest an appropriate assortment of CCGB’s products to </w:t>
      </w:r>
      <w:r w:rsidR="00B06FEE" w:rsidRPr="003A3374">
        <w:t>complement</w:t>
      </w:r>
      <w:r w:rsidR="0088033A" w:rsidRPr="003A3374">
        <w:t xml:space="preserve"> the restaurant’s </w:t>
      </w:r>
      <w:r w:rsidR="00B06FEE" w:rsidRPr="003A3374">
        <w:t>food</w:t>
      </w:r>
      <w:r w:rsidR="0088033A" w:rsidRPr="003A3374">
        <w:t xml:space="preserve"> and help </w:t>
      </w:r>
      <w:r w:rsidR="00491374" w:rsidRPr="003A3374">
        <w:t xml:space="preserve">to </w:t>
      </w:r>
      <w:r w:rsidR="0088033A" w:rsidRPr="003A3374">
        <w:t>design the drinks menu.</w:t>
      </w:r>
    </w:p>
    <w:p w14:paraId="1725566D" w14:textId="013BB6BB" w:rsidR="00A14960" w:rsidRPr="003A3374" w:rsidRDefault="009A172F" w:rsidP="009A172F">
      <w:pPr>
        <w:pStyle w:val="BodyText"/>
      </w:pPr>
      <w:r w:rsidRPr="003A3374">
        <w:t xml:space="preserve">The wholesale channel can also act as a showroom to promote CCGB’s coolers and help drive cooler placements. In this Bestway depot </w:t>
      </w:r>
      <w:r w:rsidR="0088033A" w:rsidRPr="003A3374">
        <w:t xml:space="preserve">there was an area that </w:t>
      </w:r>
      <w:r w:rsidR="00491374" w:rsidRPr="003A3374">
        <w:t>explained the benefits to end-customers of installing Coca-Cola coolers in their outlet</w:t>
      </w:r>
      <w:r w:rsidRPr="003A3374">
        <w:t>s – in this case, installing a cooler could lift the outlet’s soft drinks sales by 23%</w:t>
      </w:r>
      <w:r w:rsidR="00491374" w:rsidRPr="003A3374">
        <w:t xml:space="preserve"> (</w:t>
      </w:r>
      <w:r w:rsidR="00CE6A99" w:rsidRPr="003A3374">
        <w:t>Fig </w:t>
      </w:r>
      <w:r w:rsidR="00CE6A99" w:rsidRPr="003A3374">
        <w:fldChar w:fldCharType="begin"/>
      </w:r>
      <w:r w:rsidR="00CE6A99" w:rsidRPr="003A3374">
        <w:instrText xml:space="preserve"> REF LINK_084843 \h </w:instrText>
      </w:r>
      <w:r w:rsidR="00CE6A99" w:rsidRPr="003A3374">
        <w:fldChar w:fldCharType="separate"/>
      </w:r>
      <w:r w:rsidR="006A4635" w:rsidRPr="003A3374">
        <w:rPr>
          <w:noProof/>
        </w:rPr>
        <w:t>35</w:t>
      </w:r>
      <w:r w:rsidR="00CE6A99" w:rsidRPr="003A3374">
        <w:fldChar w:fldCharType="end"/>
      </w:r>
      <w:r w:rsidR="00491374" w:rsidRPr="003A3374">
        <w:t xml:space="preserve">). As a reminder, </w:t>
      </w:r>
      <w:r w:rsidR="00310FAF" w:rsidRPr="003A3374">
        <w:t>part of CCEP’s</w:t>
      </w:r>
      <w:r w:rsidR="00491374" w:rsidRPr="003A3374">
        <w:t xml:space="preserve"> 2025 </w:t>
      </w:r>
      <w:r w:rsidR="00310FAF" w:rsidRPr="003A3374">
        <w:t xml:space="preserve">capital expenditure </w:t>
      </w:r>
      <w:r w:rsidR="00C06254" w:rsidRPr="003A3374">
        <w:t>involves</w:t>
      </w:r>
      <w:r w:rsidR="00310FAF" w:rsidRPr="003A3374">
        <w:t xml:space="preserve"> </w:t>
      </w:r>
      <w:r w:rsidR="00491374" w:rsidRPr="003A3374">
        <w:t>placing more than 100,000 coolers across the AFH channel in its markets to support volume growth and margin expansion.</w:t>
      </w:r>
      <w:r w:rsidR="00A77823" w:rsidRPr="003A3374">
        <w:t xml:space="preserve"> CCGB had 116,000 coolers across Great Britain at the end of 2024 and this has since risen </w:t>
      </w:r>
      <w:r w:rsidR="00F41B6F" w:rsidRPr="003A3374">
        <w:t xml:space="preserve">by </w:t>
      </w:r>
      <w:r w:rsidR="00A77823" w:rsidRPr="003A3374">
        <w:t>7% year-to-date</w:t>
      </w:r>
      <w:r w:rsidR="00F41B6F" w:rsidRPr="003A3374">
        <w:t xml:space="preserve"> in 2025</w:t>
      </w:r>
      <w:r w:rsidR="00A77823" w:rsidRPr="003A3374">
        <w:t>.</w:t>
      </w:r>
    </w:p>
    <w:tbl>
      <w:tblPr>
        <w:tblStyle w:val="TableGrid"/>
        <w:tblW w:w="9637" w:type="dxa"/>
        <w:tblLayout w:type="fixed"/>
        <w:tblCellMar>
          <w:left w:w="0" w:type="dxa"/>
          <w:right w:w="0" w:type="dxa"/>
        </w:tblCellMar>
        <w:tblLook w:val="04A0" w:firstRow="1" w:lastRow="0" w:firstColumn="1" w:lastColumn="0" w:noHBand="0" w:noVBand="1"/>
      </w:tblPr>
      <w:tblGrid>
        <w:gridCol w:w="4705"/>
        <w:gridCol w:w="227"/>
        <w:gridCol w:w="4705"/>
      </w:tblGrid>
      <w:tr w:rsidR="00C80D02" w:rsidRPr="003A3374" w14:paraId="5CA73677" w14:textId="77777777" w:rsidTr="00ED6730">
        <w:trPr>
          <w:cantSplit/>
          <w:tblHeader/>
        </w:trPr>
        <w:tc>
          <w:tcPr>
            <w:tcW w:w="4705" w:type="dxa"/>
            <w:tcBorders>
              <w:bottom w:val="single" w:sz="8" w:space="0" w:color="000000" w:themeColor="text1"/>
            </w:tcBorders>
            <w:vAlign w:val="bottom"/>
          </w:tcPr>
          <w:p w14:paraId="257438BB" w14:textId="5A6E46CA" w:rsidR="00C80D02" w:rsidRPr="003A3374" w:rsidRDefault="00C80D02" w:rsidP="00ED6730">
            <w:pPr>
              <w:pStyle w:val="TableTitle"/>
            </w:pPr>
            <w:r w:rsidRPr="003A3374">
              <w:t xml:space="preserve">Fig </w:t>
            </w:r>
            <w:bookmarkStart w:id="66" w:name="LINK_065355"/>
            <w:r w:rsidRPr="003A3374">
              <w:fldChar w:fldCharType="begin"/>
            </w:r>
            <w:r w:rsidRPr="003A3374">
              <w:instrText xml:space="preserve"> SEQ Fig </w:instrText>
            </w:r>
            <w:r w:rsidRPr="003A3374">
              <w:fldChar w:fldCharType="separate"/>
            </w:r>
            <w:r w:rsidR="006A4635" w:rsidRPr="003A3374">
              <w:rPr>
                <w:noProof/>
              </w:rPr>
              <w:t>34</w:t>
            </w:r>
            <w:r w:rsidRPr="003A3374">
              <w:fldChar w:fldCharType="end"/>
            </w:r>
            <w:bookmarkEnd w:id="66"/>
            <w:r w:rsidRPr="003A3374">
              <w:t xml:space="preserve">: </w:t>
            </w:r>
            <w:r w:rsidR="00CE6A99" w:rsidRPr="003A3374">
              <w:t>Showcasing the perks of Monster…</w:t>
            </w:r>
          </w:p>
        </w:tc>
        <w:tc>
          <w:tcPr>
            <w:tcW w:w="227" w:type="dxa"/>
            <w:vAlign w:val="bottom"/>
          </w:tcPr>
          <w:p w14:paraId="76B11634" w14:textId="77777777" w:rsidR="00C80D02" w:rsidRPr="003A3374" w:rsidRDefault="00C80D02" w:rsidP="00ED6730">
            <w:pPr>
              <w:pStyle w:val="Normal0"/>
            </w:pPr>
          </w:p>
        </w:tc>
        <w:tc>
          <w:tcPr>
            <w:tcW w:w="4705" w:type="dxa"/>
            <w:tcBorders>
              <w:bottom w:val="single" w:sz="8" w:space="0" w:color="000000" w:themeColor="text1"/>
            </w:tcBorders>
            <w:vAlign w:val="bottom"/>
          </w:tcPr>
          <w:p w14:paraId="02ADB28B" w14:textId="2E78A471" w:rsidR="00C80D02" w:rsidRPr="003A3374" w:rsidRDefault="00C80D02" w:rsidP="00ED6730">
            <w:pPr>
              <w:pStyle w:val="TableTitle"/>
            </w:pPr>
            <w:r w:rsidRPr="003A3374">
              <w:t xml:space="preserve">Fig </w:t>
            </w:r>
            <w:bookmarkStart w:id="67" w:name="LINK_084843"/>
            <w:r w:rsidRPr="003A3374">
              <w:fldChar w:fldCharType="begin"/>
            </w:r>
            <w:r w:rsidRPr="003A3374">
              <w:instrText xml:space="preserve"> SEQ Fig </w:instrText>
            </w:r>
            <w:r w:rsidRPr="003A3374">
              <w:fldChar w:fldCharType="separate"/>
            </w:r>
            <w:r w:rsidR="006A4635" w:rsidRPr="003A3374">
              <w:rPr>
                <w:noProof/>
              </w:rPr>
              <w:t>35</w:t>
            </w:r>
            <w:r w:rsidRPr="003A3374">
              <w:fldChar w:fldCharType="end"/>
            </w:r>
            <w:bookmarkEnd w:id="67"/>
            <w:r w:rsidRPr="003A3374">
              <w:t xml:space="preserve">: </w:t>
            </w:r>
            <w:r w:rsidR="00CE6A99" w:rsidRPr="003A3374">
              <w:t>…as well as the benefits of coolers</w:t>
            </w:r>
          </w:p>
        </w:tc>
      </w:tr>
      <w:tr w:rsidR="00C80D02" w:rsidRPr="003A3374" w14:paraId="69B2C08E" w14:textId="77777777" w:rsidTr="00ED6730">
        <w:trPr>
          <w:cantSplit/>
        </w:trPr>
        <w:tc>
          <w:tcPr>
            <w:tcW w:w="4705" w:type="dxa"/>
            <w:tcBorders>
              <w:top w:val="single" w:sz="8" w:space="0" w:color="000000" w:themeColor="text1"/>
              <w:bottom w:val="single" w:sz="8" w:space="0" w:color="000000" w:themeColor="text1"/>
            </w:tcBorders>
          </w:tcPr>
          <w:p w14:paraId="15E16760" w14:textId="56183C23" w:rsidR="00C80D02" w:rsidRPr="003A3374" w:rsidRDefault="00C80D02" w:rsidP="00ED6730">
            <w:pPr>
              <w:pStyle w:val="Tableplaceholder"/>
            </w:pPr>
            <w:r w:rsidRPr="003A3374">
              <w:rPr>
                <w:noProof/>
              </w:rPr>
              <w:drawing>
                <wp:inline distT="0" distB="0" distL="0" distR="0" wp14:anchorId="7AC7FFAD" wp14:editId="52AB9434">
                  <wp:extent cx="1620086" cy="2160000"/>
                  <wp:effectExtent l="0" t="0" r="0" b="0"/>
                  <wp:docPr id="16812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1050" name=""/>
                          <pic:cNvPicPr/>
                        </pic:nvPicPr>
                        <pic:blipFill>
                          <a:blip r:embed="rId60"/>
                          <a:stretch>
                            <a:fillRect/>
                          </a:stretch>
                        </pic:blipFill>
                        <pic:spPr>
                          <a:xfrm>
                            <a:off x="0" y="0"/>
                            <a:ext cx="1620086" cy="2160000"/>
                          </a:xfrm>
                          <a:prstGeom prst="rect">
                            <a:avLst/>
                          </a:prstGeom>
                        </pic:spPr>
                      </pic:pic>
                    </a:graphicData>
                  </a:graphic>
                </wp:inline>
              </w:drawing>
            </w:r>
          </w:p>
        </w:tc>
        <w:tc>
          <w:tcPr>
            <w:tcW w:w="227" w:type="dxa"/>
          </w:tcPr>
          <w:p w14:paraId="034786D3" w14:textId="77777777" w:rsidR="00C80D02" w:rsidRPr="003A3374" w:rsidRDefault="00C80D02" w:rsidP="00ED6730">
            <w:pPr>
              <w:pStyle w:val="Normal0"/>
            </w:pPr>
          </w:p>
        </w:tc>
        <w:tc>
          <w:tcPr>
            <w:tcW w:w="4705" w:type="dxa"/>
            <w:tcBorders>
              <w:top w:val="single" w:sz="8" w:space="0" w:color="000000" w:themeColor="text1"/>
              <w:bottom w:val="single" w:sz="8" w:space="0" w:color="000000" w:themeColor="text1"/>
            </w:tcBorders>
          </w:tcPr>
          <w:p w14:paraId="6A0C01ED" w14:textId="6CFF9BF5" w:rsidR="00C80D02" w:rsidRPr="003A3374" w:rsidRDefault="00385B35" w:rsidP="00ED6730">
            <w:pPr>
              <w:pStyle w:val="Tableplaceholder"/>
            </w:pPr>
            <w:r w:rsidRPr="003A3374">
              <w:rPr>
                <w:noProof/>
              </w:rPr>
              <w:drawing>
                <wp:inline distT="0" distB="0" distL="0" distR="0" wp14:anchorId="250EEFA8" wp14:editId="0A054614">
                  <wp:extent cx="2879795" cy="2160000"/>
                  <wp:effectExtent l="0" t="0" r="0" b="0"/>
                  <wp:docPr id="154458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81655" name=""/>
                          <pic:cNvPicPr/>
                        </pic:nvPicPr>
                        <pic:blipFill>
                          <a:blip r:embed="rId61"/>
                          <a:stretch>
                            <a:fillRect/>
                          </a:stretch>
                        </pic:blipFill>
                        <pic:spPr>
                          <a:xfrm>
                            <a:off x="0" y="0"/>
                            <a:ext cx="2879795" cy="2160000"/>
                          </a:xfrm>
                          <a:prstGeom prst="rect">
                            <a:avLst/>
                          </a:prstGeom>
                        </pic:spPr>
                      </pic:pic>
                    </a:graphicData>
                  </a:graphic>
                </wp:inline>
              </w:drawing>
            </w:r>
          </w:p>
        </w:tc>
      </w:tr>
      <w:tr w:rsidR="00C80D02" w:rsidRPr="003A3374" w14:paraId="1018C390" w14:textId="77777777" w:rsidTr="00ED6730">
        <w:trPr>
          <w:cantSplit/>
        </w:trPr>
        <w:tc>
          <w:tcPr>
            <w:tcW w:w="4705" w:type="dxa"/>
            <w:tcBorders>
              <w:top w:val="single" w:sz="8" w:space="0" w:color="000000" w:themeColor="text1"/>
            </w:tcBorders>
          </w:tcPr>
          <w:p w14:paraId="0992082B" w14:textId="77777777" w:rsidR="00C80D02" w:rsidRPr="003A3374" w:rsidRDefault="00C80D02" w:rsidP="00ED6730">
            <w:pPr>
              <w:pStyle w:val="TableSource"/>
            </w:pPr>
            <w:r w:rsidRPr="003A3374">
              <w:t>Source: Rothschild &amp; Co Redburn</w:t>
            </w:r>
          </w:p>
        </w:tc>
        <w:tc>
          <w:tcPr>
            <w:tcW w:w="227" w:type="dxa"/>
          </w:tcPr>
          <w:p w14:paraId="42500169" w14:textId="77777777" w:rsidR="00C80D02" w:rsidRPr="003A3374" w:rsidRDefault="00C80D02" w:rsidP="00ED6730">
            <w:pPr>
              <w:pStyle w:val="Normal0"/>
            </w:pPr>
          </w:p>
        </w:tc>
        <w:tc>
          <w:tcPr>
            <w:tcW w:w="4705" w:type="dxa"/>
            <w:tcBorders>
              <w:top w:val="single" w:sz="8" w:space="0" w:color="000000" w:themeColor="text1"/>
            </w:tcBorders>
          </w:tcPr>
          <w:p w14:paraId="1252DDEF" w14:textId="77777777" w:rsidR="00C80D02" w:rsidRPr="003A3374" w:rsidRDefault="00C80D02" w:rsidP="00ED6730">
            <w:pPr>
              <w:pStyle w:val="TableSource"/>
            </w:pPr>
            <w:r w:rsidRPr="003A3374">
              <w:t>Source: Rothschild &amp; Co Redburn</w:t>
            </w:r>
          </w:p>
        </w:tc>
      </w:tr>
    </w:tbl>
    <w:p w14:paraId="112D917E" w14:textId="5ACEC5F9" w:rsidR="00C80D02" w:rsidRPr="003A3374" w:rsidRDefault="000523F7" w:rsidP="009B5BCF">
      <w:pPr>
        <w:pStyle w:val="Heading20"/>
      </w:pPr>
      <w:bookmarkStart w:id="68" w:name="_Toc214545133"/>
      <w:r w:rsidRPr="003A3374">
        <w:t>AFH blitz</w:t>
      </w:r>
      <w:bookmarkEnd w:id="68"/>
    </w:p>
    <w:p w14:paraId="39CBCA3D" w14:textId="77777777" w:rsidR="000523F7" w:rsidRPr="003A3374" w:rsidRDefault="000523F7" w:rsidP="009E74D6">
      <w:pPr>
        <w:pStyle w:val="BodyText"/>
      </w:pPr>
      <w:r w:rsidRPr="003A3374">
        <w:t>Altogether, we were surprised and impressed by the amount of in-store execution that CCGB’s field sales team (and Stephen Moorhouse) perform in Bestway, which is critical to ensuring product availability in the AFH channel.</w:t>
      </w:r>
    </w:p>
    <w:p w14:paraId="3E9A2BED" w14:textId="0AFFF529" w:rsidR="000523F7" w:rsidRPr="003A3374" w:rsidRDefault="000523F7" w:rsidP="00501B8C">
      <w:pPr>
        <w:pStyle w:val="BodyText"/>
      </w:pPr>
      <w:r w:rsidRPr="003A3374">
        <w:t xml:space="preserve">This was certainly needed in the convenience store that we visited </w:t>
      </w:r>
      <w:r w:rsidR="00501B8C" w:rsidRPr="003A3374">
        <w:t xml:space="preserve">next. </w:t>
      </w:r>
      <w:r w:rsidR="00011ADA" w:rsidRPr="003A3374">
        <w:t xml:space="preserve">The store was opened relatively recently, but it has already become </w:t>
      </w:r>
      <w:r w:rsidR="00501B8C" w:rsidRPr="003A3374">
        <w:t xml:space="preserve">a prime example of what CCEP’s cooler placement programme </w:t>
      </w:r>
      <w:r w:rsidR="00011ADA" w:rsidRPr="003A3374">
        <w:t>can</w:t>
      </w:r>
      <w:r w:rsidR="00501B8C" w:rsidRPr="003A3374">
        <w:t xml:space="preserve"> achieve, with two Coca-Cola branded coolers and a Monster cooler </w:t>
      </w:r>
      <w:r w:rsidR="00011ADA" w:rsidRPr="003A3374">
        <w:t xml:space="preserve">inside the store </w:t>
      </w:r>
      <w:r w:rsidR="00501B8C" w:rsidRPr="003A3374">
        <w:t>(</w:t>
      </w:r>
      <w:r w:rsidR="00CE6A99" w:rsidRPr="003A3374">
        <w:t>Fig </w:t>
      </w:r>
      <w:r w:rsidR="00CE6A99" w:rsidRPr="003A3374">
        <w:fldChar w:fldCharType="begin"/>
      </w:r>
      <w:r w:rsidR="00CE6A99" w:rsidRPr="003A3374">
        <w:instrText xml:space="preserve"> REF LINK_050698 \h </w:instrText>
      </w:r>
      <w:r w:rsidR="00CE6A99" w:rsidRPr="003A3374">
        <w:fldChar w:fldCharType="separate"/>
      </w:r>
      <w:r w:rsidR="006A4635" w:rsidRPr="003A3374">
        <w:rPr>
          <w:noProof/>
        </w:rPr>
        <w:t>36</w:t>
      </w:r>
      <w:r w:rsidR="00CE6A99" w:rsidRPr="003A3374">
        <w:fldChar w:fldCharType="end"/>
      </w:r>
      <w:r w:rsidR="00501B8C" w:rsidRPr="003A3374">
        <w:t xml:space="preserve">). </w:t>
      </w:r>
      <w:r w:rsidR="002F495A" w:rsidRPr="003A3374">
        <w:t>There was only one cooler from a competitor (Red Bull) and a</w:t>
      </w:r>
      <w:r w:rsidR="00501B8C" w:rsidRPr="003A3374">
        <w:t xml:space="preserve">s a result, CCGB’s products held a 90% value share in the store and </w:t>
      </w:r>
      <w:r w:rsidRPr="003A3374">
        <w:t xml:space="preserve">c120 cases of CCGB’s products </w:t>
      </w:r>
      <w:r w:rsidR="00501B8C" w:rsidRPr="003A3374">
        <w:t xml:space="preserve">are sold </w:t>
      </w:r>
      <w:r w:rsidR="00D43897" w:rsidRPr="003A3374">
        <w:t>each</w:t>
      </w:r>
      <w:r w:rsidRPr="003A3374">
        <w:t xml:space="preserve"> week, equivalent to </w:t>
      </w:r>
      <w:r w:rsidR="00A71598" w:rsidRPr="003A3374">
        <w:t xml:space="preserve">roughly one 500ml PET bottle of Coca-Cola every </w:t>
      </w:r>
      <w:r w:rsidR="007B3505" w:rsidRPr="003A3374">
        <w:t>five</w:t>
      </w:r>
      <w:r w:rsidR="00A71598" w:rsidRPr="003A3374">
        <w:t xml:space="preserve"> minutes</w:t>
      </w:r>
      <w:r w:rsidR="001F21F5" w:rsidRPr="003A3374">
        <w:t xml:space="preserve"> during opening hours</w:t>
      </w:r>
      <w:r w:rsidR="00A71598" w:rsidRPr="003A3374">
        <w:t>.</w:t>
      </w:r>
      <w:r w:rsidR="00501B8C" w:rsidRPr="003A3374">
        <w:t xml:space="preserve"> </w:t>
      </w:r>
      <w:r w:rsidR="00D43897" w:rsidRPr="003A3374">
        <w:t>Given the products are mainly small single-serve packs from the coolers, the store is likely highly profitable for CCGB.</w:t>
      </w:r>
    </w:p>
    <w:p w14:paraId="4C563F76" w14:textId="7CF436A1" w:rsidR="000523F7" w:rsidRPr="003A3374" w:rsidRDefault="00241F9B" w:rsidP="009E74D6">
      <w:pPr>
        <w:pStyle w:val="BodyText"/>
      </w:pPr>
      <w:r w:rsidRPr="003A3374">
        <w:t>The final stop was a food court (i.e. the food service channel), which showcased CCGB’s point-of-sale marketing material to drive higher incidence of its soft drinks with food orders (</w:t>
      </w:r>
      <w:r w:rsidR="006A4635" w:rsidRPr="003A3374">
        <w:t>Fig </w:t>
      </w:r>
      <w:r w:rsidR="006A4635" w:rsidRPr="003A3374">
        <w:fldChar w:fldCharType="begin"/>
      </w:r>
      <w:r w:rsidR="006A4635" w:rsidRPr="003A3374">
        <w:instrText xml:space="preserve"> REF LINK_050459 \h </w:instrText>
      </w:r>
      <w:r w:rsidR="006A4635" w:rsidRPr="003A3374">
        <w:fldChar w:fldCharType="separate"/>
      </w:r>
      <w:r w:rsidR="006A4635" w:rsidRPr="003A3374">
        <w:rPr>
          <w:noProof/>
        </w:rPr>
        <w:t>37</w:t>
      </w:r>
      <w:r w:rsidR="006A4635" w:rsidRPr="003A3374">
        <w:fldChar w:fldCharType="end"/>
      </w:r>
      <w:r w:rsidRPr="003A3374">
        <w:t xml:space="preserve">). </w:t>
      </w:r>
      <w:r w:rsidR="00702F93" w:rsidRPr="003A3374">
        <w:t xml:space="preserve">We also learnt that CCGB has improved the way that it funds these marketing materials by devolving spending power to the local field </w:t>
      </w:r>
      <w:r w:rsidR="00702F93" w:rsidRPr="003A3374">
        <w:lastRenderedPageBreak/>
        <w:t>sales team. CCGB head office allocates a budget by city, then the local field sales rep can decide which outlet receives the investment based on their deep knowledge of the</w:t>
      </w:r>
      <w:r w:rsidR="003D52A0" w:rsidRPr="003A3374">
        <w:t>ir</w:t>
      </w:r>
      <w:r w:rsidR="00702F93" w:rsidRPr="003A3374">
        <w:t xml:space="preserve"> customers to help improve the return on investment.</w:t>
      </w:r>
    </w:p>
    <w:p w14:paraId="471D8B1F" w14:textId="0FA0F05D" w:rsidR="00BE7343" w:rsidRPr="003A3374" w:rsidRDefault="00BE7343" w:rsidP="00606C51">
      <w:pPr>
        <w:pStyle w:val="BodyText"/>
      </w:pPr>
      <w:r w:rsidRPr="003A3374">
        <w:t xml:space="preserve">The site visit also </w:t>
      </w:r>
      <w:r w:rsidR="009E263C" w:rsidRPr="003A3374">
        <w:t>highlighted</w:t>
      </w:r>
      <w:r w:rsidRPr="003A3374">
        <w:t xml:space="preserve"> how CCGB’s execution remains strong even </w:t>
      </w:r>
      <w:r w:rsidR="00606C51" w:rsidRPr="003A3374">
        <w:t>at</w:t>
      </w:r>
      <w:r w:rsidRPr="003A3374">
        <w:t xml:space="preserve"> the smaller, lower revenue generating operators (those with under 30 outlets). CCGB has won distribution to c100 of these operators over the past year and the</w:t>
      </w:r>
      <w:r w:rsidR="00E95E09" w:rsidRPr="003A3374">
        <w:t xml:space="preserve"> hope is that</w:t>
      </w:r>
      <w:r w:rsidR="00606C51" w:rsidRPr="003A3374">
        <w:t>,</w:t>
      </w:r>
      <w:r w:rsidR="00E95E09" w:rsidRPr="003A3374">
        <w:t xml:space="preserve"> </w:t>
      </w:r>
      <w:r w:rsidR="00606C51" w:rsidRPr="003A3374">
        <w:t>in a nirvana, one of them could scale and become the next McDonald’s. But even if that does not happen, showcasing Coca-Cola products alongside a wide variety of food operators (we saw Mexican, Italian and Korean ‘fusion’</w:t>
      </w:r>
      <w:r w:rsidR="00B84BF0" w:rsidRPr="003A3374">
        <w:t xml:space="preserve"> on the site visit</w:t>
      </w:r>
      <w:r w:rsidR="00606C51" w:rsidRPr="003A3374">
        <w:t>) helps to strengthen the association with food and can help drive sales growth for CCGB in the grocery channel.</w:t>
      </w:r>
    </w:p>
    <w:tbl>
      <w:tblPr>
        <w:tblStyle w:val="TableGrid"/>
        <w:tblW w:w="9637" w:type="dxa"/>
        <w:tblLayout w:type="fixed"/>
        <w:tblCellMar>
          <w:left w:w="0" w:type="dxa"/>
          <w:right w:w="0" w:type="dxa"/>
        </w:tblCellMar>
        <w:tblLook w:val="04A0" w:firstRow="1" w:lastRow="0" w:firstColumn="1" w:lastColumn="0" w:noHBand="0" w:noVBand="1"/>
      </w:tblPr>
      <w:tblGrid>
        <w:gridCol w:w="4705"/>
        <w:gridCol w:w="227"/>
        <w:gridCol w:w="4705"/>
      </w:tblGrid>
      <w:tr w:rsidR="00082FF8" w:rsidRPr="003A3374" w14:paraId="762D256B" w14:textId="77777777" w:rsidTr="00ED6730">
        <w:trPr>
          <w:cantSplit/>
          <w:tblHeader/>
        </w:trPr>
        <w:tc>
          <w:tcPr>
            <w:tcW w:w="4705" w:type="dxa"/>
            <w:tcBorders>
              <w:bottom w:val="single" w:sz="8" w:space="0" w:color="000000" w:themeColor="text1"/>
            </w:tcBorders>
            <w:vAlign w:val="bottom"/>
          </w:tcPr>
          <w:p w14:paraId="4C6E8FC6" w14:textId="1BDDF919" w:rsidR="00082FF8" w:rsidRPr="003A3374" w:rsidRDefault="00082FF8" w:rsidP="00ED6730">
            <w:pPr>
              <w:pStyle w:val="TableTitle"/>
            </w:pPr>
            <w:r w:rsidRPr="003A3374">
              <w:t xml:space="preserve">Fig </w:t>
            </w:r>
            <w:bookmarkStart w:id="69" w:name="LINK_050698"/>
            <w:r w:rsidRPr="003A3374">
              <w:fldChar w:fldCharType="begin"/>
            </w:r>
            <w:r w:rsidRPr="003A3374">
              <w:instrText xml:space="preserve"> SEQ Fig </w:instrText>
            </w:r>
            <w:r w:rsidRPr="003A3374">
              <w:fldChar w:fldCharType="separate"/>
            </w:r>
            <w:r w:rsidR="006A4635" w:rsidRPr="003A3374">
              <w:rPr>
                <w:noProof/>
              </w:rPr>
              <w:t>36</w:t>
            </w:r>
            <w:r w:rsidRPr="003A3374">
              <w:fldChar w:fldCharType="end"/>
            </w:r>
            <w:bookmarkEnd w:id="69"/>
            <w:r w:rsidRPr="003A3374">
              <w:t xml:space="preserve">: </w:t>
            </w:r>
            <w:r w:rsidR="009E263C" w:rsidRPr="003A3374">
              <w:t>Dominant share of shelves</w:t>
            </w:r>
          </w:p>
        </w:tc>
        <w:tc>
          <w:tcPr>
            <w:tcW w:w="227" w:type="dxa"/>
            <w:vAlign w:val="bottom"/>
          </w:tcPr>
          <w:p w14:paraId="488E8F79" w14:textId="77777777" w:rsidR="00082FF8" w:rsidRPr="003A3374" w:rsidRDefault="00082FF8" w:rsidP="00ED6730">
            <w:pPr>
              <w:pStyle w:val="Normal0"/>
            </w:pPr>
          </w:p>
        </w:tc>
        <w:tc>
          <w:tcPr>
            <w:tcW w:w="4705" w:type="dxa"/>
            <w:tcBorders>
              <w:bottom w:val="single" w:sz="8" w:space="0" w:color="000000" w:themeColor="text1"/>
            </w:tcBorders>
            <w:vAlign w:val="bottom"/>
          </w:tcPr>
          <w:p w14:paraId="2022E80E" w14:textId="6F0B8798" w:rsidR="00082FF8" w:rsidRPr="003A3374" w:rsidRDefault="00082FF8" w:rsidP="00ED6730">
            <w:pPr>
              <w:pStyle w:val="TableTitle"/>
            </w:pPr>
            <w:r w:rsidRPr="003A3374">
              <w:t xml:space="preserve">Fig </w:t>
            </w:r>
            <w:bookmarkStart w:id="70" w:name="LINK_050459"/>
            <w:r w:rsidRPr="003A3374">
              <w:fldChar w:fldCharType="begin"/>
            </w:r>
            <w:r w:rsidRPr="003A3374">
              <w:instrText xml:space="preserve"> SEQ Fig </w:instrText>
            </w:r>
            <w:r w:rsidRPr="003A3374">
              <w:fldChar w:fldCharType="separate"/>
            </w:r>
            <w:r w:rsidR="006A4635" w:rsidRPr="003A3374">
              <w:rPr>
                <w:noProof/>
              </w:rPr>
              <w:t>37</w:t>
            </w:r>
            <w:r w:rsidRPr="003A3374">
              <w:fldChar w:fldCharType="end"/>
            </w:r>
            <w:bookmarkEnd w:id="70"/>
            <w:r w:rsidRPr="003A3374">
              <w:t xml:space="preserve">: </w:t>
            </w:r>
            <w:r w:rsidR="0020444C" w:rsidRPr="003A3374">
              <w:t>Stimulating sales at the checkout register</w:t>
            </w:r>
          </w:p>
        </w:tc>
      </w:tr>
      <w:tr w:rsidR="00082FF8" w:rsidRPr="003A3374" w14:paraId="5A0BBC53" w14:textId="77777777" w:rsidTr="00082FF8">
        <w:trPr>
          <w:cantSplit/>
          <w:trHeight w:val="2835"/>
        </w:trPr>
        <w:tc>
          <w:tcPr>
            <w:tcW w:w="4705" w:type="dxa"/>
            <w:tcBorders>
              <w:top w:val="single" w:sz="8" w:space="0" w:color="000000" w:themeColor="text1"/>
              <w:bottom w:val="single" w:sz="8" w:space="0" w:color="000000" w:themeColor="text1"/>
            </w:tcBorders>
          </w:tcPr>
          <w:p w14:paraId="3D016CE3" w14:textId="2EA2F5D1" w:rsidR="00082FF8" w:rsidRPr="003A3374" w:rsidRDefault="00082FF8" w:rsidP="00ED6730">
            <w:pPr>
              <w:pStyle w:val="Tableplaceholder"/>
            </w:pPr>
            <w:r w:rsidRPr="003A3374">
              <w:rPr>
                <w:noProof/>
              </w:rPr>
              <w:drawing>
                <wp:inline distT="0" distB="0" distL="0" distR="0" wp14:anchorId="3CBD14DD" wp14:editId="0FBAFEBA">
                  <wp:extent cx="2879795" cy="2160000"/>
                  <wp:effectExtent l="0" t="0" r="0" b="0"/>
                  <wp:docPr id="12341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6256" name=""/>
                          <pic:cNvPicPr/>
                        </pic:nvPicPr>
                        <pic:blipFill>
                          <a:blip r:embed="rId62"/>
                          <a:stretch>
                            <a:fillRect/>
                          </a:stretch>
                        </pic:blipFill>
                        <pic:spPr>
                          <a:xfrm>
                            <a:off x="0" y="0"/>
                            <a:ext cx="2879795" cy="2160000"/>
                          </a:xfrm>
                          <a:prstGeom prst="rect">
                            <a:avLst/>
                          </a:prstGeom>
                        </pic:spPr>
                      </pic:pic>
                    </a:graphicData>
                  </a:graphic>
                </wp:inline>
              </w:drawing>
            </w:r>
          </w:p>
        </w:tc>
        <w:tc>
          <w:tcPr>
            <w:tcW w:w="227" w:type="dxa"/>
          </w:tcPr>
          <w:p w14:paraId="7ABB1368" w14:textId="77777777" w:rsidR="00082FF8" w:rsidRPr="003A3374" w:rsidRDefault="00082FF8" w:rsidP="00ED6730">
            <w:pPr>
              <w:pStyle w:val="Normal0"/>
            </w:pPr>
          </w:p>
        </w:tc>
        <w:tc>
          <w:tcPr>
            <w:tcW w:w="4705" w:type="dxa"/>
            <w:tcBorders>
              <w:top w:val="single" w:sz="8" w:space="0" w:color="000000" w:themeColor="text1"/>
              <w:bottom w:val="single" w:sz="8" w:space="0" w:color="000000" w:themeColor="text1"/>
            </w:tcBorders>
          </w:tcPr>
          <w:p w14:paraId="75E47FE7" w14:textId="518140AE" w:rsidR="00082FF8" w:rsidRPr="003A3374" w:rsidRDefault="002B532F" w:rsidP="00ED6730">
            <w:pPr>
              <w:pStyle w:val="Tableplaceholder"/>
            </w:pPr>
            <w:r w:rsidRPr="003A3374">
              <w:rPr>
                <w:noProof/>
              </w:rPr>
              <w:drawing>
                <wp:inline distT="0" distB="0" distL="0" distR="0" wp14:anchorId="669B2F98" wp14:editId="73BF6EAF">
                  <wp:extent cx="2879795" cy="2160000"/>
                  <wp:effectExtent l="0" t="0" r="0" b="0"/>
                  <wp:docPr id="66220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06428" name=""/>
                          <pic:cNvPicPr/>
                        </pic:nvPicPr>
                        <pic:blipFill>
                          <a:blip r:embed="rId63"/>
                          <a:stretch>
                            <a:fillRect/>
                          </a:stretch>
                        </pic:blipFill>
                        <pic:spPr>
                          <a:xfrm>
                            <a:off x="0" y="0"/>
                            <a:ext cx="2879795" cy="2160000"/>
                          </a:xfrm>
                          <a:prstGeom prst="rect">
                            <a:avLst/>
                          </a:prstGeom>
                        </pic:spPr>
                      </pic:pic>
                    </a:graphicData>
                  </a:graphic>
                </wp:inline>
              </w:drawing>
            </w:r>
          </w:p>
        </w:tc>
      </w:tr>
      <w:tr w:rsidR="00082FF8" w:rsidRPr="003A3374" w14:paraId="5516EA98" w14:textId="77777777" w:rsidTr="00ED6730">
        <w:trPr>
          <w:cantSplit/>
        </w:trPr>
        <w:tc>
          <w:tcPr>
            <w:tcW w:w="4705" w:type="dxa"/>
            <w:tcBorders>
              <w:top w:val="single" w:sz="8" w:space="0" w:color="000000" w:themeColor="text1"/>
            </w:tcBorders>
          </w:tcPr>
          <w:p w14:paraId="0F449C4A" w14:textId="77777777" w:rsidR="00082FF8" w:rsidRPr="003A3374" w:rsidRDefault="00082FF8" w:rsidP="00ED6730">
            <w:pPr>
              <w:pStyle w:val="TableSource"/>
            </w:pPr>
            <w:r w:rsidRPr="003A3374">
              <w:t>Source: Rothschild &amp; Co Redburn</w:t>
            </w:r>
          </w:p>
        </w:tc>
        <w:tc>
          <w:tcPr>
            <w:tcW w:w="227" w:type="dxa"/>
          </w:tcPr>
          <w:p w14:paraId="562C7815" w14:textId="77777777" w:rsidR="00082FF8" w:rsidRPr="003A3374" w:rsidRDefault="00082FF8" w:rsidP="00ED6730">
            <w:pPr>
              <w:pStyle w:val="Normal0"/>
            </w:pPr>
          </w:p>
        </w:tc>
        <w:tc>
          <w:tcPr>
            <w:tcW w:w="4705" w:type="dxa"/>
            <w:tcBorders>
              <w:top w:val="single" w:sz="8" w:space="0" w:color="000000" w:themeColor="text1"/>
            </w:tcBorders>
          </w:tcPr>
          <w:p w14:paraId="03079620" w14:textId="77777777" w:rsidR="00082FF8" w:rsidRPr="003A3374" w:rsidRDefault="00082FF8" w:rsidP="00ED6730">
            <w:pPr>
              <w:pStyle w:val="TableSource"/>
            </w:pPr>
            <w:r w:rsidRPr="003A3374">
              <w:t>Source: Rothschild &amp; Co Redburn</w:t>
            </w:r>
          </w:p>
        </w:tc>
      </w:tr>
    </w:tbl>
    <w:p w14:paraId="27D363F2" w14:textId="18CA9C28" w:rsidR="00703CBB" w:rsidRPr="003A3374" w:rsidRDefault="00205D35" w:rsidP="009B5BCF">
      <w:pPr>
        <w:pStyle w:val="Heading10"/>
      </w:pPr>
      <w:bookmarkStart w:id="71" w:name="_Toc214545134"/>
      <w:r w:rsidRPr="003A3374">
        <w:t>The road ahead</w:t>
      </w:r>
      <w:bookmarkEnd w:id="71"/>
    </w:p>
    <w:p w14:paraId="38EA869E" w14:textId="62D00EAE" w:rsidR="00387D31" w:rsidRPr="003A3374" w:rsidRDefault="00032021" w:rsidP="00703CBB">
      <w:pPr>
        <w:pStyle w:val="BodyText"/>
      </w:pPr>
      <w:r w:rsidRPr="003A3374">
        <w:t>The market tour reinforced our view that CCGB’s execution has made a step change improvement since the days of CCE. The local culture has been transformed and it was notable that the field sales team</w:t>
      </w:r>
      <w:r w:rsidR="009F6C71" w:rsidRPr="003A3374">
        <w:t xml:space="preserve"> is</w:t>
      </w:r>
      <w:r w:rsidRPr="003A3374">
        <w:t xml:space="preserve"> now ‘playing to win’ rather than the old defensive mindset in the 2010s as CCE struggled to combat the rise of Pepsi Max under Britvic.</w:t>
      </w:r>
    </w:p>
    <w:p w14:paraId="151D0D24" w14:textId="57ED1D4A" w:rsidR="00542F01" w:rsidRPr="003A3374" w:rsidRDefault="00CC5D78" w:rsidP="00703CBB">
      <w:pPr>
        <w:pStyle w:val="BodyText"/>
      </w:pPr>
      <w:r w:rsidRPr="003A3374">
        <w:t>Going forward</w:t>
      </w:r>
      <w:r w:rsidR="00032021" w:rsidRPr="003A3374">
        <w:t>s</w:t>
      </w:r>
      <w:r w:rsidR="002E088D" w:rsidRPr="003A3374">
        <w:t>,</w:t>
      </w:r>
      <w:r w:rsidRPr="003A3374">
        <w:t xml:space="preserve"> the local operating environment</w:t>
      </w:r>
      <w:r w:rsidR="002E088D" w:rsidRPr="003A3374">
        <w:t xml:space="preserve"> in Great Britain</w:t>
      </w:r>
      <w:r w:rsidRPr="003A3374">
        <w:t xml:space="preserve"> is unlikely to ease and, in our view, the two biggest risks </w:t>
      </w:r>
      <w:r w:rsidR="002E088D" w:rsidRPr="003A3374">
        <w:t>to CCGB</w:t>
      </w:r>
      <w:r w:rsidR="00032021" w:rsidRPr="003A3374">
        <w:t>’s long-term sales growth</w:t>
      </w:r>
      <w:r w:rsidR="002E088D" w:rsidRPr="003A3374">
        <w:t xml:space="preserve"> </w:t>
      </w:r>
      <w:r w:rsidRPr="003A3374">
        <w:t>come from aggressive competitor behaviour and further government policy changes.</w:t>
      </w:r>
    </w:p>
    <w:p w14:paraId="5CAB0E22" w14:textId="62E81B5D" w:rsidR="00CC5D78" w:rsidRPr="003A3374" w:rsidRDefault="00CC5D78" w:rsidP="009B5BCF">
      <w:pPr>
        <w:pStyle w:val="Heading20"/>
      </w:pPr>
      <w:bookmarkStart w:id="72" w:name="_Toc214545135"/>
      <w:r w:rsidRPr="003A3374">
        <w:t>Implications of Carlsberg-Britvic</w:t>
      </w:r>
      <w:bookmarkEnd w:id="72"/>
    </w:p>
    <w:p w14:paraId="31BA94B4" w14:textId="3F749B16" w:rsidR="00BA2AE3" w:rsidRPr="003A3374" w:rsidRDefault="00546E30" w:rsidP="001A395F">
      <w:pPr>
        <w:pStyle w:val="BodyText"/>
      </w:pPr>
      <w:r w:rsidRPr="003A3374">
        <w:t xml:space="preserve">In January 2025, </w:t>
      </w:r>
      <w:r w:rsidR="00BA2AE3" w:rsidRPr="003A3374">
        <w:t>CCGB’s main competitor and</w:t>
      </w:r>
      <w:r w:rsidRPr="003A3374">
        <w:t xml:space="preserve"> </w:t>
      </w:r>
      <w:r w:rsidR="00BA2AE3" w:rsidRPr="003A3374">
        <w:t xml:space="preserve">the </w:t>
      </w:r>
      <w:r w:rsidRPr="003A3374">
        <w:t xml:space="preserve">Pepsi bottler in </w:t>
      </w:r>
      <w:r w:rsidR="001A395F" w:rsidRPr="003A3374">
        <w:t>the UK</w:t>
      </w:r>
      <w:r w:rsidRPr="003A3374">
        <w:t>, Britvic, was acquired by Carlsberg to create Carlsberg-Britvic</w:t>
      </w:r>
      <w:r w:rsidR="001A395F" w:rsidRPr="003A3374">
        <w:t>, which is now the largest multi-beverage supplier in the UK.</w:t>
      </w:r>
      <w:r w:rsidR="00BA2AE3" w:rsidRPr="003A3374">
        <w:t xml:space="preserve"> Before discussing the impact this could have on the British soft drinks market, the most pressing question we have received from investors regards the cost savings plan.</w:t>
      </w:r>
    </w:p>
    <w:p w14:paraId="51420926" w14:textId="7E09194E" w:rsidR="00546E30" w:rsidRPr="003A3374" w:rsidRDefault="00BA2AE3" w:rsidP="001A395F">
      <w:pPr>
        <w:pStyle w:val="BodyText"/>
      </w:pPr>
      <w:r w:rsidRPr="003A3374">
        <w:t xml:space="preserve">Upon acquisition, </w:t>
      </w:r>
      <w:r w:rsidR="00546E30" w:rsidRPr="003A3374">
        <w:t>Carlsberg announced a £100m cost savings plan</w:t>
      </w:r>
      <w:r w:rsidR="00795926" w:rsidRPr="003A3374">
        <w:t xml:space="preserve"> </w:t>
      </w:r>
      <w:r w:rsidRPr="003A3374">
        <w:t xml:space="preserve">for Carlsberg-Britvic </w:t>
      </w:r>
      <w:r w:rsidR="00795926" w:rsidRPr="003A3374">
        <w:t>to the end of 2029</w:t>
      </w:r>
      <w:r w:rsidR="00546E30" w:rsidRPr="003A3374">
        <w:t>, equivalent to 6% of Britvic’s sales</w:t>
      </w:r>
      <w:r w:rsidR="002C2DF7" w:rsidRPr="003A3374">
        <w:t>, from sources such as procurement, supply chain and administration and overheads</w:t>
      </w:r>
      <w:r w:rsidR="00546E30" w:rsidRPr="003A3374">
        <w:t>.</w:t>
      </w:r>
    </w:p>
    <w:p w14:paraId="2B9C9845" w14:textId="4BDEB2F4" w:rsidR="00297A91" w:rsidRPr="003A3374" w:rsidRDefault="004379DE" w:rsidP="00297A91">
      <w:pPr>
        <w:pStyle w:val="BodyText"/>
      </w:pPr>
      <w:r w:rsidRPr="003A3374">
        <w:lastRenderedPageBreak/>
        <w:t xml:space="preserve">Before the acquisition we covered Britvic with a Buy rating and we would have struggled to envisage cost savings of </w:t>
      </w:r>
      <w:r w:rsidR="003746AF" w:rsidRPr="003A3374">
        <w:t>this</w:t>
      </w:r>
      <w:r w:rsidRPr="003A3374">
        <w:t xml:space="preserve"> magnitude</w:t>
      </w:r>
      <w:r w:rsidR="0071584E" w:rsidRPr="003A3374">
        <w:t xml:space="preserve"> were possible without </w:t>
      </w:r>
      <w:r w:rsidR="001239E9" w:rsidRPr="003A3374">
        <w:t xml:space="preserve">exiting parts of the business and without </w:t>
      </w:r>
      <w:r w:rsidR="0071584E" w:rsidRPr="003A3374">
        <w:t xml:space="preserve">jeopardising </w:t>
      </w:r>
      <w:r w:rsidR="00A00544" w:rsidRPr="003A3374">
        <w:t xml:space="preserve">front-line </w:t>
      </w:r>
      <w:r w:rsidR="0071584E" w:rsidRPr="003A3374">
        <w:t>execution,</w:t>
      </w:r>
      <w:r w:rsidRPr="003A3374">
        <w:t xml:space="preserve"> </w:t>
      </w:r>
      <w:r w:rsidR="0071584E" w:rsidRPr="003A3374">
        <w:t xml:space="preserve">especially after the company underwent a </w:t>
      </w:r>
      <w:r w:rsidR="00433E80" w:rsidRPr="003A3374">
        <w:t xml:space="preserve">£240m </w:t>
      </w:r>
      <w:r w:rsidR="0071584E" w:rsidRPr="003A3374">
        <w:t>supply chain transformation (</w:t>
      </w:r>
      <w:r w:rsidR="00BA48DD" w:rsidRPr="003A3374">
        <w:t xml:space="preserve">termed the </w:t>
      </w:r>
      <w:r w:rsidR="0071584E" w:rsidRPr="003A3374">
        <w:t>‘Business Capability Programme’</w:t>
      </w:r>
      <w:r w:rsidR="00BA48DD" w:rsidRPr="003A3374">
        <w:t xml:space="preserve"> (BCP)</w:t>
      </w:r>
      <w:r w:rsidR="0071584E" w:rsidRPr="003A3374">
        <w:t>)</w:t>
      </w:r>
      <w:r w:rsidR="00362083" w:rsidRPr="003A3374">
        <w:t xml:space="preserve"> in Great Britain (two-thirds of Britvic’s total revenue)</w:t>
      </w:r>
      <w:r w:rsidR="0071584E" w:rsidRPr="003A3374">
        <w:t xml:space="preserve"> from 2015-19</w:t>
      </w:r>
      <w:r w:rsidR="0056472D" w:rsidRPr="003A3374">
        <w:t xml:space="preserve"> with the aim of optimising and future-proofing the business.</w:t>
      </w:r>
      <w:r w:rsidR="00342880" w:rsidRPr="003A3374">
        <w:t xml:space="preserve"> This was a vast programme that included commissioning ten new</w:t>
      </w:r>
      <w:r w:rsidR="00A00544" w:rsidRPr="003A3374">
        <w:t>,</w:t>
      </w:r>
      <w:r w:rsidR="00342880" w:rsidRPr="003A3374">
        <w:t xml:space="preserve"> more efficient production lines, shifting production from Norwich to Rugby to reduce logistics costs, upgrading the </w:t>
      </w:r>
      <w:r w:rsidR="00A00544" w:rsidRPr="003A3374">
        <w:t xml:space="preserve">existing </w:t>
      </w:r>
      <w:r w:rsidR="00342880" w:rsidRPr="003A3374">
        <w:t>warehouses</w:t>
      </w:r>
      <w:r w:rsidR="00A00544" w:rsidRPr="003A3374">
        <w:t>,</w:t>
      </w:r>
      <w:r w:rsidR="00342880" w:rsidRPr="003A3374">
        <w:t xml:space="preserve"> and building a </w:t>
      </w:r>
      <w:r w:rsidR="00A00544" w:rsidRPr="003A3374">
        <w:t xml:space="preserve">new, </w:t>
      </w:r>
      <w:r w:rsidR="00297A91" w:rsidRPr="003A3374">
        <w:t>fully automated</w:t>
      </w:r>
      <w:r w:rsidR="00342880" w:rsidRPr="003A3374">
        <w:t xml:space="preserve"> high-bay warehouse at Rugby, and more.</w:t>
      </w:r>
    </w:p>
    <w:p w14:paraId="1B493735" w14:textId="1DCEA194" w:rsidR="001239E9" w:rsidRPr="003A3374" w:rsidRDefault="004379DE" w:rsidP="002115F0">
      <w:pPr>
        <w:pStyle w:val="BodyText"/>
      </w:pPr>
      <w:r w:rsidRPr="003A3374">
        <w:t>Then, a</w:t>
      </w:r>
      <w:r w:rsidR="009026E1" w:rsidRPr="003A3374">
        <w:t xml:space="preserve">t its October 2025 Capital Markets Day, Carlsberg raised </w:t>
      </w:r>
      <w:r w:rsidR="003746AF" w:rsidRPr="003A3374">
        <w:t>the</w:t>
      </w:r>
      <w:r w:rsidR="009026E1" w:rsidRPr="003A3374">
        <w:t xml:space="preserve"> cost savings target from £100m to £110m (7%</w:t>
      </w:r>
      <w:r w:rsidRPr="003A3374">
        <w:t xml:space="preserve"> of Britvic’s sales</w:t>
      </w:r>
      <w:r w:rsidR="009026E1" w:rsidRPr="003A3374">
        <w:t xml:space="preserve">). </w:t>
      </w:r>
      <w:r w:rsidR="001239E9" w:rsidRPr="003A3374">
        <w:t xml:space="preserve">We </w:t>
      </w:r>
      <w:r w:rsidR="00897F16" w:rsidRPr="003A3374">
        <w:t>suspect</w:t>
      </w:r>
      <w:r w:rsidR="001239E9" w:rsidRPr="003A3374">
        <w:t xml:space="preserve"> that </w:t>
      </w:r>
      <w:r w:rsidR="00897F16" w:rsidRPr="003A3374">
        <w:t xml:space="preserve">part </w:t>
      </w:r>
      <w:r w:rsidR="001239E9" w:rsidRPr="003A3374">
        <w:t xml:space="preserve">of this increase is due to the </w:t>
      </w:r>
      <w:r w:rsidR="00362083" w:rsidRPr="003A3374">
        <w:t xml:space="preserve">planned </w:t>
      </w:r>
      <w:r w:rsidR="001239E9" w:rsidRPr="003A3374">
        <w:t xml:space="preserve">closure of the Teisseire plant in France </w:t>
      </w:r>
      <w:r w:rsidR="00133636" w:rsidRPr="003A3374">
        <w:t xml:space="preserve">and </w:t>
      </w:r>
      <w:r w:rsidR="003746AF" w:rsidRPr="003A3374">
        <w:t xml:space="preserve">the </w:t>
      </w:r>
      <w:r w:rsidR="002115F0" w:rsidRPr="003A3374">
        <w:t xml:space="preserve">decision to </w:t>
      </w:r>
      <w:r w:rsidR="00133636" w:rsidRPr="003A3374">
        <w:t>outsource production to Slaur-Sardet</w:t>
      </w:r>
      <w:r w:rsidR="00B13A4C" w:rsidRPr="003A3374">
        <w:t>;</w:t>
      </w:r>
      <w:r w:rsidR="001B1D2D" w:rsidRPr="003A3374">
        <w:t xml:space="preserve"> a copacker for Teisseire since 2022. </w:t>
      </w:r>
      <w:r w:rsidR="002115F0" w:rsidRPr="003A3374">
        <w:t>This will unlock cost savings, but it will not solve Teisseire's top-line issues: Britvic’s largest French brand had been in decline for a decade with softening volume</w:t>
      </w:r>
      <w:r w:rsidR="00045096" w:rsidRPr="003A3374">
        <w:t>s</w:t>
      </w:r>
      <w:r w:rsidR="002115F0" w:rsidRPr="003A3374">
        <w:t xml:space="preserve"> and pricing that was insufficient to cover inflation</w:t>
      </w:r>
      <w:r w:rsidR="0015766A" w:rsidRPr="003A3374">
        <w:t xml:space="preserve">, </w:t>
      </w:r>
      <w:r w:rsidR="005112A9" w:rsidRPr="003A3374">
        <w:t xml:space="preserve">leading to worsening profitability. We would not be surprised if Carlsberg were </w:t>
      </w:r>
      <w:r w:rsidR="003746AF" w:rsidRPr="003A3374">
        <w:t>to review</w:t>
      </w:r>
      <w:r w:rsidR="005112A9" w:rsidRPr="003A3374">
        <w:t xml:space="preserve"> the broader legacy </w:t>
      </w:r>
      <w:r w:rsidR="00076358" w:rsidRPr="003A3374">
        <w:t xml:space="preserve">Britvic </w:t>
      </w:r>
      <w:r w:rsidR="005112A9" w:rsidRPr="003A3374">
        <w:t>Fr</w:t>
      </w:r>
      <w:r w:rsidR="00076358" w:rsidRPr="003A3374">
        <w:t>ance</w:t>
      </w:r>
      <w:r w:rsidR="005112A9" w:rsidRPr="003A3374">
        <w:t xml:space="preserve"> business.</w:t>
      </w:r>
    </w:p>
    <w:p w14:paraId="44E79E42" w14:textId="7A2EA63D" w:rsidR="007E1A34" w:rsidRPr="003A3374" w:rsidRDefault="007C1919" w:rsidP="00390F27">
      <w:pPr>
        <w:pStyle w:val="BodyText"/>
      </w:pPr>
      <w:r w:rsidRPr="003A3374">
        <w:t xml:space="preserve">In our view, </w:t>
      </w:r>
      <w:r w:rsidR="00390F27" w:rsidRPr="003A3374">
        <w:t>this cost savings plan could create an</w:t>
      </w:r>
      <w:r w:rsidRPr="003A3374">
        <w:t xml:space="preserve"> opportunity for </w:t>
      </w:r>
      <w:r w:rsidR="00390F27" w:rsidRPr="003A3374">
        <w:t>CCGB</w:t>
      </w:r>
      <w:r w:rsidRPr="003A3374">
        <w:t xml:space="preserve"> </w:t>
      </w:r>
      <w:r w:rsidR="00FE5F46" w:rsidRPr="003A3374">
        <w:t>if</w:t>
      </w:r>
      <w:r w:rsidR="00390F27" w:rsidRPr="003A3374">
        <w:t xml:space="preserve">, for example, </w:t>
      </w:r>
      <w:r w:rsidR="00B156DB" w:rsidRPr="003A3374">
        <w:t xml:space="preserve">Carlsberg-Britvic </w:t>
      </w:r>
      <w:r w:rsidRPr="003A3374">
        <w:t xml:space="preserve">loses key talent which negatively impacts its execution, or </w:t>
      </w:r>
      <w:r w:rsidR="00390F27" w:rsidRPr="003A3374">
        <w:t>if Carlsberg-Britvic</w:t>
      </w:r>
      <w:r w:rsidRPr="003A3374">
        <w:t xml:space="preserve"> </w:t>
      </w:r>
      <w:r w:rsidR="00463C46" w:rsidRPr="003A3374">
        <w:t xml:space="preserve">loses focus </w:t>
      </w:r>
      <w:r w:rsidR="00390F27" w:rsidRPr="003A3374">
        <w:t>as it tries to deliver</w:t>
      </w:r>
      <w:r w:rsidR="00463C46" w:rsidRPr="003A3374">
        <w:t xml:space="preserve"> the</w:t>
      </w:r>
      <w:r w:rsidRPr="003A3374">
        <w:t xml:space="preserve"> </w:t>
      </w:r>
      <w:r w:rsidR="00463C46" w:rsidRPr="003A3374">
        <w:t xml:space="preserve">sizeable </w:t>
      </w:r>
      <w:r w:rsidRPr="003A3374">
        <w:t xml:space="preserve">cost savings </w:t>
      </w:r>
      <w:r w:rsidR="00463C46" w:rsidRPr="003A3374">
        <w:t>programme</w:t>
      </w:r>
      <w:r w:rsidR="00E90DBB" w:rsidRPr="003A3374">
        <w:t>,</w:t>
      </w:r>
      <w:r w:rsidR="00463C46" w:rsidRPr="003A3374">
        <w:t xml:space="preserve"> </w:t>
      </w:r>
      <w:r w:rsidRPr="003A3374">
        <w:t>which would have the same outcome.</w:t>
      </w:r>
    </w:p>
    <w:p w14:paraId="1A840DD5" w14:textId="2FF88A4C" w:rsidR="00815D19" w:rsidRPr="003A3374" w:rsidRDefault="00815D19" w:rsidP="00815D19">
      <w:pPr>
        <w:pStyle w:val="BodyText"/>
      </w:pPr>
      <w:r w:rsidRPr="003A3374">
        <w:t>We have already seen the former happen and talent is leaving the</w:t>
      </w:r>
      <w:r w:rsidR="000E58D8" w:rsidRPr="003A3374">
        <w:t xml:space="preserve"> legacy</w:t>
      </w:r>
      <w:r w:rsidRPr="003A3374">
        <w:t xml:space="preserve"> Britvic business </w:t>
      </w:r>
      <w:r w:rsidR="00E90DBB" w:rsidRPr="003A3374">
        <w:t xml:space="preserve">for competitors </w:t>
      </w:r>
      <w:r w:rsidRPr="003A3374">
        <w:t xml:space="preserve">– AG Barr has been a beneficiary and hired Dino Labbate as the new Chief Commercial Officer (previously Britvic’s GB Commercial Director for Hospitality) and James Quemby as Retail Sales Director (previously Grocery Customer Director at Britvic i.e. the main driver in the grocery channel behind Ben Parker, who </w:t>
      </w:r>
      <w:r w:rsidR="00F24CAD" w:rsidRPr="003A3374">
        <w:t>remains</w:t>
      </w:r>
      <w:r w:rsidRPr="003A3374">
        <w:t xml:space="preserve"> at Carlsberg-Britvic as VP Sales </w:t>
      </w:r>
      <w:r w:rsidR="00F95DCE" w:rsidRPr="003A3374">
        <w:t>–</w:t>
      </w:r>
      <w:r w:rsidR="00BC0A4A" w:rsidRPr="003A3374">
        <w:t xml:space="preserve"> </w:t>
      </w:r>
      <w:r w:rsidRPr="003A3374">
        <w:t>Off Trade).</w:t>
      </w:r>
    </w:p>
    <w:p w14:paraId="7D548790" w14:textId="1965E727" w:rsidR="000E532E" w:rsidRPr="003A3374" w:rsidRDefault="000E532E" w:rsidP="00815D19">
      <w:pPr>
        <w:pStyle w:val="BodyText"/>
      </w:pPr>
      <w:r w:rsidRPr="003A3374">
        <w:t>On the latter</w:t>
      </w:r>
      <w:r w:rsidR="000E58D8" w:rsidRPr="003A3374">
        <w:t>,</w:t>
      </w:r>
      <w:r w:rsidRPr="003A3374">
        <w:t xml:space="preserve"> we will have to wait and see – it is rare in the consumer staples sector to see a company deliver both cost savings and accelerating top-line growth.</w:t>
      </w:r>
      <w:r w:rsidR="001D7508" w:rsidRPr="003A3374">
        <w:t xml:space="preserve"> Currently, there is little clarity on the specifics of Carlsberg’s £110m cost savings plan</w:t>
      </w:r>
      <w:r w:rsidR="00573F66" w:rsidRPr="003A3374">
        <w:t xml:space="preserve">, other than the </w:t>
      </w:r>
      <w:r w:rsidR="000E58D8" w:rsidRPr="003A3374">
        <w:t xml:space="preserve">high-level </w:t>
      </w:r>
      <w:r w:rsidR="00573F66" w:rsidRPr="003A3374">
        <w:t xml:space="preserve">sources </w:t>
      </w:r>
      <w:r w:rsidR="007431BF" w:rsidRPr="003A3374">
        <w:t>already</w:t>
      </w:r>
      <w:r w:rsidR="00573F66" w:rsidRPr="003A3374">
        <w:t xml:space="preserve"> outlined</w:t>
      </w:r>
      <w:r w:rsidR="001D7508" w:rsidRPr="003A3374">
        <w:t>.</w:t>
      </w:r>
    </w:p>
    <w:p w14:paraId="47C9FE6D" w14:textId="145701A1" w:rsidR="00453C38" w:rsidRPr="003A3374" w:rsidRDefault="00E22BD1" w:rsidP="004379DE">
      <w:pPr>
        <w:pStyle w:val="BodyText"/>
      </w:pPr>
      <w:r w:rsidRPr="003A3374">
        <w:t>Conversely</w:t>
      </w:r>
      <w:r w:rsidR="002B7C61" w:rsidRPr="003A3374">
        <w:t xml:space="preserve">, the main risk </w:t>
      </w:r>
      <w:r w:rsidR="000B2C0C" w:rsidRPr="003A3374">
        <w:t xml:space="preserve">to CCEP </w:t>
      </w:r>
      <w:r w:rsidR="002B7C61" w:rsidRPr="003A3374">
        <w:t xml:space="preserve">is that the new Carlsberg-Britvic entity, </w:t>
      </w:r>
      <w:r w:rsidR="007431BF" w:rsidRPr="003A3374">
        <w:t>helped by</w:t>
      </w:r>
      <w:r w:rsidR="002B7C61" w:rsidRPr="003A3374">
        <w:t xml:space="preserve"> a stronger strategic partnership with PepsiCo, creates a more capable competitor</w:t>
      </w:r>
      <w:r w:rsidR="00420CBC" w:rsidRPr="003A3374">
        <w:t xml:space="preserve"> in Great Britain</w:t>
      </w:r>
      <w:r w:rsidR="002B7C61" w:rsidRPr="003A3374">
        <w:t xml:space="preserve">. </w:t>
      </w:r>
    </w:p>
    <w:p w14:paraId="1A1E8395" w14:textId="45BDBF28" w:rsidR="00C425F0" w:rsidRPr="003A3374" w:rsidRDefault="00E22BD1" w:rsidP="009B5BCF">
      <w:pPr>
        <w:pStyle w:val="Heading20"/>
      </w:pPr>
      <w:bookmarkStart w:id="73" w:name="_Toc214545136"/>
      <w:r w:rsidRPr="003A3374">
        <w:t>Better</w:t>
      </w:r>
      <w:r w:rsidR="00C425F0" w:rsidRPr="003A3374">
        <w:t xml:space="preserve"> competition in sparkling</w:t>
      </w:r>
      <w:bookmarkEnd w:id="73"/>
    </w:p>
    <w:p w14:paraId="12073306" w14:textId="11163BFF" w:rsidR="008E0ECC" w:rsidRPr="003A3374" w:rsidRDefault="0028672B" w:rsidP="004379DE">
      <w:pPr>
        <w:pStyle w:val="BodyText"/>
      </w:pPr>
      <w:r w:rsidRPr="003A3374">
        <w:t>The crown jewel in Britvic’s</w:t>
      </w:r>
      <w:r w:rsidR="00595A1C" w:rsidRPr="003A3374">
        <w:t xml:space="preserve"> Great Britain</w:t>
      </w:r>
      <w:r w:rsidRPr="003A3374">
        <w:t xml:space="preserve"> portfolio is Pepsi Max which we estimate accounted for </w:t>
      </w:r>
      <w:r w:rsidR="00026F86" w:rsidRPr="003A3374">
        <w:t>close to</w:t>
      </w:r>
      <w:r w:rsidRPr="003A3374">
        <w:t xml:space="preserve"> half of Britvic’s </w:t>
      </w:r>
      <w:r w:rsidR="000B2C0C" w:rsidRPr="003A3374">
        <w:t>Great Britain</w:t>
      </w:r>
      <w:r w:rsidRPr="003A3374">
        <w:t xml:space="preserve"> sales prior to acquisition. </w:t>
      </w:r>
      <w:r w:rsidR="00556432" w:rsidRPr="003A3374">
        <w:t xml:space="preserve">The brand has risen from c17% volume share of the UK cola category in 2017 to c30% today, helped by the 2018 sugar tax which shifted consumers towards zero-calorie </w:t>
      </w:r>
      <w:r w:rsidR="007431BF" w:rsidRPr="003A3374">
        <w:t>soft drinks</w:t>
      </w:r>
      <w:r w:rsidR="00556432" w:rsidRPr="003A3374">
        <w:t xml:space="preserve"> (</w:t>
      </w:r>
      <w:r w:rsidR="006232A9" w:rsidRPr="003A3374">
        <w:t>Fig </w:t>
      </w:r>
      <w:r w:rsidR="006232A9" w:rsidRPr="003A3374">
        <w:fldChar w:fldCharType="begin"/>
      </w:r>
      <w:r w:rsidR="006232A9" w:rsidRPr="003A3374">
        <w:instrText xml:space="preserve"> REF LINK_007218 \h </w:instrText>
      </w:r>
      <w:r w:rsidR="006232A9" w:rsidRPr="003A3374">
        <w:fldChar w:fldCharType="separate"/>
      </w:r>
      <w:r w:rsidR="006A4635" w:rsidRPr="003A3374">
        <w:rPr>
          <w:noProof/>
        </w:rPr>
        <w:t>38</w:t>
      </w:r>
      <w:r w:rsidR="006232A9" w:rsidRPr="003A3374">
        <w:fldChar w:fldCharType="end"/>
      </w:r>
      <w:r w:rsidR="00556432" w:rsidRPr="003A3374">
        <w:t xml:space="preserve">). </w:t>
      </w:r>
    </w:p>
    <w:p w14:paraId="7B74CEF8" w14:textId="13A512E5" w:rsidR="00453C38" w:rsidRPr="003A3374" w:rsidRDefault="006232A9" w:rsidP="00046300">
      <w:pPr>
        <w:pStyle w:val="BodyText"/>
      </w:pPr>
      <w:r w:rsidRPr="003A3374">
        <w:lastRenderedPageBreak/>
        <w:t xml:space="preserve">More recently, </w:t>
      </w:r>
      <w:r w:rsidR="001E34D4" w:rsidRPr="003A3374">
        <w:t xml:space="preserve">Pepsi Max was also helped by a disastrous reformulation for regular Pepsi in early 2023 to accompany the </w:t>
      </w:r>
      <w:r w:rsidR="007431BF" w:rsidRPr="003A3374">
        <w:t>then</w:t>
      </w:r>
      <w:r w:rsidR="005C6D8F" w:rsidRPr="003A3374">
        <w:t>-</w:t>
      </w:r>
      <w:r w:rsidR="001E34D4" w:rsidRPr="003A3374">
        <w:t>new</w:t>
      </w:r>
      <w:r w:rsidR="00B73D00" w:rsidRPr="003A3374">
        <w:t xml:space="preserve"> Pepsi</w:t>
      </w:r>
      <w:r w:rsidR="001E34D4" w:rsidRPr="003A3374">
        <w:t xml:space="preserve"> logo – the sugar content was reduced and a blend of acesulfame-K and sucralose </w:t>
      </w:r>
      <w:r w:rsidR="00190F21" w:rsidRPr="003A3374">
        <w:t>was</w:t>
      </w:r>
      <w:r w:rsidR="001E34D4" w:rsidRPr="003A3374">
        <w:t xml:space="preserve"> added to replace the lost sweetness. </w:t>
      </w:r>
      <w:r w:rsidR="002967DE" w:rsidRPr="003A3374">
        <w:t>Circana data implies these lost volumes were picked up by Pepsi Max, which now accounts for c85% of Trademark Pepsi volumes in the UK.</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D318FB" w:rsidRPr="003A3374" w14:paraId="6AE34416" w14:textId="77777777" w:rsidTr="00D318FB">
        <w:trPr>
          <w:cantSplit/>
          <w:tblHeader/>
        </w:trPr>
        <w:tc>
          <w:tcPr>
            <w:tcW w:w="7654" w:type="dxa"/>
            <w:tcBorders>
              <w:bottom w:val="single" w:sz="8" w:space="0" w:color="000000" w:themeColor="text1"/>
            </w:tcBorders>
            <w:vAlign w:val="bottom"/>
          </w:tcPr>
          <w:p w14:paraId="718DE050" w14:textId="31710FA8" w:rsidR="00D318FB" w:rsidRPr="003A3374" w:rsidRDefault="00D318FB" w:rsidP="00D318FB">
            <w:pPr>
              <w:pStyle w:val="TableTitle"/>
            </w:pPr>
            <w:bookmarkStart w:id="74" w:name="PH_1_4_1_065352"/>
            <w:r w:rsidRPr="003A3374">
              <w:t xml:space="preserve">Fig </w:t>
            </w:r>
            <w:bookmarkStart w:id="75" w:name="LINK_007218"/>
            <w:r w:rsidRPr="003A3374">
              <w:fldChar w:fldCharType="begin"/>
            </w:r>
            <w:r w:rsidRPr="003A3374">
              <w:instrText xml:space="preserve"> SEQ Fig </w:instrText>
            </w:r>
            <w:r w:rsidRPr="003A3374">
              <w:fldChar w:fldCharType="separate"/>
            </w:r>
            <w:r w:rsidR="006A4635" w:rsidRPr="003A3374">
              <w:rPr>
                <w:noProof/>
              </w:rPr>
              <w:t>38</w:t>
            </w:r>
            <w:r w:rsidRPr="003A3374">
              <w:fldChar w:fldCharType="end"/>
            </w:r>
            <w:bookmarkEnd w:id="75"/>
            <w:r w:rsidRPr="003A3374">
              <w:t xml:space="preserve">: </w:t>
            </w:r>
            <w:r w:rsidR="00EC725E" w:rsidRPr="003A3374">
              <w:t>All about Pepsi Max</w:t>
            </w:r>
          </w:p>
        </w:tc>
      </w:tr>
      <w:tr w:rsidR="00D318FB" w:rsidRPr="003A3374" w14:paraId="4B87DFF2" w14:textId="77777777" w:rsidTr="00D318FB">
        <w:trPr>
          <w:cantSplit/>
        </w:trPr>
        <w:tc>
          <w:tcPr>
            <w:tcW w:w="7654" w:type="dxa"/>
            <w:tcBorders>
              <w:top w:val="single" w:sz="8" w:space="0" w:color="000000" w:themeColor="text1"/>
              <w:bottom w:val="single" w:sz="8" w:space="0" w:color="000000" w:themeColor="text1"/>
            </w:tcBorders>
          </w:tcPr>
          <w:p w14:paraId="2BB7F6E8" w14:textId="655889C6" w:rsidR="00D318FB" w:rsidRPr="003A3374" w:rsidRDefault="00D80454" w:rsidP="00D318FB">
            <w:pPr>
              <w:pStyle w:val="Tableplaceholder"/>
            </w:pPr>
            <w:r w:rsidRPr="003A3374">
              <w:rPr>
                <w:noProof/>
              </w:rPr>
              <w:drawing>
                <wp:inline distT="0" distB="0" distL="0" distR="0" wp14:anchorId="24AD4388" wp14:editId="5DD59240">
                  <wp:extent cx="4841240" cy="2156460"/>
                  <wp:effectExtent l="0" t="0" r="0" b="0"/>
                  <wp:docPr id="80606081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841240" cy="2156460"/>
                          </a:xfrm>
                          <a:prstGeom prst="rect">
                            <a:avLst/>
                          </a:prstGeom>
                          <a:noFill/>
                          <a:ln>
                            <a:noFill/>
                          </a:ln>
                        </pic:spPr>
                      </pic:pic>
                    </a:graphicData>
                  </a:graphic>
                </wp:inline>
              </w:drawing>
            </w:r>
          </w:p>
        </w:tc>
      </w:tr>
      <w:tr w:rsidR="00D318FB" w:rsidRPr="003A3374" w14:paraId="4771DD53" w14:textId="77777777" w:rsidTr="00D318FB">
        <w:trPr>
          <w:cantSplit/>
        </w:trPr>
        <w:tc>
          <w:tcPr>
            <w:tcW w:w="7654" w:type="dxa"/>
            <w:tcBorders>
              <w:top w:val="single" w:sz="8" w:space="0" w:color="000000" w:themeColor="text1"/>
            </w:tcBorders>
          </w:tcPr>
          <w:p w14:paraId="36A73390" w14:textId="54A12DCF" w:rsidR="00D318FB" w:rsidRPr="003A3374" w:rsidRDefault="00D318FB" w:rsidP="00D318FB">
            <w:pPr>
              <w:pStyle w:val="TableSource"/>
            </w:pPr>
            <w:r w:rsidRPr="003A3374">
              <w:t>Source: Rothschild &amp; Co Redburn, Circana</w:t>
            </w:r>
          </w:p>
        </w:tc>
      </w:tr>
      <w:bookmarkEnd w:id="74"/>
    </w:tbl>
    <w:p w14:paraId="764493F6" w14:textId="77777777" w:rsidR="00D318FB" w:rsidRPr="003A3374" w:rsidRDefault="00D318FB" w:rsidP="00694885">
      <w:pPr>
        <w:pStyle w:val="Tablespaceafter"/>
      </w:pPr>
    </w:p>
    <w:p w14:paraId="0D9CCAFE" w14:textId="422A169E" w:rsidR="008E0ECC" w:rsidRPr="003A3374" w:rsidRDefault="008E0ECC" w:rsidP="008E0ECC">
      <w:pPr>
        <w:pStyle w:val="BodyText"/>
      </w:pPr>
      <w:r w:rsidRPr="003A3374">
        <w:t>In</w:t>
      </w:r>
      <w:r w:rsidR="00046300" w:rsidRPr="003A3374">
        <w:t xml:space="preserve"> 2025</w:t>
      </w:r>
      <w:r w:rsidR="00214B35" w:rsidRPr="003A3374">
        <w:t xml:space="preserve">, </w:t>
      </w:r>
      <w:r w:rsidR="00046300" w:rsidRPr="003A3374">
        <w:t xml:space="preserve">we </w:t>
      </w:r>
      <w:r w:rsidRPr="003A3374">
        <w:t>have seen a raft of new innovation launches</w:t>
      </w:r>
      <w:r w:rsidR="006E1BAB" w:rsidRPr="003A3374">
        <w:t xml:space="preserve"> by Carlsberg-Britvic</w:t>
      </w:r>
      <w:r w:rsidRPr="003A3374">
        <w:t xml:space="preserve"> in Great Britain</w:t>
      </w:r>
      <w:r w:rsidR="00046300" w:rsidRPr="003A3374">
        <w:t xml:space="preserve"> to support </w:t>
      </w:r>
      <w:r w:rsidR="00B51C87" w:rsidRPr="003A3374">
        <w:t xml:space="preserve">the </w:t>
      </w:r>
      <w:r w:rsidR="00546B6F" w:rsidRPr="003A3374">
        <w:t xml:space="preserve">sparkling </w:t>
      </w:r>
      <w:r w:rsidR="00B51C87" w:rsidRPr="003A3374">
        <w:t>portfolio</w:t>
      </w:r>
      <w:r w:rsidRPr="003A3374">
        <w:t>:</w:t>
      </w:r>
    </w:p>
    <w:p w14:paraId="53243CC0" w14:textId="4DA257CD" w:rsidR="008E0ECC" w:rsidRPr="003A3374" w:rsidRDefault="008E0ECC" w:rsidP="008E0ECC">
      <w:pPr>
        <w:pStyle w:val="Bullet"/>
      </w:pPr>
      <w:r w:rsidRPr="003A3374">
        <w:t xml:space="preserve">Pepsi </w:t>
      </w:r>
      <w:r w:rsidR="00387D31" w:rsidRPr="003A3374">
        <w:t>Zero Sugar</w:t>
      </w:r>
      <w:r w:rsidRPr="003A3374">
        <w:t xml:space="preserve"> Strawberries ‘N’ Cream Soda and Cream Soda</w:t>
      </w:r>
      <w:r w:rsidR="00F40CC1" w:rsidRPr="003A3374">
        <w:t xml:space="preserve"> launched</w:t>
      </w:r>
      <w:r w:rsidRPr="003A3374">
        <w:t xml:space="preserve"> in January 2025</w:t>
      </w:r>
      <w:r w:rsidR="00387D31" w:rsidRPr="003A3374">
        <w:t xml:space="preserve"> (these were launched in the US first and </w:t>
      </w:r>
      <w:r w:rsidR="00C55C87" w:rsidRPr="003A3374">
        <w:t>have now been launched</w:t>
      </w:r>
      <w:r w:rsidR="00387D31" w:rsidRPr="003A3374">
        <w:t xml:space="preserve"> </w:t>
      </w:r>
      <w:r w:rsidR="00F40CC1" w:rsidRPr="003A3374">
        <w:t xml:space="preserve">in </w:t>
      </w:r>
      <w:r w:rsidR="00387D31" w:rsidRPr="003A3374">
        <w:t xml:space="preserve">the UK, but </w:t>
      </w:r>
      <w:r w:rsidR="00C55C87" w:rsidRPr="003A3374">
        <w:t>the products</w:t>
      </w:r>
      <w:r w:rsidR="00F40CC1" w:rsidRPr="003A3374">
        <w:t xml:space="preserve"> were </w:t>
      </w:r>
      <w:r w:rsidR="00387D31" w:rsidRPr="003A3374">
        <w:t>not rebranded to the UK’s Pepsi ‘Max’)</w:t>
      </w:r>
      <w:r w:rsidRPr="003A3374">
        <w:t xml:space="preserve">; </w:t>
      </w:r>
    </w:p>
    <w:p w14:paraId="0738CC70" w14:textId="7FCCBBDD" w:rsidR="00046300" w:rsidRPr="003A3374" w:rsidRDefault="00046300" w:rsidP="008E0ECC">
      <w:pPr>
        <w:pStyle w:val="Bullet"/>
      </w:pPr>
      <w:r w:rsidRPr="003A3374">
        <w:t>Tango Strawberry Smash launched in February 2025;</w:t>
      </w:r>
    </w:p>
    <w:p w14:paraId="3FEA9E4D" w14:textId="5B59D1F3" w:rsidR="002178D7" w:rsidRPr="003A3374" w:rsidRDefault="002178D7" w:rsidP="008E0ECC">
      <w:pPr>
        <w:pStyle w:val="Bullet"/>
      </w:pPr>
      <w:r w:rsidRPr="003A3374">
        <w:t>Aqua Libre Watermelon &amp; Strawberry launched in February 2025;</w:t>
      </w:r>
    </w:p>
    <w:p w14:paraId="2D22FA77" w14:textId="34E4E9EB" w:rsidR="00935A6F" w:rsidRPr="003A3374" w:rsidRDefault="00935A6F" w:rsidP="008E0ECC">
      <w:pPr>
        <w:pStyle w:val="Bullet"/>
      </w:pPr>
      <w:r w:rsidRPr="003A3374">
        <w:t>Tango Cherry Blast and Raspberry Blast returned in April 2025 as limited edition releases;</w:t>
      </w:r>
    </w:p>
    <w:p w14:paraId="303B80B8" w14:textId="77777777" w:rsidR="008E0ECC" w:rsidRPr="003A3374" w:rsidRDefault="008E0ECC" w:rsidP="008E0ECC">
      <w:pPr>
        <w:pStyle w:val="Bullet"/>
      </w:pPr>
      <w:r w:rsidRPr="003A3374">
        <w:t>7-UP Pink Lemonade launched in April 2025;</w:t>
      </w:r>
    </w:p>
    <w:p w14:paraId="052BF3D4" w14:textId="3980F5AB" w:rsidR="00BE28FF" w:rsidRPr="003A3374" w:rsidRDefault="00BE28FF" w:rsidP="008E0ECC">
      <w:pPr>
        <w:pStyle w:val="Bullet"/>
      </w:pPr>
      <w:r w:rsidRPr="003A3374">
        <w:t>London Essence Crisp Apple Crafted Soda launched in April 2025, mirroring Fever-Tree’s strategy to expand the mixer range into</w:t>
      </w:r>
      <w:r w:rsidR="00C26403" w:rsidRPr="003A3374">
        <w:t xml:space="preserve"> premium</w:t>
      </w:r>
      <w:r w:rsidRPr="003A3374">
        <w:t xml:space="preserve"> adult </w:t>
      </w:r>
      <w:r w:rsidR="00C26403" w:rsidRPr="003A3374">
        <w:t>soft drinks</w:t>
      </w:r>
      <w:r w:rsidRPr="003A3374">
        <w:t>;</w:t>
      </w:r>
    </w:p>
    <w:p w14:paraId="2C1307AA" w14:textId="7096067E" w:rsidR="00C55C87" w:rsidRPr="003A3374" w:rsidRDefault="00C55C87" w:rsidP="008E0ECC">
      <w:pPr>
        <w:pStyle w:val="Bullet"/>
      </w:pPr>
      <w:r w:rsidRPr="003A3374">
        <w:t xml:space="preserve">Purdey’s (Britvic’s </w:t>
      </w:r>
      <w:r w:rsidR="0049707D" w:rsidRPr="003A3374">
        <w:t>‘</w:t>
      </w:r>
      <w:r w:rsidRPr="003A3374">
        <w:t>natural’ energy drink brand) underwent a brand refresh in September 2025, coupled with two new flavour launches: Berry &amp; Dragon Fruit and Orange &amp; Mango;</w:t>
      </w:r>
    </w:p>
    <w:p w14:paraId="75C5ED0E" w14:textId="614C5A30" w:rsidR="008E0ECC" w:rsidRPr="003A3374" w:rsidRDefault="008E0ECC" w:rsidP="008E0ECC">
      <w:pPr>
        <w:pStyle w:val="Bullet"/>
      </w:pPr>
      <w:r w:rsidRPr="003A3374">
        <w:t xml:space="preserve">Pepsi </w:t>
      </w:r>
      <w:r w:rsidR="00387D31" w:rsidRPr="003A3374">
        <w:t>Zero Sugar</w:t>
      </w:r>
      <w:r w:rsidRPr="003A3374">
        <w:t xml:space="preserve"> went incredibly early and launched a Christmas-</w:t>
      </w:r>
      <w:r w:rsidR="0014496E" w:rsidRPr="003A3374">
        <w:t>inspired</w:t>
      </w:r>
      <w:r w:rsidRPr="003A3374">
        <w:t xml:space="preserve"> Gingerbread flavour on 1 October 2025.</w:t>
      </w:r>
    </w:p>
    <w:p w14:paraId="65238D6B" w14:textId="679A34A4" w:rsidR="005D1B7D" w:rsidRPr="003A3374" w:rsidRDefault="00D7024F" w:rsidP="005D1B7D">
      <w:pPr>
        <w:pStyle w:val="BodyText"/>
      </w:pPr>
      <w:r w:rsidRPr="003A3374">
        <w:t>S</w:t>
      </w:r>
      <w:r w:rsidR="005D1B7D" w:rsidRPr="003A3374">
        <w:t>o far</w:t>
      </w:r>
      <w:r w:rsidR="00106053" w:rsidRPr="003A3374">
        <w:t>,</w:t>
      </w:r>
      <w:r w:rsidR="005D1B7D" w:rsidRPr="003A3374">
        <w:t xml:space="preserve"> we are encouraged by Carlsberg-Britvic’s </w:t>
      </w:r>
      <w:r w:rsidR="002D24DD" w:rsidRPr="003A3374">
        <w:t xml:space="preserve">innovation </w:t>
      </w:r>
      <w:r w:rsidR="00F76E41" w:rsidRPr="003A3374">
        <w:t xml:space="preserve">launches </w:t>
      </w:r>
      <w:r w:rsidR="00424232" w:rsidRPr="003A3374">
        <w:t>– this is healthy competition that</w:t>
      </w:r>
      <w:r w:rsidR="005D1B7D" w:rsidRPr="003A3374">
        <w:t xml:space="preserve"> </w:t>
      </w:r>
      <w:r w:rsidR="00F76E41" w:rsidRPr="003A3374">
        <w:t xml:space="preserve">should support growth for </w:t>
      </w:r>
      <w:r w:rsidR="00424232" w:rsidRPr="003A3374">
        <w:t xml:space="preserve">both </w:t>
      </w:r>
      <w:r w:rsidR="00F76E41" w:rsidRPr="003A3374">
        <w:t xml:space="preserve">the </w:t>
      </w:r>
      <w:r w:rsidR="00D64FAA" w:rsidRPr="003A3374">
        <w:t xml:space="preserve">company and the </w:t>
      </w:r>
      <w:r w:rsidR="00F76E41" w:rsidRPr="003A3374">
        <w:t>overall sparkling category.</w:t>
      </w:r>
      <w:r w:rsidR="0078174E" w:rsidRPr="003A3374">
        <w:t xml:space="preserve"> </w:t>
      </w:r>
    </w:p>
    <w:p w14:paraId="34CA3368" w14:textId="3B559AF3" w:rsidR="00A357D6" w:rsidRPr="003A3374" w:rsidRDefault="00086BEE" w:rsidP="00106053">
      <w:pPr>
        <w:pStyle w:val="BodyText"/>
      </w:pPr>
      <w:r w:rsidRPr="003A3374">
        <w:lastRenderedPageBreak/>
        <w:t>This is in contrast to last year, ahead of the acquisition, when we observed some deep promotions to drive volume growth. For example,</w:t>
      </w:r>
      <w:r w:rsidR="00DB0A6D" w:rsidRPr="003A3374">
        <w:t xml:space="preserve"> </w:t>
      </w:r>
      <w:r w:rsidR="009D0CC5" w:rsidRPr="003A3374">
        <w:t xml:space="preserve">in Iceland </w:t>
      </w:r>
      <w:r w:rsidR="00DB0A6D" w:rsidRPr="003A3374">
        <w:t>there was a longstanding mix-and-match promotion for</w:t>
      </w:r>
      <w:r w:rsidRPr="003A3374">
        <w:t xml:space="preserve"> </w:t>
      </w:r>
      <w:r w:rsidR="00CE154C" w:rsidRPr="003A3374">
        <w:t>72x 330ml cans</w:t>
      </w:r>
      <w:r w:rsidR="00DB0A6D" w:rsidRPr="003A3374">
        <w:t xml:space="preserve"> of Pepsi Max and/or Tango</w:t>
      </w:r>
      <w:r w:rsidR="00CE154C" w:rsidRPr="003A3374">
        <w:t xml:space="preserve"> for £24 in the grocery channel, equivalent to just 10 pence per </w:t>
      </w:r>
      <w:r w:rsidR="00BA28E5" w:rsidRPr="003A3374">
        <w:t>100ml</w:t>
      </w:r>
      <w:r w:rsidR="00DB0A6D" w:rsidRPr="003A3374">
        <w:t xml:space="preserve"> (</w:t>
      </w:r>
      <w:r w:rsidR="00A920FE" w:rsidRPr="003A3374">
        <w:t>Fig </w:t>
      </w:r>
      <w:r w:rsidR="00A920FE" w:rsidRPr="003A3374">
        <w:fldChar w:fldCharType="begin"/>
      </w:r>
      <w:r w:rsidR="00A920FE" w:rsidRPr="003A3374">
        <w:instrText xml:space="preserve"> REF LINK_054031 \h </w:instrText>
      </w:r>
      <w:r w:rsidR="00A920FE" w:rsidRPr="003A3374">
        <w:fldChar w:fldCharType="separate"/>
      </w:r>
      <w:r w:rsidR="006A4635" w:rsidRPr="003A3374">
        <w:rPr>
          <w:noProof/>
        </w:rPr>
        <w:t>39</w:t>
      </w:r>
      <w:r w:rsidR="00A920FE" w:rsidRPr="003A3374">
        <w:fldChar w:fldCharType="end"/>
      </w:r>
      <w:r w:rsidR="00DB0A6D" w:rsidRPr="003A3374">
        <w:t>)</w:t>
      </w:r>
      <w:r w:rsidR="00CE154C" w:rsidRPr="003A3374">
        <w:t>.</w:t>
      </w:r>
      <w:r w:rsidR="002D3FEF" w:rsidRPr="003A3374">
        <w:t xml:space="preserve"> </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CE154C" w:rsidRPr="003A3374" w14:paraId="2CCC35FF" w14:textId="77777777" w:rsidTr="00CE154C">
        <w:trPr>
          <w:cantSplit/>
          <w:tblHeader/>
        </w:trPr>
        <w:tc>
          <w:tcPr>
            <w:tcW w:w="7654" w:type="dxa"/>
            <w:tcBorders>
              <w:bottom w:val="single" w:sz="8" w:space="0" w:color="000000" w:themeColor="text1"/>
            </w:tcBorders>
            <w:vAlign w:val="bottom"/>
          </w:tcPr>
          <w:p w14:paraId="28D5CAA7" w14:textId="165BE881" w:rsidR="00CE154C" w:rsidRPr="003A3374" w:rsidRDefault="00CE154C" w:rsidP="00CE154C">
            <w:pPr>
              <w:pStyle w:val="TableTitle"/>
            </w:pPr>
            <w:bookmarkStart w:id="76" w:name="PH_1_4_1_006954"/>
            <w:r w:rsidRPr="003A3374">
              <w:t xml:space="preserve">Fig </w:t>
            </w:r>
            <w:bookmarkStart w:id="77" w:name="LINK_054031"/>
            <w:r w:rsidRPr="003A3374">
              <w:fldChar w:fldCharType="begin"/>
            </w:r>
            <w:r w:rsidRPr="003A3374">
              <w:instrText xml:space="preserve"> SEQ Fig </w:instrText>
            </w:r>
            <w:r w:rsidRPr="003A3374">
              <w:fldChar w:fldCharType="separate"/>
            </w:r>
            <w:r w:rsidR="006A4635" w:rsidRPr="003A3374">
              <w:rPr>
                <w:noProof/>
              </w:rPr>
              <w:t>39</w:t>
            </w:r>
            <w:r w:rsidRPr="003A3374">
              <w:fldChar w:fldCharType="end"/>
            </w:r>
            <w:bookmarkEnd w:id="77"/>
            <w:r w:rsidRPr="003A3374">
              <w:t xml:space="preserve">: </w:t>
            </w:r>
            <w:r w:rsidR="00224603" w:rsidRPr="003A3374">
              <w:t>Britvic promotion in Iceland (October 2024)</w:t>
            </w:r>
          </w:p>
        </w:tc>
      </w:tr>
      <w:tr w:rsidR="00CE154C" w:rsidRPr="003A3374" w14:paraId="085DAB35" w14:textId="77777777" w:rsidTr="00CE154C">
        <w:trPr>
          <w:cantSplit/>
        </w:trPr>
        <w:tc>
          <w:tcPr>
            <w:tcW w:w="7654" w:type="dxa"/>
            <w:tcBorders>
              <w:top w:val="single" w:sz="8" w:space="0" w:color="000000" w:themeColor="text1"/>
              <w:bottom w:val="single" w:sz="8" w:space="0" w:color="000000" w:themeColor="text1"/>
            </w:tcBorders>
          </w:tcPr>
          <w:p w14:paraId="31403C7F" w14:textId="1430DB64" w:rsidR="00CE154C" w:rsidRPr="003A3374" w:rsidRDefault="00CE154C" w:rsidP="00A8292A">
            <w:pPr>
              <w:pStyle w:val="Tableplaceholder"/>
            </w:pPr>
            <w:r w:rsidRPr="003A3374">
              <w:rPr>
                <w:noProof/>
              </w:rPr>
              <w:drawing>
                <wp:inline distT="0" distB="0" distL="0" distR="0" wp14:anchorId="315D360A" wp14:editId="6D8BF315">
                  <wp:extent cx="4851400" cy="1791527"/>
                  <wp:effectExtent l="0" t="0" r="6350" b="0"/>
                  <wp:docPr id="1816243757" name="Picture 46" descr="A stack of boxes with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43757" name="Picture 46" descr="A stack of boxes with labels&#10;&#10;AI-generated content may be incorrect."/>
                          <pic:cNvPicPr/>
                        </pic:nvPicPr>
                        <pic:blipFill rotWithShape="1">
                          <a:blip r:embed="rId65" cstate="print">
                            <a:extLst>
                              <a:ext uri="{28A0092B-C50C-407E-A947-70E740481C1C}">
                                <a14:useLocalDpi xmlns:a14="http://schemas.microsoft.com/office/drawing/2010/main" val="0"/>
                              </a:ext>
                            </a:extLst>
                          </a:blip>
                          <a:srcRect t="50766"/>
                          <a:stretch>
                            <a:fillRect/>
                          </a:stretch>
                        </pic:blipFill>
                        <pic:spPr bwMode="auto">
                          <a:xfrm>
                            <a:off x="0" y="0"/>
                            <a:ext cx="4859655" cy="1794575"/>
                          </a:xfrm>
                          <a:prstGeom prst="rect">
                            <a:avLst/>
                          </a:prstGeom>
                          <a:ln>
                            <a:noFill/>
                          </a:ln>
                          <a:extLst>
                            <a:ext uri="{53640926-AAD7-44D8-BBD7-CCE9431645EC}">
                              <a14:shadowObscured xmlns:a14="http://schemas.microsoft.com/office/drawing/2010/main"/>
                            </a:ext>
                          </a:extLst>
                        </pic:spPr>
                      </pic:pic>
                    </a:graphicData>
                  </a:graphic>
                </wp:inline>
              </w:drawing>
            </w:r>
          </w:p>
        </w:tc>
      </w:tr>
      <w:tr w:rsidR="00CE154C" w:rsidRPr="003A3374" w14:paraId="502C6A35" w14:textId="77777777" w:rsidTr="00CE154C">
        <w:trPr>
          <w:cantSplit/>
        </w:trPr>
        <w:tc>
          <w:tcPr>
            <w:tcW w:w="7654" w:type="dxa"/>
            <w:tcBorders>
              <w:top w:val="single" w:sz="8" w:space="0" w:color="000000" w:themeColor="text1"/>
            </w:tcBorders>
          </w:tcPr>
          <w:p w14:paraId="0C7DC648" w14:textId="7F16DF77" w:rsidR="00CE154C" w:rsidRPr="003A3374" w:rsidRDefault="00CE154C" w:rsidP="00CE154C">
            <w:pPr>
              <w:pStyle w:val="TableSource"/>
            </w:pPr>
            <w:r w:rsidRPr="003A3374">
              <w:t>Source: Rothschild &amp; Co Redburn</w:t>
            </w:r>
          </w:p>
        </w:tc>
      </w:tr>
      <w:bookmarkEnd w:id="76"/>
    </w:tbl>
    <w:p w14:paraId="52F359FB" w14:textId="77777777" w:rsidR="00CE154C" w:rsidRPr="003A3374" w:rsidRDefault="00CE154C" w:rsidP="00694885">
      <w:pPr>
        <w:pStyle w:val="Tablespaceafter"/>
      </w:pPr>
    </w:p>
    <w:p w14:paraId="2E7012F7" w14:textId="240772B0" w:rsidR="002D3FEF" w:rsidRPr="003A3374" w:rsidRDefault="009D0CC5" w:rsidP="00BA48DD">
      <w:pPr>
        <w:pStyle w:val="BodyText"/>
      </w:pPr>
      <w:r w:rsidRPr="003A3374">
        <w:t>Also i</w:t>
      </w:r>
      <w:r w:rsidR="002D3FEF" w:rsidRPr="003A3374">
        <w:t xml:space="preserve">n Iceland, there was also a long-running </w:t>
      </w:r>
      <w:r w:rsidR="00632C78" w:rsidRPr="003A3374">
        <w:t>‘</w:t>
      </w:r>
      <w:r w:rsidR="002D3FEF" w:rsidRPr="003A3374">
        <w:t>2 for £4.50</w:t>
      </w:r>
      <w:r w:rsidR="00632C78" w:rsidRPr="003A3374">
        <w:t>’</w:t>
      </w:r>
      <w:r w:rsidR="002D3FEF" w:rsidRPr="003A3374">
        <w:t xml:space="preserve"> offer on </w:t>
      </w:r>
      <w:r w:rsidR="007975F1" w:rsidRPr="003A3374">
        <w:t>three-</w:t>
      </w:r>
      <w:r w:rsidR="002D3FEF" w:rsidRPr="003A3374">
        <w:t>litre PET bottles of Pepsi Max (7.5p per 100ml)</w:t>
      </w:r>
      <w:r w:rsidR="00FC07A1" w:rsidRPr="003A3374">
        <w:t xml:space="preserve"> (Fig </w:t>
      </w:r>
      <w:r w:rsidR="00FC07A1" w:rsidRPr="003A3374">
        <w:fldChar w:fldCharType="begin"/>
      </w:r>
      <w:r w:rsidR="00FC07A1" w:rsidRPr="003A3374">
        <w:instrText xml:space="preserve"> REF LINK_025855 \h </w:instrText>
      </w:r>
      <w:r w:rsidR="00FC07A1" w:rsidRPr="003A3374">
        <w:fldChar w:fldCharType="separate"/>
      </w:r>
      <w:r w:rsidR="006A4635" w:rsidRPr="003A3374">
        <w:rPr>
          <w:noProof/>
        </w:rPr>
        <w:t>40</w:t>
      </w:r>
      <w:r w:rsidR="00FC07A1" w:rsidRPr="003A3374">
        <w:fldChar w:fldCharType="end"/>
      </w:r>
      <w:r w:rsidR="00FC07A1" w:rsidRPr="003A3374">
        <w:t>)</w:t>
      </w:r>
      <w:r w:rsidR="002D3FEF" w:rsidRPr="003A3374">
        <w:t xml:space="preserve">. </w:t>
      </w:r>
      <w:r w:rsidR="00235E2D" w:rsidRPr="003A3374">
        <w:t xml:space="preserve">The problem is that this then creates a tough comparative for the following year and we have observed even deeper discounting in Iceland in 2025 with a </w:t>
      </w:r>
      <w:r w:rsidR="00FC07A1" w:rsidRPr="003A3374">
        <w:t>‘</w:t>
      </w:r>
      <w:r w:rsidR="00235E2D" w:rsidRPr="003A3374">
        <w:t>Buy 2, Get 1 Free</w:t>
      </w:r>
      <w:r w:rsidR="00FC07A1" w:rsidRPr="003A3374">
        <w:t>’</w:t>
      </w:r>
      <w:r w:rsidR="00235E2D" w:rsidRPr="003A3374">
        <w:t xml:space="preserve"> </w:t>
      </w:r>
      <w:r w:rsidR="00FC07A1" w:rsidRPr="003A3374">
        <w:t>offer</w:t>
      </w:r>
      <w:r w:rsidR="00042CA8" w:rsidRPr="003A3374">
        <w:t xml:space="preserve"> on</w:t>
      </w:r>
      <w:r w:rsidR="00FC07A1" w:rsidRPr="003A3374">
        <w:t xml:space="preserve"> </w:t>
      </w:r>
      <w:r w:rsidR="00042CA8" w:rsidRPr="003A3374">
        <w:t xml:space="preserve">three-litre PET bottles </w:t>
      </w:r>
      <w:r w:rsidR="00235E2D" w:rsidRPr="003A3374">
        <w:t>for £5.90 on Pepsi and Pepsi Max</w:t>
      </w:r>
      <w:r w:rsidR="003E3697" w:rsidRPr="003A3374">
        <w:t xml:space="preserve"> </w:t>
      </w:r>
      <w:r w:rsidR="00235E2D" w:rsidRPr="003A3374">
        <w:t>(6.6p per 100ml)</w:t>
      </w:r>
      <w:r w:rsidR="0019794D" w:rsidRPr="003A3374">
        <w:t xml:space="preserve"> (</w:t>
      </w:r>
      <w:r w:rsidR="00B00BFF" w:rsidRPr="003A3374">
        <w:t>Fig </w:t>
      </w:r>
      <w:r w:rsidR="00B00BFF" w:rsidRPr="003A3374">
        <w:fldChar w:fldCharType="begin"/>
      </w:r>
      <w:r w:rsidR="00B00BFF" w:rsidRPr="003A3374">
        <w:instrText xml:space="preserve"> REF LINK_019070 \h  \* MERGEFORMAT </w:instrText>
      </w:r>
      <w:r w:rsidR="00B00BFF" w:rsidRPr="003A3374">
        <w:fldChar w:fldCharType="separate"/>
      </w:r>
      <w:r w:rsidR="006A4635" w:rsidRPr="003A3374">
        <w:rPr>
          <w:noProof/>
        </w:rPr>
        <w:t>41</w:t>
      </w:r>
      <w:r w:rsidR="00B00BFF" w:rsidRPr="003A3374">
        <w:fldChar w:fldCharType="end"/>
      </w:r>
      <w:r w:rsidR="0019794D" w:rsidRPr="003A3374">
        <w:t xml:space="preserve">). </w:t>
      </w:r>
      <w:r w:rsidR="00BA48DD" w:rsidRPr="003A3374">
        <w:t xml:space="preserve">It is encouraging to see the new </w:t>
      </w:r>
      <w:r w:rsidR="00B00BFF" w:rsidRPr="003A3374">
        <w:t>three-</w:t>
      </w:r>
      <w:r w:rsidR="00D21A87" w:rsidRPr="003A3374">
        <w:t xml:space="preserve">litre </w:t>
      </w:r>
      <w:r w:rsidR="00BA48DD" w:rsidRPr="003A3374">
        <w:t xml:space="preserve">capacity </w:t>
      </w:r>
      <w:r w:rsidR="00D21A87" w:rsidRPr="003A3374">
        <w:t xml:space="preserve">at Rugby </w:t>
      </w:r>
      <w:r w:rsidR="00BA48DD" w:rsidRPr="003A3374">
        <w:t>from the BCP</w:t>
      </w:r>
      <w:r w:rsidR="00F21110" w:rsidRPr="003A3374">
        <w:t xml:space="preserve"> is</w:t>
      </w:r>
      <w:r w:rsidR="00BA48DD" w:rsidRPr="003A3374">
        <w:t xml:space="preserve"> being utilised, but we struggle to imagine that these offers were helpful to Britvic’s gross margin.</w:t>
      </w:r>
    </w:p>
    <w:tbl>
      <w:tblPr>
        <w:tblStyle w:val="TableGrid"/>
        <w:tblW w:w="9637" w:type="dxa"/>
        <w:tblLayout w:type="fixed"/>
        <w:tblCellMar>
          <w:left w:w="0" w:type="dxa"/>
          <w:right w:w="0" w:type="dxa"/>
        </w:tblCellMar>
        <w:tblLook w:val="04A0" w:firstRow="1" w:lastRow="0" w:firstColumn="1" w:lastColumn="0" w:noHBand="0" w:noVBand="1"/>
      </w:tblPr>
      <w:tblGrid>
        <w:gridCol w:w="4705"/>
        <w:gridCol w:w="227"/>
        <w:gridCol w:w="4705"/>
      </w:tblGrid>
      <w:tr w:rsidR="00E30E71" w:rsidRPr="003A3374" w14:paraId="2A1E1323" w14:textId="77777777" w:rsidTr="00A86302">
        <w:trPr>
          <w:cantSplit/>
          <w:tblHeader/>
        </w:trPr>
        <w:tc>
          <w:tcPr>
            <w:tcW w:w="4706" w:type="dxa"/>
            <w:tcBorders>
              <w:bottom w:val="single" w:sz="8" w:space="0" w:color="000000" w:themeColor="text1"/>
            </w:tcBorders>
            <w:vAlign w:val="bottom"/>
          </w:tcPr>
          <w:p w14:paraId="07FD17F7" w14:textId="15CFD77A" w:rsidR="00E30E71" w:rsidRPr="003A3374" w:rsidRDefault="00E30E71" w:rsidP="00A86302">
            <w:pPr>
              <w:pStyle w:val="TableTitle"/>
            </w:pPr>
            <w:r w:rsidRPr="003A3374">
              <w:t xml:space="preserve">Fig </w:t>
            </w:r>
            <w:bookmarkStart w:id="78" w:name="LINK_025855"/>
            <w:r w:rsidRPr="003A3374">
              <w:fldChar w:fldCharType="begin"/>
            </w:r>
            <w:r w:rsidRPr="003A3374">
              <w:instrText xml:space="preserve"> SEQ Fig </w:instrText>
            </w:r>
            <w:r w:rsidRPr="003A3374">
              <w:fldChar w:fldCharType="separate"/>
            </w:r>
            <w:r w:rsidR="006A4635" w:rsidRPr="003A3374">
              <w:rPr>
                <w:noProof/>
              </w:rPr>
              <w:t>40</w:t>
            </w:r>
            <w:r w:rsidRPr="003A3374">
              <w:fldChar w:fldCharType="end"/>
            </w:r>
            <w:bookmarkEnd w:id="78"/>
            <w:r w:rsidRPr="003A3374">
              <w:t xml:space="preserve">: </w:t>
            </w:r>
            <w:r w:rsidR="00B97367" w:rsidRPr="003A3374">
              <w:t>Pepsi Max Iceland promotion (June 2024)</w:t>
            </w:r>
          </w:p>
        </w:tc>
        <w:tc>
          <w:tcPr>
            <w:tcW w:w="227" w:type="dxa"/>
            <w:vAlign w:val="bottom"/>
          </w:tcPr>
          <w:p w14:paraId="138D0360" w14:textId="77777777" w:rsidR="00E30E71" w:rsidRPr="003A3374" w:rsidRDefault="00E30E71" w:rsidP="00A86302">
            <w:pPr>
              <w:pStyle w:val="Normal0"/>
            </w:pPr>
          </w:p>
        </w:tc>
        <w:tc>
          <w:tcPr>
            <w:tcW w:w="4706" w:type="dxa"/>
            <w:tcBorders>
              <w:bottom w:val="single" w:sz="8" w:space="0" w:color="000000" w:themeColor="text1"/>
            </w:tcBorders>
            <w:vAlign w:val="bottom"/>
          </w:tcPr>
          <w:p w14:paraId="23C72689" w14:textId="44FCC722" w:rsidR="00E30E71" w:rsidRPr="003A3374" w:rsidRDefault="00E30E71" w:rsidP="00A86302">
            <w:pPr>
              <w:pStyle w:val="TableTitle"/>
            </w:pPr>
            <w:r w:rsidRPr="003A3374">
              <w:t xml:space="preserve">Fig </w:t>
            </w:r>
            <w:bookmarkStart w:id="79" w:name="LINK_019070"/>
            <w:r w:rsidRPr="003A3374">
              <w:fldChar w:fldCharType="begin"/>
            </w:r>
            <w:r w:rsidRPr="003A3374">
              <w:instrText xml:space="preserve"> SEQ Fig </w:instrText>
            </w:r>
            <w:r w:rsidRPr="003A3374">
              <w:fldChar w:fldCharType="separate"/>
            </w:r>
            <w:r w:rsidR="006A4635" w:rsidRPr="003A3374">
              <w:rPr>
                <w:noProof/>
              </w:rPr>
              <w:t>41</w:t>
            </w:r>
            <w:r w:rsidRPr="003A3374">
              <w:fldChar w:fldCharType="end"/>
            </w:r>
            <w:bookmarkEnd w:id="79"/>
            <w:r w:rsidRPr="003A3374">
              <w:t xml:space="preserve">: </w:t>
            </w:r>
            <w:r w:rsidR="00B97367" w:rsidRPr="003A3374">
              <w:t>Pepsi Max Iceland promotion (July 2025)</w:t>
            </w:r>
          </w:p>
        </w:tc>
      </w:tr>
      <w:tr w:rsidR="00E30E71" w:rsidRPr="003A3374" w14:paraId="32E140D7" w14:textId="77777777" w:rsidTr="00A86302">
        <w:trPr>
          <w:cantSplit/>
        </w:trPr>
        <w:tc>
          <w:tcPr>
            <w:tcW w:w="4706" w:type="dxa"/>
            <w:tcBorders>
              <w:top w:val="single" w:sz="8" w:space="0" w:color="000000" w:themeColor="text1"/>
              <w:bottom w:val="single" w:sz="8" w:space="0" w:color="000000" w:themeColor="text1"/>
            </w:tcBorders>
          </w:tcPr>
          <w:p w14:paraId="5ED0F67C" w14:textId="413AFD63" w:rsidR="00E30E71" w:rsidRPr="003A3374" w:rsidRDefault="00E30E71" w:rsidP="00A86302">
            <w:pPr>
              <w:pStyle w:val="Tableplaceholder"/>
            </w:pPr>
            <w:r w:rsidRPr="003A3374">
              <w:rPr>
                <w:noProof/>
              </w:rPr>
              <w:drawing>
                <wp:inline distT="0" distB="0" distL="0" distR="0" wp14:anchorId="0F178DCB" wp14:editId="2A09DC7B">
                  <wp:extent cx="1736043" cy="2160000"/>
                  <wp:effectExtent l="0" t="0" r="0" b="0"/>
                  <wp:docPr id="157341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14647" name=""/>
                          <pic:cNvPicPr/>
                        </pic:nvPicPr>
                        <pic:blipFill>
                          <a:blip r:embed="rId66"/>
                          <a:stretch>
                            <a:fillRect/>
                          </a:stretch>
                        </pic:blipFill>
                        <pic:spPr>
                          <a:xfrm>
                            <a:off x="0" y="0"/>
                            <a:ext cx="1736043" cy="2160000"/>
                          </a:xfrm>
                          <a:prstGeom prst="rect">
                            <a:avLst/>
                          </a:prstGeom>
                        </pic:spPr>
                      </pic:pic>
                    </a:graphicData>
                  </a:graphic>
                </wp:inline>
              </w:drawing>
            </w:r>
          </w:p>
        </w:tc>
        <w:tc>
          <w:tcPr>
            <w:tcW w:w="227" w:type="dxa"/>
          </w:tcPr>
          <w:p w14:paraId="118CEBE9" w14:textId="77777777" w:rsidR="00E30E71" w:rsidRPr="003A3374" w:rsidRDefault="00E30E71" w:rsidP="00A86302">
            <w:pPr>
              <w:pStyle w:val="Normal0"/>
            </w:pPr>
          </w:p>
        </w:tc>
        <w:tc>
          <w:tcPr>
            <w:tcW w:w="4706" w:type="dxa"/>
            <w:tcBorders>
              <w:top w:val="single" w:sz="8" w:space="0" w:color="000000" w:themeColor="text1"/>
              <w:bottom w:val="single" w:sz="8" w:space="0" w:color="000000" w:themeColor="text1"/>
            </w:tcBorders>
          </w:tcPr>
          <w:p w14:paraId="6642FC98" w14:textId="332DAD21" w:rsidR="00E30E71" w:rsidRPr="003A3374" w:rsidRDefault="00E30E71" w:rsidP="00A86302">
            <w:pPr>
              <w:pStyle w:val="Tableplaceholder"/>
            </w:pPr>
            <w:r w:rsidRPr="003A3374">
              <w:rPr>
                <w:noProof/>
              </w:rPr>
              <w:drawing>
                <wp:inline distT="0" distB="0" distL="0" distR="0" wp14:anchorId="7A578C8C" wp14:editId="4AF6AC2A">
                  <wp:extent cx="2588537" cy="2160000"/>
                  <wp:effectExtent l="0" t="0" r="2540" b="0"/>
                  <wp:docPr id="185427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77108" name=""/>
                          <pic:cNvPicPr/>
                        </pic:nvPicPr>
                        <pic:blipFill rotWithShape="1">
                          <a:blip r:embed="rId67"/>
                          <a:srcRect l="40513" t="475" r="-531" b="32754"/>
                          <a:stretch>
                            <a:fillRect/>
                          </a:stretch>
                        </pic:blipFill>
                        <pic:spPr bwMode="auto">
                          <a:xfrm>
                            <a:off x="0" y="0"/>
                            <a:ext cx="2588537" cy="2160000"/>
                          </a:xfrm>
                          <a:prstGeom prst="rect">
                            <a:avLst/>
                          </a:prstGeom>
                          <a:ln>
                            <a:noFill/>
                          </a:ln>
                          <a:extLst>
                            <a:ext uri="{53640926-AAD7-44D8-BBD7-CCE9431645EC}">
                              <a14:shadowObscured xmlns:a14="http://schemas.microsoft.com/office/drawing/2010/main"/>
                            </a:ext>
                          </a:extLst>
                        </pic:spPr>
                      </pic:pic>
                    </a:graphicData>
                  </a:graphic>
                </wp:inline>
              </w:drawing>
            </w:r>
          </w:p>
        </w:tc>
      </w:tr>
      <w:tr w:rsidR="00E30E71" w:rsidRPr="003A3374" w14:paraId="2A893A5C" w14:textId="77777777" w:rsidTr="00A86302">
        <w:trPr>
          <w:cantSplit/>
        </w:trPr>
        <w:tc>
          <w:tcPr>
            <w:tcW w:w="4706" w:type="dxa"/>
            <w:tcBorders>
              <w:top w:val="single" w:sz="8" w:space="0" w:color="000000" w:themeColor="text1"/>
            </w:tcBorders>
          </w:tcPr>
          <w:p w14:paraId="068147FC" w14:textId="77777777" w:rsidR="00E30E71" w:rsidRPr="003A3374" w:rsidRDefault="00E30E71" w:rsidP="00A86302">
            <w:pPr>
              <w:pStyle w:val="TableSource"/>
            </w:pPr>
            <w:r w:rsidRPr="003A3374">
              <w:t>Source: Rothschild &amp; Co Redburn</w:t>
            </w:r>
          </w:p>
        </w:tc>
        <w:tc>
          <w:tcPr>
            <w:tcW w:w="227" w:type="dxa"/>
          </w:tcPr>
          <w:p w14:paraId="28B333CA" w14:textId="77777777" w:rsidR="00E30E71" w:rsidRPr="003A3374" w:rsidRDefault="00E30E71" w:rsidP="00A86302">
            <w:pPr>
              <w:pStyle w:val="Normal0"/>
            </w:pPr>
          </w:p>
        </w:tc>
        <w:tc>
          <w:tcPr>
            <w:tcW w:w="4706" w:type="dxa"/>
            <w:tcBorders>
              <w:top w:val="single" w:sz="8" w:space="0" w:color="000000" w:themeColor="text1"/>
            </w:tcBorders>
          </w:tcPr>
          <w:p w14:paraId="7DD68A6C" w14:textId="77777777" w:rsidR="00E30E71" w:rsidRPr="003A3374" w:rsidRDefault="00E30E71" w:rsidP="00A86302">
            <w:pPr>
              <w:pStyle w:val="TableSource"/>
            </w:pPr>
            <w:r w:rsidRPr="003A3374">
              <w:t>Source: Rothschild &amp; Co Redburn</w:t>
            </w:r>
          </w:p>
        </w:tc>
      </w:tr>
    </w:tbl>
    <w:p w14:paraId="122FDB91" w14:textId="3B0F7F18" w:rsidR="009E0A4A" w:rsidRPr="003A3374" w:rsidRDefault="008B0D7C" w:rsidP="002D3FEF">
      <w:pPr>
        <w:pStyle w:val="BodyText"/>
      </w:pPr>
      <w:r w:rsidRPr="003A3374">
        <w:t>T</w:t>
      </w:r>
      <w:r w:rsidR="00D21A87" w:rsidRPr="003A3374">
        <w:t>hese offers</w:t>
      </w:r>
      <w:r w:rsidR="002D3FEF" w:rsidRPr="003A3374">
        <w:t xml:space="preserve"> signal a potential risk for </w:t>
      </w:r>
      <w:r w:rsidR="00D21A87" w:rsidRPr="003A3374">
        <w:t>CCGB</w:t>
      </w:r>
      <w:r w:rsidR="002D3FEF" w:rsidRPr="003A3374">
        <w:t xml:space="preserve">: sparkling beverages are 83% of </w:t>
      </w:r>
      <w:r w:rsidR="00D21A87" w:rsidRPr="003A3374">
        <w:t xml:space="preserve">CCGB’s </w:t>
      </w:r>
      <w:r w:rsidR="002D3FEF" w:rsidRPr="003A3374">
        <w:t>volumes and if the main competitor were to become more aggressive on pricing and/or promotions to drive less profitable volume growth, then this could impede CCGB’s top-line growth prospects.</w:t>
      </w:r>
      <w:r w:rsidR="00BC4D96" w:rsidRPr="003A3374">
        <w:t xml:space="preserve"> </w:t>
      </w:r>
    </w:p>
    <w:p w14:paraId="1687A128" w14:textId="527A6051" w:rsidR="00D21A87" w:rsidRPr="003A3374" w:rsidRDefault="009E0A4A" w:rsidP="002D3FEF">
      <w:pPr>
        <w:pStyle w:val="BodyText"/>
      </w:pPr>
      <w:r w:rsidRPr="003A3374">
        <w:t>It is worth noting</w:t>
      </w:r>
      <w:r w:rsidR="00BC4D96" w:rsidRPr="003A3374">
        <w:t xml:space="preserve"> that Carlsberg-Britvic tends to quote its market share in terms of volume, while CCEP focuses on value share</w:t>
      </w:r>
      <w:r w:rsidR="00746F48" w:rsidRPr="003A3374">
        <w:t xml:space="preserve">, which could </w:t>
      </w:r>
      <w:r w:rsidR="004A1539" w:rsidRPr="003A3374">
        <w:t>indicate</w:t>
      </w:r>
      <w:r w:rsidR="00746F48" w:rsidRPr="003A3374">
        <w:t xml:space="preserve"> where the former’s priorities lie.</w:t>
      </w:r>
    </w:p>
    <w:p w14:paraId="1C9452D1" w14:textId="79FB5E59" w:rsidR="002D3FEF" w:rsidRPr="003A3374" w:rsidRDefault="002D3FEF" w:rsidP="002D3FEF">
      <w:pPr>
        <w:pStyle w:val="BodyText"/>
      </w:pPr>
      <w:r w:rsidRPr="003A3374">
        <w:lastRenderedPageBreak/>
        <w:t>However, we expect</w:t>
      </w:r>
      <w:r w:rsidR="007C2CB5" w:rsidRPr="003A3374">
        <w:t xml:space="preserve"> that </w:t>
      </w:r>
      <w:r w:rsidRPr="003A3374">
        <w:t xml:space="preserve">Carlsberg-Britvic </w:t>
      </w:r>
      <w:r w:rsidR="007C2CB5" w:rsidRPr="003A3374">
        <w:t>will remain</w:t>
      </w:r>
      <w:r w:rsidRPr="003A3374">
        <w:t xml:space="preserve"> a rational competitor </w:t>
      </w:r>
      <w:r w:rsidR="007C2CB5" w:rsidRPr="003A3374">
        <w:t>as</w:t>
      </w:r>
      <w:r w:rsidRPr="003A3374">
        <w:t xml:space="preserve"> Carlsberg must rebuild its group return on invested capital (ROIC) post the Britvic acquisition, as well as de</w:t>
      </w:r>
      <w:r w:rsidR="004B62B5" w:rsidRPr="003A3374">
        <w:t>-</w:t>
      </w:r>
      <w:r w:rsidRPr="003A3374">
        <w:t>lever the balance sheet. Cutting prices will not help in this regard and could merely shrink the size of the profit pool for the sparkling category, especially because, as discussed, there are viable trade down options in the discount channel.</w:t>
      </w:r>
    </w:p>
    <w:p w14:paraId="37E02ECC" w14:textId="5E2962EB" w:rsidR="002D3FEF" w:rsidRPr="003A3374" w:rsidRDefault="002D3FEF" w:rsidP="002D3FEF">
      <w:pPr>
        <w:pStyle w:val="BodyText"/>
      </w:pPr>
      <w:r w:rsidRPr="003A3374">
        <w:t xml:space="preserve">Moreover, if Carlsberg-Britvic were to compete in irrational ways against CCGB, we suspect there could be an even higher likelihood that Carlsberg loses its Coca-Cola bottling </w:t>
      </w:r>
      <w:r w:rsidR="004A1539" w:rsidRPr="003A3374">
        <w:t>licenses</w:t>
      </w:r>
      <w:r w:rsidRPr="003A3374">
        <w:t xml:space="preserve"> in Denmark and Finland, discussed shortly.</w:t>
      </w:r>
    </w:p>
    <w:p w14:paraId="6E865FFE" w14:textId="77777777" w:rsidR="009234D3" w:rsidRPr="003A3374" w:rsidRDefault="009234D3" w:rsidP="009B5BCF">
      <w:pPr>
        <w:pStyle w:val="Heading20"/>
      </w:pPr>
      <w:bookmarkStart w:id="80" w:name="_Toc214545137"/>
      <w:r w:rsidRPr="003A3374">
        <w:t>Washed up Rockstar</w:t>
      </w:r>
      <w:bookmarkEnd w:id="80"/>
    </w:p>
    <w:p w14:paraId="397C0B40" w14:textId="5658DC41" w:rsidR="009234D3" w:rsidRPr="003A3374" w:rsidRDefault="002E3B96" w:rsidP="009234D3">
      <w:pPr>
        <w:pStyle w:val="BodyText"/>
      </w:pPr>
      <w:r w:rsidRPr="003A3374">
        <w:t>Elsewhere</w:t>
      </w:r>
      <w:r w:rsidR="006B2D1D" w:rsidRPr="003A3374">
        <w:t xml:space="preserve"> in Carlsberg-Britvic’s portfolio</w:t>
      </w:r>
      <w:r w:rsidR="009234D3" w:rsidRPr="003A3374">
        <w:t>, Britvic historically struggled in one of the fastest growing sub-categories – energy drinks – which overindexes to the out-of-home channel (as shown earlier in Fig </w:t>
      </w:r>
      <w:r w:rsidR="009234D3" w:rsidRPr="003A3374">
        <w:fldChar w:fldCharType="begin"/>
      </w:r>
      <w:r w:rsidR="009234D3" w:rsidRPr="003A3374">
        <w:instrText xml:space="preserve"> REF LINK_046902 \h </w:instrText>
      </w:r>
      <w:r w:rsidR="009234D3" w:rsidRPr="003A3374">
        <w:fldChar w:fldCharType="separate"/>
      </w:r>
      <w:r w:rsidR="006A4635" w:rsidRPr="003A3374">
        <w:rPr>
          <w:noProof/>
        </w:rPr>
        <w:t>18</w:t>
      </w:r>
      <w:r w:rsidR="009234D3" w:rsidRPr="003A3374">
        <w:fldChar w:fldCharType="end"/>
      </w:r>
      <w:r w:rsidR="009234D3" w:rsidRPr="003A3374">
        <w:t>, c75% of energy drinks value is in the convenience channel). Rockstar has been a perennial underperformer in the UK energy drinks category, falling from a c7% value share in 2017 to just c1% at the end of 2024, despite numerous initiatives to improve the brand’s performance (Fig </w:t>
      </w:r>
      <w:r w:rsidR="009234D3" w:rsidRPr="003A3374">
        <w:fldChar w:fldCharType="begin"/>
      </w:r>
      <w:r w:rsidR="009234D3" w:rsidRPr="003A3374">
        <w:instrText xml:space="preserve"> REF LINK_065110 \h </w:instrText>
      </w:r>
      <w:r w:rsidR="009234D3" w:rsidRPr="003A3374">
        <w:fldChar w:fldCharType="separate"/>
      </w:r>
      <w:r w:rsidR="006A4635" w:rsidRPr="003A3374">
        <w:rPr>
          <w:noProof/>
        </w:rPr>
        <w:t>42</w:t>
      </w:r>
      <w:r w:rsidR="009234D3" w:rsidRPr="003A3374">
        <w:fldChar w:fldCharType="end"/>
      </w:r>
      <w:r w:rsidR="009234D3" w:rsidRPr="003A3374">
        <w:t>). Constant rebrands and refreshes failed to rejuvenate Rockstar and we doubt Carlsberg will be able to transform the brand’s fortunes.</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9234D3" w:rsidRPr="003A3374" w14:paraId="329AD2DD" w14:textId="77777777" w:rsidTr="00A86302">
        <w:trPr>
          <w:cantSplit/>
          <w:tblHeader/>
        </w:trPr>
        <w:tc>
          <w:tcPr>
            <w:tcW w:w="7653" w:type="dxa"/>
            <w:tcBorders>
              <w:bottom w:val="single" w:sz="8" w:space="0" w:color="000000" w:themeColor="text1"/>
            </w:tcBorders>
            <w:vAlign w:val="bottom"/>
          </w:tcPr>
          <w:p w14:paraId="66C870C3" w14:textId="64E6BB8F" w:rsidR="009234D3" w:rsidRPr="003A3374" w:rsidRDefault="009234D3" w:rsidP="00A86302">
            <w:pPr>
              <w:pStyle w:val="TableTitle"/>
            </w:pPr>
            <w:bookmarkStart w:id="81" w:name="PH_1_4_1_023591"/>
            <w:r w:rsidRPr="003A3374">
              <w:t xml:space="preserve">Fig </w:t>
            </w:r>
            <w:bookmarkStart w:id="82" w:name="LINK_065110"/>
            <w:r w:rsidRPr="003A3374">
              <w:fldChar w:fldCharType="begin"/>
            </w:r>
            <w:r w:rsidRPr="003A3374">
              <w:instrText xml:space="preserve"> SEQ Fig </w:instrText>
            </w:r>
            <w:r w:rsidRPr="003A3374">
              <w:fldChar w:fldCharType="separate"/>
            </w:r>
            <w:r w:rsidR="006A4635" w:rsidRPr="003A3374">
              <w:rPr>
                <w:noProof/>
              </w:rPr>
              <w:t>42</w:t>
            </w:r>
            <w:r w:rsidRPr="003A3374">
              <w:fldChar w:fldCharType="end"/>
            </w:r>
            <w:bookmarkEnd w:id="82"/>
            <w:r w:rsidRPr="003A3374">
              <w:t>: The long, steady decline of Rockstar</w:t>
            </w:r>
          </w:p>
        </w:tc>
      </w:tr>
      <w:tr w:rsidR="009234D3" w:rsidRPr="003A3374" w14:paraId="044D35E1" w14:textId="77777777" w:rsidTr="00A86302">
        <w:trPr>
          <w:cantSplit/>
        </w:trPr>
        <w:tc>
          <w:tcPr>
            <w:tcW w:w="7653" w:type="dxa"/>
            <w:tcBorders>
              <w:top w:val="single" w:sz="8" w:space="0" w:color="000000" w:themeColor="text1"/>
              <w:bottom w:val="single" w:sz="8" w:space="0" w:color="000000" w:themeColor="text1"/>
            </w:tcBorders>
          </w:tcPr>
          <w:p w14:paraId="789842F2" w14:textId="77777777" w:rsidR="009234D3" w:rsidRPr="003A3374" w:rsidRDefault="009234D3" w:rsidP="00A86302">
            <w:pPr>
              <w:pStyle w:val="Tableplaceholder"/>
            </w:pPr>
            <w:r w:rsidRPr="003A3374">
              <w:rPr>
                <w:noProof/>
              </w:rPr>
              <w:drawing>
                <wp:inline distT="0" distB="0" distL="0" distR="0" wp14:anchorId="6CE82B17" wp14:editId="21C9FA7B">
                  <wp:extent cx="4860290" cy="2157095"/>
                  <wp:effectExtent l="0" t="0" r="0" b="0"/>
                  <wp:docPr id="11963614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860290" cy="2157095"/>
                          </a:xfrm>
                          <a:prstGeom prst="rect">
                            <a:avLst/>
                          </a:prstGeom>
                          <a:noFill/>
                          <a:ln>
                            <a:noFill/>
                          </a:ln>
                        </pic:spPr>
                      </pic:pic>
                    </a:graphicData>
                  </a:graphic>
                </wp:inline>
              </w:drawing>
            </w:r>
          </w:p>
        </w:tc>
      </w:tr>
      <w:tr w:rsidR="009234D3" w:rsidRPr="003A3374" w14:paraId="4979D853" w14:textId="77777777" w:rsidTr="00A86302">
        <w:trPr>
          <w:cantSplit/>
        </w:trPr>
        <w:tc>
          <w:tcPr>
            <w:tcW w:w="7653" w:type="dxa"/>
            <w:tcBorders>
              <w:top w:val="single" w:sz="8" w:space="0" w:color="000000" w:themeColor="text1"/>
            </w:tcBorders>
          </w:tcPr>
          <w:p w14:paraId="2118A4E0" w14:textId="77777777" w:rsidR="009234D3" w:rsidRPr="003A3374" w:rsidRDefault="009234D3" w:rsidP="00A86302">
            <w:pPr>
              <w:pStyle w:val="TableSource"/>
            </w:pPr>
            <w:r w:rsidRPr="003A3374">
              <w:t>Source: Rothschild &amp; Co Redburn, Circana</w:t>
            </w:r>
          </w:p>
        </w:tc>
      </w:tr>
      <w:bookmarkEnd w:id="81"/>
    </w:tbl>
    <w:p w14:paraId="626CD5C5" w14:textId="77777777" w:rsidR="009234D3" w:rsidRPr="003A3374" w:rsidRDefault="009234D3" w:rsidP="009234D3">
      <w:pPr>
        <w:pStyle w:val="Tablespaceafter"/>
      </w:pPr>
    </w:p>
    <w:p w14:paraId="0451DCCF" w14:textId="40B91A45" w:rsidR="009234D3" w:rsidRPr="003A3374" w:rsidRDefault="009234D3" w:rsidP="009234D3">
      <w:pPr>
        <w:pStyle w:val="BodyText"/>
      </w:pPr>
      <w:r w:rsidRPr="003A3374">
        <w:t>To make matters more complicated, in August 2025</w:t>
      </w:r>
      <w:r w:rsidR="005A621D" w:rsidRPr="003A3374">
        <w:t>,</w:t>
      </w:r>
      <w:r w:rsidRPr="003A3374">
        <w:t xml:space="preserve"> Celsius (Not rated) acquired the Rockstar brand in North America, while PepsiCo retains the brand in international markets. Celsius will now be tasked with trying to grow Rockstar in North America, but in the UK </w:t>
      </w:r>
      <w:r w:rsidR="00D03DCD" w:rsidRPr="003A3374">
        <w:t>Rockstar</w:t>
      </w:r>
      <w:r w:rsidRPr="003A3374">
        <w:t xml:space="preserve"> will still be managed by PepsiCo. Moreover, PepsiCo and </w:t>
      </w:r>
      <w:r w:rsidR="00D03DCD" w:rsidRPr="003A3374">
        <w:t>Celsius</w:t>
      </w:r>
      <w:r w:rsidRPr="003A3374">
        <w:t xml:space="preserve"> strengthened their strategic partnership as part of this deal, but in the UK Celsius is distributed by Suntory and competes against Pepsi bottler Carlsberg-Britvic.</w:t>
      </w:r>
      <w:r w:rsidR="00D03DCD" w:rsidRPr="003A3374">
        <w:t xml:space="preserve"> This conflict may be resolved soon however, as we have observed Celsius products being heavily discounted in its sole UK retailer (Tesco) from £1.95 to just £1 per can, which </w:t>
      </w:r>
      <w:r w:rsidR="00234907" w:rsidRPr="003A3374">
        <w:t xml:space="preserve">implies that </w:t>
      </w:r>
      <w:r w:rsidR="00D03DCD" w:rsidRPr="003A3374">
        <w:t xml:space="preserve">the </w:t>
      </w:r>
      <w:r w:rsidR="00234907" w:rsidRPr="003A3374">
        <w:t xml:space="preserve">Celius could </w:t>
      </w:r>
      <w:r w:rsidR="00D03DCD" w:rsidRPr="003A3374">
        <w:t>be delisted shortly.</w:t>
      </w:r>
    </w:p>
    <w:p w14:paraId="53909670" w14:textId="40C54E9D" w:rsidR="009234D3" w:rsidRPr="003A3374" w:rsidRDefault="00234907" w:rsidP="00234907">
      <w:pPr>
        <w:pStyle w:val="BodyText"/>
      </w:pPr>
      <w:r w:rsidRPr="003A3374">
        <w:t>We suspect that Carlsberg-Britvic will focus on Purdey’s following the brand refresh, which is a different consumer proposition to Monster Energy. This, combined with t</w:t>
      </w:r>
      <w:r w:rsidR="009234D3" w:rsidRPr="003A3374">
        <w:t>he lack of focus on Rockstar</w:t>
      </w:r>
      <w:r w:rsidRPr="003A3374">
        <w:t>,</w:t>
      </w:r>
      <w:r w:rsidR="009234D3" w:rsidRPr="003A3374">
        <w:t xml:space="preserve"> provides confidence that Monster </w:t>
      </w:r>
      <w:r w:rsidR="009234D3" w:rsidRPr="003A3374">
        <w:lastRenderedPageBreak/>
        <w:t>Energy will continue to post strong growth (</w:t>
      </w:r>
      <w:r w:rsidRPr="003A3374">
        <w:t xml:space="preserve">for context, Monster Energy </w:t>
      </w:r>
      <w:r w:rsidR="009234D3" w:rsidRPr="003A3374">
        <w:t xml:space="preserve">retail sales </w:t>
      </w:r>
      <w:r w:rsidRPr="003A3374">
        <w:t xml:space="preserve">grew 24% YoY </w:t>
      </w:r>
      <w:r w:rsidR="009234D3" w:rsidRPr="003A3374">
        <w:t xml:space="preserve">in Great Britain in 3Q25 in Nielsen-tracked channels) and </w:t>
      </w:r>
      <w:r w:rsidRPr="003A3374">
        <w:t xml:space="preserve">that it will </w:t>
      </w:r>
      <w:r w:rsidR="009234D3" w:rsidRPr="003A3374">
        <w:t xml:space="preserve">continue </w:t>
      </w:r>
      <w:r w:rsidRPr="003A3374">
        <w:t xml:space="preserve">to </w:t>
      </w:r>
      <w:r w:rsidR="009234D3" w:rsidRPr="003A3374">
        <w:t>win</w:t>
      </w:r>
      <w:r w:rsidRPr="003A3374">
        <w:t xml:space="preserve"> market</w:t>
      </w:r>
      <w:r w:rsidR="009234D3" w:rsidRPr="003A3374">
        <w:t xml:space="preserve"> share (as shown in Fig </w:t>
      </w:r>
      <w:r w:rsidR="009234D3" w:rsidRPr="003A3374">
        <w:fldChar w:fldCharType="begin"/>
      </w:r>
      <w:r w:rsidR="009234D3" w:rsidRPr="003A3374">
        <w:instrText xml:space="preserve"> REF LINK_084335 \h </w:instrText>
      </w:r>
      <w:r w:rsidR="009234D3" w:rsidRPr="003A3374">
        <w:fldChar w:fldCharType="separate"/>
      </w:r>
      <w:r w:rsidR="006A4635" w:rsidRPr="003A3374">
        <w:rPr>
          <w:noProof/>
        </w:rPr>
        <w:t>31</w:t>
      </w:r>
      <w:r w:rsidR="009234D3" w:rsidRPr="003A3374">
        <w:fldChar w:fldCharType="end"/>
      </w:r>
      <w:r w:rsidR="009234D3" w:rsidRPr="003A3374">
        <w:t>).</w:t>
      </w:r>
    </w:p>
    <w:p w14:paraId="77A39EA7" w14:textId="66446E91" w:rsidR="009234D3" w:rsidRPr="003A3374" w:rsidRDefault="00B96585" w:rsidP="00B96585">
      <w:pPr>
        <w:pStyle w:val="Heading30"/>
      </w:pPr>
      <w:r w:rsidRPr="003A3374">
        <w:t>Limited overlap</w:t>
      </w:r>
    </w:p>
    <w:p w14:paraId="184C6118" w14:textId="29DBC61C" w:rsidR="00685ADC" w:rsidRPr="003A3374" w:rsidRDefault="00685ADC" w:rsidP="00403284">
      <w:pPr>
        <w:pStyle w:val="BodyText"/>
      </w:pPr>
      <w:r w:rsidRPr="003A3374">
        <w:t>For CCGB’s remaining 7% of volumes (water, sports drinks, RTD tea and coffee etc) there is not much overlap with Carlsberg-Britvic’s portfolio</w:t>
      </w:r>
      <w:r w:rsidR="00291CCA" w:rsidRPr="003A3374">
        <w:t>.</w:t>
      </w:r>
      <w:r w:rsidR="00EF4145" w:rsidRPr="003A3374">
        <w:t xml:space="preserve"> </w:t>
      </w:r>
      <w:r w:rsidRPr="003A3374">
        <w:t>CC</w:t>
      </w:r>
      <w:r w:rsidR="00EF4145" w:rsidRPr="003A3374">
        <w:t>G</w:t>
      </w:r>
      <w:r w:rsidRPr="003A3374">
        <w:t>B has an immaterial presence in the squash category via Rose’s, whereas Robinsons is a low-double-digit percentage of Carlsberg-Britvic’s Great Britain sales.</w:t>
      </w:r>
      <w:r w:rsidR="00EF4145" w:rsidRPr="003A3374">
        <w:t xml:space="preserve"> The main target could be CCGB’s sports drink Powerade, but historically </w:t>
      </w:r>
      <w:r w:rsidR="002542C0" w:rsidRPr="003A3374">
        <w:t>Britvic’s</w:t>
      </w:r>
      <w:r w:rsidR="00EF4145" w:rsidRPr="003A3374">
        <w:t xml:space="preserve"> Gatorade never took off in Great Britain, </w:t>
      </w:r>
      <w:r w:rsidR="00D22A53" w:rsidRPr="003A3374">
        <w:t xml:space="preserve">partly due to </w:t>
      </w:r>
      <w:r w:rsidR="00403284" w:rsidRPr="003A3374">
        <w:t xml:space="preserve">the strong local </w:t>
      </w:r>
      <w:r w:rsidR="00291CCA" w:rsidRPr="003A3374">
        <w:t>competitor</w:t>
      </w:r>
      <w:r w:rsidR="00403284" w:rsidRPr="003A3374">
        <w:t xml:space="preserve"> Lucozade (owned by Suntory) and partly due to </w:t>
      </w:r>
      <w:r w:rsidR="00F515B9" w:rsidRPr="003A3374">
        <w:t>operational</w:t>
      </w:r>
      <w:r w:rsidR="00403284" w:rsidRPr="003A3374">
        <w:t xml:space="preserve"> issues: Gatorade </w:t>
      </w:r>
      <w:r w:rsidR="00D22A53" w:rsidRPr="003A3374">
        <w:t>lack</w:t>
      </w:r>
      <w:r w:rsidR="00403284" w:rsidRPr="003A3374">
        <w:t>s</w:t>
      </w:r>
      <w:r w:rsidR="00D22A53" w:rsidRPr="003A3374">
        <w:t xml:space="preserve"> local production (it </w:t>
      </w:r>
      <w:r w:rsidR="00403284" w:rsidRPr="003A3374">
        <w:t xml:space="preserve">is </w:t>
      </w:r>
      <w:r w:rsidR="00D22A53" w:rsidRPr="003A3374">
        <w:t>shipped in from France) and PepsiCo</w:t>
      </w:r>
      <w:r w:rsidR="000A7C57" w:rsidRPr="003A3374">
        <w:t xml:space="preserve"> </w:t>
      </w:r>
      <w:r w:rsidR="00B10DAC" w:rsidRPr="003A3374">
        <w:t xml:space="preserve">historically </w:t>
      </w:r>
      <w:r w:rsidR="000A7C57" w:rsidRPr="003A3374">
        <w:t>placed</w:t>
      </w:r>
      <w:r w:rsidR="00D22A53" w:rsidRPr="003A3374">
        <w:t xml:space="preserve"> </w:t>
      </w:r>
      <w:r w:rsidR="00B56D57" w:rsidRPr="003A3374">
        <w:t xml:space="preserve">lofty </w:t>
      </w:r>
      <w:r w:rsidR="00D22A53" w:rsidRPr="003A3374">
        <w:t xml:space="preserve">minimum margin requirements </w:t>
      </w:r>
      <w:r w:rsidR="000A7C57" w:rsidRPr="003A3374">
        <w:t xml:space="preserve">on </w:t>
      </w:r>
      <w:r w:rsidR="00D22A53" w:rsidRPr="003A3374">
        <w:t>the brand</w:t>
      </w:r>
      <w:r w:rsidR="00D75917" w:rsidRPr="003A3374">
        <w:t>,</w:t>
      </w:r>
      <w:r w:rsidR="00403284" w:rsidRPr="003A3374">
        <w:t xml:space="preserve"> </w:t>
      </w:r>
      <w:r w:rsidR="000A7C57" w:rsidRPr="003A3374">
        <w:t xml:space="preserve">which </w:t>
      </w:r>
      <w:r w:rsidR="00403284" w:rsidRPr="003A3374">
        <w:t xml:space="preserve">limited its distribution </w:t>
      </w:r>
      <w:r w:rsidR="00F459EA" w:rsidRPr="003A3374">
        <w:t>potential</w:t>
      </w:r>
      <w:r w:rsidR="00D22A53" w:rsidRPr="003A3374">
        <w:t>.</w:t>
      </w:r>
    </w:p>
    <w:p w14:paraId="000548AD" w14:textId="2F22F161" w:rsidR="00B96585" w:rsidRPr="003A3374" w:rsidRDefault="00B96585" w:rsidP="00B96585">
      <w:pPr>
        <w:pStyle w:val="Heading30"/>
      </w:pPr>
      <w:r w:rsidRPr="003A3374">
        <w:t>Wins and losses in the OOH channel</w:t>
      </w:r>
    </w:p>
    <w:p w14:paraId="4A70B23A" w14:textId="02ECEBD9" w:rsidR="00900C52" w:rsidRPr="003A3374" w:rsidRDefault="00900C52" w:rsidP="00900C52">
      <w:pPr>
        <w:pStyle w:val="BodyText"/>
      </w:pPr>
      <w:r w:rsidRPr="003A3374">
        <w:t>As discussed in ‘</w:t>
      </w:r>
      <w:hyperlink r:id="rId69" w:history="1">
        <w:r w:rsidRPr="003A3374">
          <w:rPr>
            <w:rStyle w:val="Hyperlink"/>
          </w:rPr>
          <w:t>The Juggernaut</w:t>
        </w:r>
      </w:hyperlink>
      <w:r w:rsidRPr="003A3374">
        <w:t>’ (4 November 2022), PepsiCo always struggled in the out-of-home channel relative to TCCC and it acquired KFC, Pizza Hut and Taco Bell in the 1970s partly to secure end-customers for its products. PepsiCo spun off these operators in 1997 to form Tricon, now Yum! Brands (</w:t>
      </w:r>
      <w:r w:rsidR="00F909FB" w:rsidRPr="003A3374">
        <w:t>Buy</w:t>
      </w:r>
      <w:r w:rsidRPr="003A3374">
        <w:t xml:space="preserve"> rated).</w:t>
      </w:r>
    </w:p>
    <w:p w14:paraId="41BE0E32" w14:textId="1489C541" w:rsidR="0077517C" w:rsidRPr="003A3374" w:rsidRDefault="00900C52" w:rsidP="0077517C">
      <w:pPr>
        <w:pStyle w:val="BodyText"/>
      </w:pPr>
      <w:r w:rsidRPr="003A3374">
        <w:t xml:space="preserve">However, the </w:t>
      </w:r>
      <w:r w:rsidR="0077517C" w:rsidRPr="003A3374">
        <w:t xml:space="preserve">US challenges </w:t>
      </w:r>
      <w:r w:rsidRPr="003A3374">
        <w:t>never held back Britvic, which developed a competent in-house dispense solutions business in the 2000s, strengthened by the 2020 acquisition of The Boiling Tap Company. A classic example was the Britvic-patented Pepsi Xtra Cold dispenser, launched in the late-2000s across Mitchells &amp; Butlers’ 2,000 outlets (Fig </w:t>
      </w:r>
      <w:r w:rsidRPr="003A3374">
        <w:fldChar w:fldCharType="begin"/>
      </w:r>
      <w:r w:rsidRPr="003A3374">
        <w:instrText xml:space="preserve"> REF LINK_049258 \h </w:instrText>
      </w:r>
      <w:r w:rsidRPr="003A3374">
        <w:fldChar w:fldCharType="separate"/>
      </w:r>
      <w:r w:rsidR="006A4635" w:rsidRPr="003A3374">
        <w:rPr>
          <w:noProof/>
        </w:rPr>
        <w:t>43</w:t>
      </w:r>
      <w:r w:rsidRPr="003A3374">
        <w:fldChar w:fldCharType="end"/>
      </w:r>
      <w:r w:rsidRPr="003A3374">
        <w:t>). This dispenser never took off, partly because it launched in the midst of the GFC, but in October 2025 Carlsberg-Britvic is back with a new ‘Halo’ dispenser that it hopes can turn the tide against Coca-Cola in post-mix (Fig </w:t>
      </w:r>
      <w:r w:rsidRPr="003A3374">
        <w:fldChar w:fldCharType="begin"/>
      </w:r>
      <w:r w:rsidRPr="003A3374">
        <w:instrText xml:space="preserve"> REF LINK_020865 \h </w:instrText>
      </w:r>
      <w:r w:rsidRPr="003A3374">
        <w:fldChar w:fldCharType="separate"/>
      </w:r>
      <w:r w:rsidR="006A4635" w:rsidRPr="003A3374">
        <w:rPr>
          <w:noProof/>
        </w:rPr>
        <w:t>44</w:t>
      </w:r>
      <w:r w:rsidRPr="003A3374">
        <w:fldChar w:fldCharType="end"/>
      </w:r>
      <w:r w:rsidRPr="003A3374">
        <w:t xml:space="preserve">). </w:t>
      </w:r>
    </w:p>
    <w:p w14:paraId="191C980B" w14:textId="18EFC750" w:rsidR="00900C52" w:rsidRPr="003A3374" w:rsidRDefault="00900C52" w:rsidP="0077517C">
      <w:pPr>
        <w:pStyle w:val="BodyText"/>
      </w:pPr>
      <w:r w:rsidRPr="003A3374">
        <w:t xml:space="preserve">This </w:t>
      </w:r>
      <w:r w:rsidR="0077517C" w:rsidRPr="003A3374">
        <w:t xml:space="preserve">new </w:t>
      </w:r>
      <w:r w:rsidRPr="003A3374">
        <w:t>dispense</w:t>
      </w:r>
      <w:r w:rsidR="0077517C" w:rsidRPr="003A3374">
        <w:t>r could be</w:t>
      </w:r>
      <w:r w:rsidRPr="003A3374">
        <w:t xml:space="preserve"> necessary as although the combination of Carlsberg and Britvic adds scale that is useful for customer negotiations in the grocery channel, it can create friction in the more profitable out-of-home channel. </w:t>
      </w:r>
    </w:p>
    <w:p w14:paraId="790195D1" w14:textId="6BC41A2D" w:rsidR="00900C52" w:rsidRPr="003A3374" w:rsidRDefault="00900C52" w:rsidP="007D0732">
      <w:pPr>
        <w:pStyle w:val="BodyText"/>
      </w:pPr>
      <w:r w:rsidRPr="003A3374">
        <w:t xml:space="preserve">For example, Heineken (Buy rated) owns c2,400 pubs around the UK through Star Pubs: would it be happy to list Pepsi products, thereby helping one of its beer competitors, Carlsberg? Before the acquisition this would not have been an issue for Britvic, yet we have already seen an example of this potential issue in action. Britvic lost the Pepsi distribution agreement with Fuller, Smith &amp; Turner (c400 pubs) to </w:t>
      </w:r>
      <w:r w:rsidR="007D0732" w:rsidRPr="003A3374">
        <w:t>CCGB</w:t>
      </w:r>
      <w:r w:rsidRPr="003A3374">
        <w:t xml:space="preserve"> in 2025</w:t>
      </w:r>
      <w:r w:rsidR="007D0732" w:rsidRPr="003A3374">
        <w:t>. Meanwhile, Carlsberg-Britvic</w:t>
      </w:r>
      <w:r w:rsidRPr="003A3374">
        <w:t xml:space="preserve"> </w:t>
      </w:r>
      <w:r w:rsidR="007D0732" w:rsidRPr="003A3374">
        <w:t>won</w:t>
      </w:r>
      <w:r w:rsidRPr="003A3374">
        <w:t xml:space="preserve"> a distribution agreement with St Austell (c160 pubs) from </w:t>
      </w:r>
      <w:r w:rsidR="007D0732" w:rsidRPr="003A3374">
        <w:t xml:space="preserve">CCGB, but clearly this will not </w:t>
      </w:r>
      <w:r w:rsidR="00531096" w:rsidRPr="003A3374">
        <w:t>fully offset</w:t>
      </w:r>
      <w:r w:rsidR="007D0732" w:rsidRPr="003A3374">
        <w:t xml:space="preserve"> the lost Full</w:t>
      </w:r>
      <w:r w:rsidR="00531096" w:rsidRPr="003A3374">
        <w:t>er</w:t>
      </w:r>
      <w:r w:rsidR="007D0732" w:rsidRPr="003A3374">
        <w:t>, Smith &amp; Turner outlets.</w:t>
      </w:r>
    </w:p>
    <w:p w14:paraId="4CDD5921" w14:textId="7CA813B3" w:rsidR="00900C52" w:rsidRPr="003A3374" w:rsidRDefault="00900C52" w:rsidP="0036353E">
      <w:pPr>
        <w:pStyle w:val="BodyText"/>
      </w:pPr>
      <w:r w:rsidRPr="003A3374">
        <w:t xml:space="preserve">Net-net, this is a win for Coca-Cola and a loss for Pepsi, that perhaps would not have happened previously. </w:t>
      </w:r>
      <w:r w:rsidR="0036353E" w:rsidRPr="003A3374">
        <w:t>CCGB</w:t>
      </w:r>
      <w:r w:rsidRPr="003A3374">
        <w:t xml:space="preserve"> could </w:t>
      </w:r>
      <w:r w:rsidR="0036353E" w:rsidRPr="003A3374">
        <w:t xml:space="preserve">win </w:t>
      </w:r>
      <w:r w:rsidRPr="003A3374">
        <w:t>further outlet</w:t>
      </w:r>
      <w:r w:rsidR="0036353E" w:rsidRPr="003A3374">
        <w:t xml:space="preserve">s in the licensed channel </w:t>
      </w:r>
      <w:r w:rsidRPr="003A3374">
        <w:t>following Carlsberg’s acquisition of Britvic</w:t>
      </w:r>
      <w:r w:rsidR="0036353E" w:rsidRPr="003A3374">
        <w:t xml:space="preserve"> and/or it could make it easier for CCGB to renew existing agreements (for example, CCGB’s agreement with Stonegate was recently renewed). However, </w:t>
      </w:r>
      <w:r w:rsidRPr="003A3374">
        <w:t xml:space="preserve">we doubt that long-standing Pepsi vendor JD Wetherspoon would </w:t>
      </w:r>
      <w:r w:rsidR="0036353E" w:rsidRPr="003A3374">
        <w:t xml:space="preserve">ever </w:t>
      </w:r>
      <w:r w:rsidRPr="003A3374">
        <w:t>switch</w:t>
      </w:r>
      <w:r w:rsidR="0036353E" w:rsidRPr="003A3374">
        <w:t xml:space="preserve"> to Coca-Cola, which provides some certainty to Carlsberg-Britvic’s soft drinks sales in the licensed channel</w:t>
      </w:r>
      <w:r w:rsidRPr="003A3374">
        <w:t>.</w:t>
      </w:r>
    </w:p>
    <w:tbl>
      <w:tblPr>
        <w:tblStyle w:val="TableGrid"/>
        <w:tblW w:w="9637" w:type="dxa"/>
        <w:tblLayout w:type="fixed"/>
        <w:tblCellMar>
          <w:left w:w="0" w:type="dxa"/>
          <w:right w:w="0" w:type="dxa"/>
        </w:tblCellMar>
        <w:tblLook w:val="04A0" w:firstRow="1" w:lastRow="0" w:firstColumn="1" w:lastColumn="0" w:noHBand="0" w:noVBand="1"/>
      </w:tblPr>
      <w:tblGrid>
        <w:gridCol w:w="4705"/>
        <w:gridCol w:w="227"/>
        <w:gridCol w:w="4705"/>
      </w:tblGrid>
      <w:tr w:rsidR="00900C52" w:rsidRPr="003A3374" w14:paraId="0B0DA69A" w14:textId="77777777" w:rsidTr="00ED6730">
        <w:trPr>
          <w:cantSplit/>
          <w:tblHeader/>
        </w:trPr>
        <w:tc>
          <w:tcPr>
            <w:tcW w:w="4705" w:type="dxa"/>
            <w:tcBorders>
              <w:bottom w:val="single" w:sz="8" w:space="0" w:color="000000" w:themeColor="text1"/>
            </w:tcBorders>
            <w:vAlign w:val="bottom"/>
          </w:tcPr>
          <w:p w14:paraId="62B11789" w14:textId="14A706BD" w:rsidR="00900C52" w:rsidRPr="003A3374" w:rsidRDefault="00900C52" w:rsidP="00ED6730">
            <w:pPr>
              <w:pStyle w:val="TableTitle"/>
            </w:pPr>
            <w:r w:rsidRPr="003A3374">
              <w:lastRenderedPageBreak/>
              <w:t xml:space="preserve">Fig </w:t>
            </w:r>
            <w:bookmarkStart w:id="83" w:name="LINK_049258"/>
            <w:r w:rsidRPr="003A3374">
              <w:fldChar w:fldCharType="begin"/>
            </w:r>
            <w:r w:rsidRPr="003A3374">
              <w:instrText xml:space="preserve"> SEQ Fig </w:instrText>
            </w:r>
            <w:r w:rsidRPr="003A3374">
              <w:fldChar w:fldCharType="separate"/>
            </w:r>
            <w:r w:rsidR="006A4635" w:rsidRPr="003A3374">
              <w:rPr>
                <w:noProof/>
              </w:rPr>
              <w:t>43</w:t>
            </w:r>
            <w:r w:rsidRPr="003A3374">
              <w:fldChar w:fldCharType="end"/>
            </w:r>
            <w:bookmarkEnd w:id="83"/>
            <w:r w:rsidRPr="003A3374">
              <w:t>: The blue font 1.0</w:t>
            </w:r>
          </w:p>
        </w:tc>
        <w:tc>
          <w:tcPr>
            <w:tcW w:w="227" w:type="dxa"/>
            <w:vAlign w:val="bottom"/>
          </w:tcPr>
          <w:p w14:paraId="3EE0C6B9" w14:textId="77777777" w:rsidR="00900C52" w:rsidRPr="003A3374" w:rsidRDefault="00900C52" w:rsidP="00ED6730">
            <w:pPr>
              <w:pStyle w:val="Normal0"/>
            </w:pPr>
          </w:p>
        </w:tc>
        <w:tc>
          <w:tcPr>
            <w:tcW w:w="4705" w:type="dxa"/>
            <w:tcBorders>
              <w:bottom w:val="single" w:sz="8" w:space="0" w:color="000000" w:themeColor="text1"/>
            </w:tcBorders>
            <w:vAlign w:val="bottom"/>
          </w:tcPr>
          <w:p w14:paraId="50348CE2" w14:textId="5BA0F84C" w:rsidR="00900C52" w:rsidRPr="003A3374" w:rsidRDefault="00900C52" w:rsidP="00ED6730">
            <w:pPr>
              <w:pStyle w:val="TableTitle"/>
            </w:pPr>
            <w:r w:rsidRPr="003A3374">
              <w:t xml:space="preserve">Fig </w:t>
            </w:r>
            <w:bookmarkStart w:id="84" w:name="LINK_020865"/>
            <w:r w:rsidRPr="003A3374">
              <w:fldChar w:fldCharType="begin"/>
            </w:r>
            <w:r w:rsidRPr="003A3374">
              <w:instrText xml:space="preserve"> SEQ Fig </w:instrText>
            </w:r>
            <w:r w:rsidRPr="003A3374">
              <w:fldChar w:fldCharType="separate"/>
            </w:r>
            <w:r w:rsidR="006A4635" w:rsidRPr="003A3374">
              <w:rPr>
                <w:noProof/>
              </w:rPr>
              <w:t>44</w:t>
            </w:r>
            <w:r w:rsidRPr="003A3374">
              <w:fldChar w:fldCharType="end"/>
            </w:r>
            <w:bookmarkEnd w:id="84"/>
            <w:r w:rsidRPr="003A3374">
              <w:t>: The blue font 2.0</w:t>
            </w:r>
          </w:p>
        </w:tc>
      </w:tr>
      <w:tr w:rsidR="00900C52" w:rsidRPr="003A3374" w14:paraId="1E018856" w14:textId="77777777" w:rsidTr="00ED6730">
        <w:trPr>
          <w:cantSplit/>
        </w:trPr>
        <w:tc>
          <w:tcPr>
            <w:tcW w:w="4705" w:type="dxa"/>
            <w:tcBorders>
              <w:top w:val="single" w:sz="8" w:space="0" w:color="000000" w:themeColor="text1"/>
              <w:bottom w:val="single" w:sz="8" w:space="0" w:color="000000" w:themeColor="text1"/>
            </w:tcBorders>
          </w:tcPr>
          <w:p w14:paraId="25BD1606" w14:textId="77777777" w:rsidR="00900C52" w:rsidRPr="003A3374" w:rsidRDefault="00900C52" w:rsidP="00ED6730">
            <w:pPr>
              <w:pStyle w:val="Tableplaceholder"/>
            </w:pPr>
            <w:r w:rsidRPr="003A3374">
              <w:rPr>
                <w:noProof/>
              </w:rPr>
              <w:drawing>
                <wp:inline distT="0" distB="0" distL="0" distR="0" wp14:anchorId="775CF96C" wp14:editId="3F59549F">
                  <wp:extent cx="2539427" cy="1800000"/>
                  <wp:effectExtent l="0" t="0" r="0" b="0"/>
                  <wp:docPr id="925520473" name="Picture 1" descr="A close-up of a beer t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20473" name="Picture 1" descr="A close-up of a beer tap&#10;&#10;AI-generated content may be incorrect."/>
                          <pic:cNvPicPr/>
                        </pic:nvPicPr>
                        <pic:blipFill>
                          <a:blip r:embed="rId70"/>
                          <a:stretch>
                            <a:fillRect/>
                          </a:stretch>
                        </pic:blipFill>
                        <pic:spPr>
                          <a:xfrm>
                            <a:off x="0" y="0"/>
                            <a:ext cx="2539427" cy="1800000"/>
                          </a:xfrm>
                          <a:prstGeom prst="rect">
                            <a:avLst/>
                          </a:prstGeom>
                        </pic:spPr>
                      </pic:pic>
                    </a:graphicData>
                  </a:graphic>
                </wp:inline>
              </w:drawing>
            </w:r>
          </w:p>
        </w:tc>
        <w:tc>
          <w:tcPr>
            <w:tcW w:w="227" w:type="dxa"/>
          </w:tcPr>
          <w:p w14:paraId="6202A0DF" w14:textId="77777777" w:rsidR="00900C52" w:rsidRPr="003A3374" w:rsidRDefault="00900C52" w:rsidP="00ED6730">
            <w:pPr>
              <w:pStyle w:val="Normal0"/>
            </w:pPr>
          </w:p>
        </w:tc>
        <w:tc>
          <w:tcPr>
            <w:tcW w:w="4705" w:type="dxa"/>
            <w:tcBorders>
              <w:top w:val="single" w:sz="8" w:space="0" w:color="000000" w:themeColor="text1"/>
              <w:bottom w:val="single" w:sz="8" w:space="0" w:color="000000" w:themeColor="text1"/>
            </w:tcBorders>
          </w:tcPr>
          <w:p w14:paraId="19E269CC" w14:textId="77777777" w:rsidR="00900C52" w:rsidRPr="003A3374" w:rsidRDefault="00900C52" w:rsidP="00ED6730">
            <w:pPr>
              <w:pStyle w:val="Tableplaceholder"/>
            </w:pPr>
            <w:r w:rsidRPr="003A3374">
              <w:rPr>
                <w:noProof/>
              </w:rPr>
              <w:drawing>
                <wp:inline distT="0" distB="0" distL="0" distR="0" wp14:anchorId="689DDB70" wp14:editId="61102456">
                  <wp:extent cx="2769458" cy="1800000"/>
                  <wp:effectExtent l="0" t="0" r="0" b="0"/>
                  <wp:docPr id="1704018902" name="Picture 1" descr="A group of soda dispens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18902" name="Picture 1" descr="A group of soda dispensers&#10;&#10;AI-generated content may be incorrect."/>
                          <pic:cNvPicPr/>
                        </pic:nvPicPr>
                        <pic:blipFill>
                          <a:blip r:embed="rId71"/>
                          <a:stretch>
                            <a:fillRect/>
                          </a:stretch>
                        </pic:blipFill>
                        <pic:spPr>
                          <a:xfrm>
                            <a:off x="0" y="0"/>
                            <a:ext cx="2769458" cy="1800000"/>
                          </a:xfrm>
                          <a:prstGeom prst="rect">
                            <a:avLst/>
                          </a:prstGeom>
                        </pic:spPr>
                      </pic:pic>
                    </a:graphicData>
                  </a:graphic>
                </wp:inline>
              </w:drawing>
            </w:r>
          </w:p>
        </w:tc>
      </w:tr>
      <w:tr w:rsidR="00900C52" w:rsidRPr="003A3374" w14:paraId="268CAAA7" w14:textId="77777777" w:rsidTr="00ED6730">
        <w:trPr>
          <w:cantSplit/>
        </w:trPr>
        <w:tc>
          <w:tcPr>
            <w:tcW w:w="4705" w:type="dxa"/>
            <w:tcBorders>
              <w:top w:val="single" w:sz="8" w:space="0" w:color="000000" w:themeColor="text1"/>
            </w:tcBorders>
          </w:tcPr>
          <w:p w14:paraId="3BD7FAD2" w14:textId="77777777" w:rsidR="00900C52" w:rsidRPr="003A3374" w:rsidRDefault="00900C52" w:rsidP="00ED6730">
            <w:pPr>
              <w:pStyle w:val="TableSource"/>
            </w:pPr>
            <w:r w:rsidRPr="003A3374">
              <w:t>Source: Britvic</w:t>
            </w:r>
          </w:p>
        </w:tc>
        <w:tc>
          <w:tcPr>
            <w:tcW w:w="227" w:type="dxa"/>
          </w:tcPr>
          <w:p w14:paraId="67BE313D" w14:textId="77777777" w:rsidR="00900C52" w:rsidRPr="003A3374" w:rsidRDefault="00900C52" w:rsidP="00ED6730">
            <w:pPr>
              <w:pStyle w:val="Normal0"/>
            </w:pPr>
          </w:p>
        </w:tc>
        <w:tc>
          <w:tcPr>
            <w:tcW w:w="4705" w:type="dxa"/>
            <w:tcBorders>
              <w:top w:val="single" w:sz="8" w:space="0" w:color="000000" w:themeColor="text1"/>
            </w:tcBorders>
          </w:tcPr>
          <w:p w14:paraId="0673E108" w14:textId="77777777" w:rsidR="00900C52" w:rsidRPr="003A3374" w:rsidRDefault="00900C52" w:rsidP="00ED6730">
            <w:pPr>
              <w:pStyle w:val="TableSource"/>
            </w:pPr>
            <w:r w:rsidRPr="003A3374">
              <w:t>Source: barmagazine.co.uk</w:t>
            </w:r>
          </w:p>
        </w:tc>
      </w:tr>
    </w:tbl>
    <w:p w14:paraId="7176D882" w14:textId="0C36C85B" w:rsidR="00900C52" w:rsidRPr="003A3374" w:rsidRDefault="00900C52" w:rsidP="004674F4">
      <w:pPr>
        <w:pStyle w:val="BodyText"/>
      </w:pPr>
      <w:r w:rsidRPr="003A3374">
        <w:t xml:space="preserve">In conclusion, we </w:t>
      </w:r>
      <w:r w:rsidR="004674F4" w:rsidRPr="003A3374">
        <w:t xml:space="preserve">do not </w:t>
      </w:r>
      <w:r w:rsidR="00AD174B" w:rsidRPr="003A3374">
        <w:t>expect</w:t>
      </w:r>
      <w:r w:rsidR="004674F4" w:rsidRPr="003A3374">
        <w:t xml:space="preserve"> that Britvic’s acquisition by Carlsberg will impede CCGB’s long-term growth trajectory. If anything, it could present an opportunity for CCGB </w:t>
      </w:r>
      <w:r w:rsidRPr="003A3374">
        <w:t xml:space="preserve">to win </w:t>
      </w:r>
      <w:r w:rsidR="00D71F2D" w:rsidRPr="003A3374">
        <w:t xml:space="preserve">further </w:t>
      </w:r>
      <w:r w:rsidRPr="003A3374">
        <w:t>share in the out-of-home channel, which coupled with the aforementioned volume recovery story could lead to multiple years of strong price/mix growth in Great Britain.</w:t>
      </w:r>
    </w:p>
    <w:p w14:paraId="65DC55CC" w14:textId="7209A7A3" w:rsidR="0076197A" w:rsidRPr="003A3374" w:rsidRDefault="00F01B18" w:rsidP="00747CB8">
      <w:pPr>
        <w:pStyle w:val="Heading20"/>
      </w:pPr>
      <w:bookmarkStart w:id="85" w:name="_Toc214545138"/>
      <w:r w:rsidRPr="003A3374">
        <w:t>The next</w:t>
      </w:r>
      <w:r w:rsidR="0076197A" w:rsidRPr="003A3374">
        <w:t xml:space="preserve"> territories</w:t>
      </w:r>
      <w:r w:rsidR="00B43B02" w:rsidRPr="003A3374">
        <w:t>?</w:t>
      </w:r>
      <w:bookmarkEnd w:id="85"/>
    </w:p>
    <w:p w14:paraId="06D6C84E" w14:textId="6FAB950D" w:rsidR="00776CE9" w:rsidRPr="003A3374" w:rsidRDefault="00641C2F" w:rsidP="00641C2F">
      <w:pPr>
        <w:pStyle w:val="BodyText"/>
      </w:pPr>
      <w:r w:rsidRPr="003A3374">
        <w:t>Lastly, there is a</w:t>
      </w:r>
      <w:r w:rsidR="003C3EC7" w:rsidRPr="003A3374">
        <w:t>n open</w:t>
      </w:r>
      <w:r w:rsidRPr="003A3374">
        <w:t xml:space="preserve"> question around whether Carlsberg </w:t>
      </w:r>
      <w:r w:rsidR="003E3589" w:rsidRPr="003A3374">
        <w:t xml:space="preserve">can </w:t>
      </w:r>
      <w:r w:rsidRPr="003A3374">
        <w:t>both expand its strategic partnership with PepsiCo</w:t>
      </w:r>
      <w:r w:rsidR="005C24F3" w:rsidRPr="003A3374">
        <w:t xml:space="preserve"> (alongside taking over UK Pepsi bottling, it will also take on Pepsi bottling in Kazakhstan and Kyrgyzstan)</w:t>
      </w:r>
      <w:r w:rsidRPr="003A3374">
        <w:t xml:space="preserve"> while continuing to bottle Coca-Cola in D</w:t>
      </w:r>
      <w:r w:rsidR="00776CE9" w:rsidRPr="003A3374">
        <w:t>enmark</w:t>
      </w:r>
      <w:r w:rsidRPr="003A3374">
        <w:t xml:space="preserve"> and </w:t>
      </w:r>
      <w:r w:rsidR="00776CE9" w:rsidRPr="003A3374">
        <w:t>Finland</w:t>
      </w:r>
      <w:r w:rsidRPr="003A3374">
        <w:t>.</w:t>
      </w:r>
      <w:r w:rsidR="001E54FD" w:rsidRPr="003A3374">
        <w:t xml:space="preserve"> Our understanding is that the Coca-Cola bottling licenses in Denmark and Finland are up for renewal in 2026.</w:t>
      </w:r>
    </w:p>
    <w:p w14:paraId="6814420F" w14:textId="72337938" w:rsidR="0076197A" w:rsidRPr="003A3374" w:rsidRDefault="0076197A" w:rsidP="00641C2F">
      <w:pPr>
        <w:pStyle w:val="BodyText"/>
      </w:pPr>
      <w:r w:rsidRPr="003A3374">
        <w:t>As discussed in ‘</w:t>
      </w:r>
      <w:hyperlink r:id="rId72" w:history="1">
        <w:r w:rsidRPr="003A3374">
          <w:rPr>
            <w:rStyle w:val="Hyperlink"/>
          </w:rPr>
          <w:t>Super System</w:t>
        </w:r>
      </w:hyperlink>
      <w:r w:rsidRPr="003A3374">
        <w:t>’ (8 September 2023), in the modern era there are few examples of TCCC not renew</w:t>
      </w:r>
      <w:r w:rsidR="00283EA7" w:rsidRPr="003A3374">
        <w:t>ing</w:t>
      </w:r>
      <w:r w:rsidRPr="003A3374">
        <w:t xml:space="preserve"> a bottler’s contract for reasons other than broader System refranchising initiatives. The key </w:t>
      </w:r>
      <w:r w:rsidR="009675DD" w:rsidRPr="003A3374">
        <w:t>exceptions</w:t>
      </w:r>
      <w:r w:rsidRPr="003A3374">
        <w:t xml:space="preserve"> were when bottlers competed</w:t>
      </w:r>
      <w:r w:rsidR="004522C5" w:rsidRPr="003A3374">
        <w:t xml:space="preserve"> against TCCC</w:t>
      </w:r>
      <w:r w:rsidRPr="003A3374">
        <w:t xml:space="preserve"> with </w:t>
      </w:r>
      <w:r w:rsidR="004522C5" w:rsidRPr="003A3374">
        <w:t xml:space="preserve">their own </w:t>
      </w:r>
      <w:r w:rsidRPr="003A3374">
        <w:t>products, such as Castel with World Cola in its African markets, which was significantly cheaper than the Coca-Cola Classic that it was also bottling. Castel’s Coca-Cola bottling agreement ended in 2022.</w:t>
      </w:r>
    </w:p>
    <w:p w14:paraId="377CB19A" w14:textId="2B039282" w:rsidR="00730E93" w:rsidRPr="003A3374" w:rsidRDefault="00730E93" w:rsidP="00641C2F">
      <w:pPr>
        <w:pStyle w:val="BodyText"/>
      </w:pPr>
      <w:r w:rsidRPr="003A3374">
        <w:t xml:space="preserve">The problem for TCCC is that Carlsberg is a good partner in Denmark: it has the best distribution network, enormous local </w:t>
      </w:r>
      <w:r w:rsidR="002126B9" w:rsidRPr="003A3374">
        <w:t>influence</w:t>
      </w:r>
      <w:r w:rsidRPr="003A3374">
        <w:t xml:space="preserve"> and longstanding relationships with the key customers.</w:t>
      </w:r>
    </w:p>
    <w:p w14:paraId="1ED919CA" w14:textId="30E3153B" w:rsidR="0076197A" w:rsidRPr="003A3374" w:rsidRDefault="002126B9" w:rsidP="003D1597">
      <w:pPr>
        <w:pStyle w:val="BodyText"/>
      </w:pPr>
      <w:r w:rsidRPr="003A3374">
        <w:t>Carlsberg took on Coca-Cola bottling in Denmark in 2002 after a deal to restructure the former</w:t>
      </w:r>
      <w:r w:rsidR="00CD5388" w:rsidRPr="003A3374">
        <w:t xml:space="preserve"> 51</w:t>
      </w:r>
      <w:r w:rsidR="007E2C65" w:rsidRPr="003A3374">
        <w:t>:</w:t>
      </w:r>
      <w:r w:rsidR="00CD5388" w:rsidRPr="003A3374">
        <w:t>49</w:t>
      </w:r>
      <w:r w:rsidRPr="003A3374">
        <w:t xml:space="preserve"> joint venture</w:t>
      </w:r>
      <w:r w:rsidR="00CD5388" w:rsidRPr="003A3374">
        <w:t xml:space="preserve"> that it had with TCCC in the Nordics. From 2002-19 we estimate the Carlsberg’s Danish soft drinks volumes (which are predominantly </w:t>
      </w:r>
      <w:r w:rsidR="00002CDC" w:rsidRPr="003A3374">
        <w:t>comprised of</w:t>
      </w:r>
      <w:r w:rsidR="00CD5388" w:rsidRPr="003A3374">
        <w:t xml:space="preserve"> TCCC’s brands) rose at a 4-5% CAGR (</w:t>
      </w:r>
      <w:r w:rsidR="001D130C" w:rsidRPr="003A3374">
        <w:t>Fig </w:t>
      </w:r>
      <w:r w:rsidR="001D130C" w:rsidRPr="003A3374">
        <w:fldChar w:fldCharType="begin"/>
      </w:r>
      <w:r w:rsidR="001D130C" w:rsidRPr="003A3374">
        <w:instrText xml:space="preserve"> REF LINK_042399 \h </w:instrText>
      </w:r>
      <w:r w:rsidR="001D130C" w:rsidRPr="003A3374">
        <w:fldChar w:fldCharType="separate"/>
      </w:r>
      <w:r w:rsidR="006A4635" w:rsidRPr="003A3374">
        <w:rPr>
          <w:noProof/>
        </w:rPr>
        <w:t>45</w:t>
      </w:r>
      <w:r w:rsidR="001D130C" w:rsidRPr="003A3374">
        <w:fldChar w:fldCharType="end"/>
      </w:r>
      <w:r w:rsidR="00CD5388" w:rsidRPr="003A3374">
        <w:t xml:space="preserve">). However, it is difficult to know whether this is a ‘clean’ growth rate as there was a thriving cross-border business between Denmark and northern Germany that </w:t>
      </w:r>
      <w:r w:rsidR="008276F0" w:rsidRPr="003A3374">
        <w:t>encroached</w:t>
      </w:r>
      <w:r w:rsidR="00CD5388" w:rsidRPr="003A3374">
        <w:t xml:space="preserve"> on CCEP’s sales growth. In 2020, TCCC stepped in</w:t>
      </w:r>
      <w:r w:rsidR="0022659D" w:rsidRPr="003A3374">
        <w:t xml:space="preserve"> and</w:t>
      </w:r>
      <w:r w:rsidR="00CD5388" w:rsidRPr="003A3374">
        <w:t xml:space="preserve"> </w:t>
      </w:r>
      <w:r w:rsidR="0022659D" w:rsidRPr="003A3374">
        <w:t>asked</w:t>
      </w:r>
      <w:r w:rsidR="00CD5388" w:rsidRPr="003A3374">
        <w:t xml:space="preserve"> Carlsberg to cease this cross-border trade – </w:t>
      </w:r>
      <w:r w:rsidR="0022659D" w:rsidRPr="003A3374">
        <w:t>a sign of TCCC’s strong alignment with CCEP, but for Carlsberg it meant that its Danish soft drinks</w:t>
      </w:r>
      <w:r w:rsidR="00CD5388" w:rsidRPr="003A3374">
        <w:t xml:space="preserve"> </w:t>
      </w:r>
      <w:r w:rsidR="0022659D" w:rsidRPr="003A3374">
        <w:t>volumes are still c15-20% lower than in 2019.</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76197A" w:rsidRPr="003A3374" w14:paraId="37427028" w14:textId="77777777" w:rsidTr="0076197A">
        <w:trPr>
          <w:cantSplit/>
          <w:tblHeader/>
        </w:trPr>
        <w:tc>
          <w:tcPr>
            <w:tcW w:w="7654" w:type="dxa"/>
            <w:tcBorders>
              <w:bottom w:val="single" w:sz="8" w:space="0" w:color="000000" w:themeColor="text1"/>
            </w:tcBorders>
            <w:vAlign w:val="bottom"/>
          </w:tcPr>
          <w:p w14:paraId="7C2F2243" w14:textId="660B74E0" w:rsidR="0076197A" w:rsidRPr="003A3374" w:rsidRDefault="0076197A" w:rsidP="0076197A">
            <w:pPr>
              <w:pStyle w:val="TableTitle"/>
            </w:pPr>
            <w:bookmarkStart w:id="86" w:name="PH_1_4_1_028166"/>
            <w:r w:rsidRPr="003A3374">
              <w:lastRenderedPageBreak/>
              <w:t xml:space="preserve">Fig </w:t>
            </w:r>
            <w:bookmarkStart w:id="87" w:name="LINK_042399"/>
            <w:r w:rsidRPr="003A3374">
              <w:fldChar w:fldCharType="begin"/>
            </w:r>
            <w:r w:rsidRPr="003A3374">
              <w:instrText xml:space="preserve"> SEQ Fig </w:instrText>
            </w:r>
            <w:r w:rsidRPr="003A3374">
              <w:fldChar w:fldCharType="separate"/>
            </w:r>
            <w:r w:rsidR="006A4635" w:rsidRPr="003A3374">
              <w:rPr>
                <w:noProof/>
              </w:rPr>
              <w:t>45</w:t>
            </w:r>
            <w:r w:rsidRPr="003A3374">
              <w:fldChar w:fldCharType="end"/>
            </w:r>
            <w:bookmarkEnd w:id="87"/>
            <w:r w:rsidRPr="003A3374">
              <w:t xml:space="preserve">: </w:t>
            </w:r>
            <w:r w:rsidR="00F808C9" w:rsidRPr="003A3374">
              <w:t>From Green to Red</w:t>
            </w:r>
          </w:p>
        </w:tc>
      </w:tr>
      <w:tr w:rsidR="0076197A" w:rsidRPr="003A3374" w14:paraId="3C8CF9CE" w14:textId="77777777" w:rsidTr="0076197A">
        <w:trPr>
          <w:cantSplit/>
        </w:trPr>
        <w:tc>
          <w:tcPr>
            <w:tcW w:w="7654" w:type="dxa"/>
            <w:tcBorders>
              <w:top w:val="single" w:sz="8" w:space="0" w:color="000000" w:themeColor="text1"/>
              <w:bottom w:val="single" w:sz="8" w:space="0" w:color="000000" w:themeColor="text1"/>
            </w:tcBorders>
          </w:tcPr>
          <w:p w14:paraId="0AD58647" w14:textId="07F08845" w:rsidR="0076197A" w:rsidRPr="003A3374" w:rsidRDefault="0076197A" w:rsidP="0076197A">
            <w:pPr>
              <w:pStyle w:val="Tableplaceholder"/>
            </w:pPr>
            <w:r w:rsidRPr="003A3374">
              <w:rPr>
                <w:noProof/>
              </w:rPr>
              <w:drawing>
                <wp:inline distT="0" distB="0" distL="0" distR="0" wp14:anchorId="27C9D561" wp14:editId="14EDF584">
                  <wp:extent cx="4860290" cy="2156460"/>
                  <wp:effectExtent l="0" t="0" r="0" b="0"/>
                  <wp:docPr id="46792645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860290" cy="2156460"/>
                          </a:xfrm>
                          <a:prstGeom prst="rect">
                            <a:avLst/>
                          </a:prstGeom>
                          <a:noFill/>
                          <a:ln>
                            <a:noFill/>
                          </a:ln>
                        </pic:spPr>
                      </pic:pic>
                    </a:graphicData>
                  </a:graphic>
                </wp:inline>
              </w:drawing>
            </w:r>
          </w:p>
        </w:tc>
      </w:tr>
      <w:tr w:rsidR="0076197A" w:rsidRPr="003A3374" w14:paraId="5CD757C7" w14:textId="77777777" w:rsidTr="0076197A">
        <w:trPr>
          <w:cantSplit/>
        </w:trPr>
        <w:tc>
          <w:tcPr>
            <w:tcW w:w="7654" w:type="dxa"/>
            <w:tcBorders>
              <w:top w:val="single" w:sz="8" w:space="0" w:color="000000" w:themeColor="text1"/>
            </w:tcBorders>
          </w:tcPr>
          <w:p w14:paraId="07582D87" w14:textId="0BF370B4" w:rsidR="0076197A" w:rsidRPr="003A3374" w:rsidRDefault="0076197A" w:rsidP="0076197A">
            <w:pPr>
              <w:pStyle w:val="TableSource"/>
            </w:pPr>
            <w:r w:rsidRPr="003A3374">
              <w:t>Source: Rothschild &amp; Co Redburn, company</w:t>
            </w:r>
          </w:p>
        </w:tc>
      </w:tr>
      <w:bookmarkEnd w:id="86"/>
    </w:tbl>
    <w:p w14:paraId="4C4F4EED" w14:textId="77777777" w:rsidR="0076197A" w:rsidRPr="003A3374" w:rsidRDefault="0076197A" w:rsidP="00694885">
      <w:pPr>
        <w:pStyle w:val="Tablespaceafter"/>
      </w:pPr>
    </w:p>
    <w:p w14:paraId="49C8AEA9" w14:textId="131964E3" w:rsidR="00F85FEA" w:rsidRPr="003A3374" w:rsidRDefault="003C0403" w:rsidP="003C0403">
      <w:pPr>
        <w:pStyle w:val="BodyText"/>
      </w:pPr>
      <w:r w:rsidRPr="003A3374">
        <w:t xml:space="preserve">In our view, if Carlsberg continues to expand into new Pepsi bottling </w:t>
      </w:r>
      <w:r w:rsidR="00F8316F" w:rsidRPr="003A3374">
        <w:t>territories,</w:t>
      </w:r>
      <w:r w:rsidRPr="003A3374">
        <w:t xml:space="preserve"> then it will eventually lose the Coca-Cola bottling licenses in Denmark and Finland.</w:t>
      </w:r>
    </w:p>
    <w:p w14:paraId="203D5AEA" w14:textId="550D9896" w:rsidR="00CC5D78" w:rsidRPr="003A3374" w:rsidRDefault="003C0403" w:rsidP="003C0403">
      <w:pPr>
        <w:pStyle w:val="BodyText"/>
      </w:pPr>
      <w:r w:rsidRPr="003A3374">
        <w:t>Combined, we</w:t>
      </w:r>
      <w:r w:rsidR="00CD5388" w:rsidRPr="003A3374">
        <w:t xml:space="preserve"> estimate that </w:t>
      </w:r>
      <w:r w:rsidR="00F85FEA" w:rsidRPr="003A3374">
        <w:t>Coca-Cola bottling in</w:t>
      </w:r>
      <w:r w:rsidR="00F362D1" w:rsidRPr="003A3374">
        <w:t xml:space="preserve"> </w:t>
      </w:r>
      <w:r w:rsidR="00CD5388" w:rsidRPr="003A3374">
        <w:t xml:space="preserve">Denmark and Finland </w:t>
      </w:r>
      <w:r w:rsidR="00F85FEA" w:rsidRPr="003A3374">
        <w:t>was worth</w:t>
      </w:r>
      <w:r w:rsidR="00F362D1" w:rsidRPr="003A3374">
        <w:t xml:space="preserve"> c80-90</w:t>
      </w:r>
      <w:r w:rsidR="00C85A8F" w:rsidRPr="003A3374">
        <w:t xml:space="preserve"> </w:t>
      </w:r>
      <w:r w:rsidR="00F362D1" w:rsidRPr="003A3374">
        <w:t>m</w:t>
      </w:r>
      <w:r w:rsidR="00C85A8F" w:rsidRPr="003A3374">
        <w:t>illion</w:t>
      </w:r>
      <w:r w:rsidR="00F362D1" w:rsidRPr="003A3374">
        <w:t xml:space="preserve"> unit cases in 2024, which if </w:t>
      </w:r>
      <w:r w:rsidR="00871F72" w:rsidRPr="003A3374">
        <w:t>it</w:t>
      </w:r>
      <w:r w:rsidR="00F362D1" w:rsidRPr="003A3374">
        <w:t xml:space="preserve"> were to move to CCEP would add c3%/c2% to CCEP’s European/group volumes.</w:t>
      </w:r>
      <w:r w:rsidR="003D7466" w:rsidRPr="003A3374">
        <w:t xml:space="preserve"> In other words, it would be useful, but it is not particularly material.</w:t>
      </w:r>
    </w:p>
    <w:p w14:paraId="5062DFC3" w14:textId="3B3B7B31" w:rsidR="0076197A" w:rsidRPr="003A3374" w:rsidRDefault="001D130C" w:rsidP="00BE12A9">
      <w:pPr>
        <w:pStyle w:val="BodyText"/>
      </w:pPr>
      <w:r w:rsidRPr="003A3374">
        <w:t xml:space="preserve">For Carlsberg, losing Coca-Cola </w:t>
      </w:r>
      <w:r w:rsidR="00612BCC" w:rsidRPr="003A3374">
        <w:t>bottling</w:t>
      </w:r>
      <w:r w:rsidRPr="003A3374">
        <w:t xml:space="preserve"> in Denmark would cause significant disruption. As shown in Fig </w:t>
      </w:r>
      <w:r w:rsidRPr="003A3374">
        <w:fldChar w:fldCharType="begin"/>
      </w:r>
      <w:r w:rsidRPr="003A3374">
        <w:instrText xml:space="preserve"> REF LINK_042399 \h </w:instrText>
      </w:r>
      <w:r w:rsidRPr="003A3374">
        <w:fldChar w:fldCharType="separate"/>
      </w:r>
      <w:r w:rsidR="006A4635" w:rsidRPr="003A3374">
        <w:rPr>
          <w:noProof/>
        </w:rPr>
        <w:t>45</w:t>
      </w:r>
      <w:r w:rsidRPr="003A3374">
        <w:fldChar w:fldCharType="end"/>
      </w:r>
      <w:r w:rsidRPr="003A3374">
        <w:t xml:space="preserve">, in volume terms, Carlsberg sells more soft drinks than it does beer in its home country. Losing this quantity of volume would dent margins unless there were significant restructuring, and it is unlikely that Carlsberg could find a replacement as Pepsi bottling is already performed by Royal Unibrew (Not rated) in Denmark. </w:t>
      </w:r>
    </w:p>
    <w:p w14:paraId="60AC76D2" w14:textId="2BF50582" w:rsidR="00CC5D78" w:rsidRPr="003A3374" w:rsidRDefault="00CC5D78" w:rsidP="00747CB8">
      <w:pPr>
        <w:pStyle w:val="Heading10"/>
      </w:pPr>
      <w:bookmarkStart w:id="88" w:name="_Toc214545139"/>
      <w:r w:rsidRPr="003A3374">
        <w:t>Sugar taxes, Extended Producer Responsibility and Deposit Return Schemes</w:t>
      </w:r>
      <w:bookmarkEnd w:id="88"/>
    </w:p>
    <w:p w14:paraId="25DE2BBB" w14:textId="189AF028" w:rsidR="00CC5D78" w:rsidRPr="003A3374" w:rsidRDefault="00B65D73" w:rsidP="00703CBB">
      <w:pPr>
        <w:pStyle w:val="BodyText"/>
      </w:pPr>
      <w:r w:rsidRPr="003A3374">
        <w:t xml:space="preserve">The final topic to discuss in Great Britain is the increasingly burdensome regulatory environment for soft drinks companies, which could </w:t>
      </w:r>
      <w:r w:rsidR="00772049" w:rsidRPr="003A3374">
        <w:t>constrict</w:t>
      </w:r>
      <w:r w:rsidRPr="003A3374">
        <w:t xml:space="preserve"> the long-term margin expansion </w:t>
      </w:r>
      <w:r w:rsidR="00772049" w:rsidRPr="003A3374">
        <w:t>story</w:t>
      </w:r>
      <w:r w:rsidRPr="003A3374">
        <w:t xml:space="preserve"> for CCGB.</w:t>
      </w:r>
      <w:r w:rsidR="001323AF" w:rsidRPr="003A3374">
        <w:t xml:space="preserve"> Positively, however, it could also cement the market positions of the incumbents.</w:t>
      </w:r>
    </w:p>
    <w:p w14:paraId="2BDA3C3B" w14:textId="6B20CDDF" w:rsidR="00B65D73" w:rsidRPr="003A3374" w:rsidRDefault="009B0BA8" w:rsidP="00703CBB">
      <w:pPr>
        <w:pStyle w:val="BodyText"/>
      </w:pPr>
      <w:r w:rsidRPr="003A3374">
        <w:t xml:space="preserve">The three areas we follow </w:t>
      </w:r>
      <w:r w:rsidR="008E7C53" w:rsidRPr="003A3374">
        <w:t>closely</w:t>
      </w:r>
      <w:r w:rsidRPr="003A3374">
        <w:t xml:space="preserve"> are changes to the UK </w:t>
      </w:r>
      <w:r w:rsidR="00591309" w:rsidRPr="003A3374">
        <w:t>soft drinks industry levy (</w:t>
      </w:r>
      <w:r w:rsidRPr="003A3374">
        <w:t>SDIL</w:t>
      </w:r>
      <w:r w:rsidR="00591309" w:rsidRPr="003A3374">
        <w:t>)</w:t>
      </w:r>
      <w:r w:rsidRPr="003A3374">
        <w:t>, the proposed Deposit Return Scheme due to start on 1 October 2027</w:t>
      </w:r>
      <w:r w:rsidR="00B35E68" w:rsidRPr="003A3374">
        <w:t>, and the changes</w:t>
      </w:r>
      <w:r w:rsidR="00160CE9" w:rsidRPr="003A3374">
        <w:t xml:space="preserve"> being</w:t>
      </w:r>
      <w:r w:rsidR="00B35E68" w:rsidRPr="003A3374">
        <w:t xml:space="preserve"> made to Extended Producer Responsibility (EPR)</w:t>
      </w:r>
      <w:r w:rsidRPr="003A3374">
        <w:t>.</w:t>
      </w:r>
    </w:p>
    <w:p w14:paraId="050531A9" w14:textId="334723A5" w:rsidR="00331852" w:rsidRPr="003A3374" w:rsidRDefault="00642CFB" w:rsidP="00747CB8">
      <w:pPr>
        <w:pStyle w:val="Heading20"/>
      </w:pPr>
      <w:bookmarkStart w:id="89" w:name="_Toc214545140"/>
      <w:r w:rsidRPr="003A3374">
        <w:t>Not so sweet</w:t>
      </w:r>
      <w:bookmarkEnd w:id="89"/>
    </w:p>
    <w:p w14:paraId="6C247C90" w14:textId="179B42D4" w:rsidR="00642CFB" w:rsidRPr="003A3374" w:rsidRDefault="00642CFB" w:rsidP="00642CFB">
      <w:pPr>
        <w:pStyle w:val="BodyText"/>
      </w:pPr>
      <w:r w:rsidRPr="003A3374">
        <w:t>On 30 October 2024, the UK government announced that the SDIL rates will be increased annually (from 1 April 2025) across five years (from 2025 to 2030) to spread</w:t>
      </w:r>
      <w:r w:rsidR="00077B1F" w:rsidRPr="003A3374">
        <w:t xml:space="preserve"> the burden of</w:t>
      </w:r>
      <w:r w:rsidRPr="003A3374">
        <w:t xml:space="preserve"> a 27% cumulative increase. This is to catchup on years of inflation</w:t>
      </w:r>
      <w:r w:rsidR="00077B1F" w:rsidRPr="003A3374">
        <w:t xml:space="preserve"> since the levy was introduced in April 2018</w:t>
      </w:r>
      <w:r w:rsidRPr="003A3374">
        <w:t xml:space="preserve"> – the levy was previously a fixed rate depending on the sugar content of the beverage and as a result, when soft drinks prices rose from 2022 as manufacturers passed on </w:t>
      </w:r>
      <w:r w:rsidR="00824715" w:rsidRPr="003A3374">
        <w:t xml:space="preserve">severe </w:t>
      </w:r>
      <w:r w:rsidRPr="003A3374">
        <w:t xml:space="preserve">cost inflation, </w:t>
      </w:r>
      <w:r w:rsidRPr="003A3374">
        <w:lastRenderedPageBreak/>
        <w:t xml:space="preserve">the levy fell as a proportion of the retail price of the soft drink. Beyond 2030, the SDIL rates will increase every year in line with the Consumer Price Index (CPI). </w:t>
      </w:r>
    </w:p>
    <w:p w14:paraId="15080DDE" w14:textId="7A2B3F51" w:rsidR="00436D9D" w:rsidRPr="003A3374" w:rsidRDefault="00436D9D" w:rsidP="00642CFB">
      <w:pPr>
        <w:pStyle w:val="BodyText"/>
      </w:pPr>
      <w:r w:rsidRPr="003A3374">
        <w:t>We assume that CCGB will fully pass on the levy increase</w:t>
      </w:r>
      <w:r w:rsidR="006F68D9" w:rsidRPr="003A3374">
        <w:t xml:space="preserve"> each year</w:t>
      </w:r>
      <w:r w:rsidRPr="003A3374">
        <w:t xml:space="preserve">, meaning that price/mix will receive a boost in 2025-30 (and beyond, </w:t>
      </w:r>
      <w:r w:rsidR="00E71211" w:rsidRPr="003A3374">
        <w:t>albeit</w:t>
      </w:r>
      <w:r w:rsidRPr="003A3374">
        <w:t xml:space="preserve"> at a lower amount)</w:t>
      </w:r>
      <w:r w:rsidR="00C26617" w:rsidRPr="003A3374">
        <w:t>. T</w:t>
      </w:r>
      <w:r w:rsidRPr="003A3374">
        <w:t xml:space="preserve">here will </w:t>
      </w:r>
      <w:r w:rsidR="00C26617" w:rsidRPr="003A3374">
        <w:t xml:space="preserve">also </w:t>
      </w:r>
      <w:r w:rsidRPr="003A3374">
        <w:t xml:space="preserve">be </w:t>
      </w:r>
      <w:r w:rsidR="00B3102A" w:rsidRPr="003A3374">
        <w:t xml:space="preserve">gradual ongoing </w:t>
      </w:r>
      <w:r w:rsidRPr="003A3374">
        <w:t>margin pressure</w:t>
      </w:r>
      <w:r w:rsidR="00C26617" w:rsidRPr="003A3374">
        <w:t xml:space="preserve"> as the levy </w:t>
      </w:r>
      <w:r w:rsidR="008C185C" w:rsidRPr="003A3374">
        <w:t xml:space="preserve">raises CCGB’s </w:t>
      </w:r>
      <w:r w:rsidR="00EF0EFD" w:rsidRPr="003A3374">
        <w:t>revenue,</w:t>
      </w:r>
      <w:r w:rsidR="008C185C" w:rsidRPr="003A3374">
        <w:t xml:space="preserve"> but</w:t>
      </w:r>
      <w:r w:rsidR="003510B4" w:rsidRPr="003A3374">
        <w:t xml:space="preserve"> it</w:t>
      </w:r>
      <w:r w:rsidR="008C185C" w:rsidRPr="003A3374">
        <w:t xml:space="preserve"> does not impact the gross profit (as it is passed on to the UK government).</w:t>
      </w:r>
    </w:p>
    <w:p w14:paraId="73F62015" w14:textId="1810AB72" w:rsidR="0048792E" w:rsidRPr="003A3374" w:rsidRDefault="0013384C" w:rsidP="00642CFB">
      <w:pPr>
        <w:pStyle w:val="BodyText"/>
      </w:pPr>
      <w:r w:rsidRPr="003A3374">
        <w:t>As it stands the</w:t>
      </w:r>
      <w:r w:rsidR="008A3F34" w:rsidRPr="003A3374">
        <w:t xml:space="preserve"> </w:t>
      </w:r>
      <w:r w:rsidRPr="003A3374">
        <w:t xml:space="preserve">levy would not </w:t>
      </w:r>
      <w:r w:rsidR="00EF0EFD" w:rsidRPr="003A3374">
        <w:t>affect</w:t>
      </w:r>
      <w:r w:rsidRPr="003A3374">
        <w:t xml:space="preserve"> the majority of CCGB’s portfolio – in 2024, 68% of volumes were from low- or no-calorie products</w:t>
      </w:r>
      <w:r w:rsidR="00EF0EFD" w:rsidRPr="003A3374">
        <w:t xml:space="preserve"> (</w:t>
      </w:r>
      <w:r w:rsidR="00EA099A" w:rsidRPr="003A3374">
        <w:t>Fig </w:t>
      </w:r>
      <w:r w:rsidR="00EA099A" w:rsidRPr="003A3374">
        <w:fldChar w:fldCharType="begin"/>
      </w:r>
      <w:r w:rsidR="00EA099A" w:rsidRPr="003A3374">
        <w:instrText xml:space="preserve"> REF LINK_029288 \h </w:instrText>
      </w:r>
      <w:r w:rsidR="00EA099A" w:rsidRPr="003A3374">
        <w:fldChar w:fldCharType="separate"/>
      </w:r>
      <w:r w:rsidR="006A4635" w:rsidRPr="003A3374">
        <w:rPr>
          <w:noProof/>
        </w:rPr>
        <w:t>46</w:t>
      </w:r>
      <w:r w:rsidR="00EA099A" w:rsidRPr="003A3374">
        <w:fldChar w:fldCharType="end"/>
      </w:r>
      <w:r w:rsidR="00EF0EFD" w:rsidRPr="003A3374">
        <w:t>)</w:t>
      </w:r>
      <w:r w:rsidRPr="003A3374">
        <w:t>. But the UK government is proposing to lower the threshold at which the levy applies from 5g of sugar per 100ml to 4g of sugar per 100ml.</w:t>
      </w:r>
    </w:p>
    <w:p w14:paraId="56FD7235" w14:textId="3DE4BB4F" w:rsidR="00D15B18" w:rsidRPr="003A3374" w:rsidRDefault="0013384C" w:rsidP="00EC725E">
      <w:pPr>
        <w:pStyle w:val="BodyText"/>
      </w:pPr>
      <w:r w:rsidRPr="003A3374">
        <w:t xml:space="preserve">Clearly this would be more beneficial to government coffers than it would be to public health. </w:t>
      </w:r>
      <w:r w:rsidR="00467554" w:rsidRPr="003A3374">
        <w:t>Th</w:t>
      </w:r>
      <w:r w:rsidR="00D60552" w:rsidRPr="003A3374">
        <w:t>is</w:t>
      </w:r>
      <w:r w:rsidR="00467554" w:rsidRPr="003A3374">
        <w:t xml:space="preserve"> </w:t>
      </w:r>
      <w:r w:rsidR="00D60552" w:rsidRPr="003A3374">
        <w:t xml:space="preserve">proposed </w:t>
      </w:r>
      <w:r w:rsidR="00467554" w:rsidRPr="003A3374">
        <w:t>SDIL</w:t>
      </w:r>
      <w:r w:rsidR="008A3F34" w:rsidRPr="003A3374">
        <w:t xml:space="preserve"> </w:t>
      </w:r>
      <w:r w:rsidR="00D60552" w:rsidRPr="003A3374">
        <w:t xml:space="preserve">change </w:t>
      </w:r>
      <w:r w:rsidR="00467554" w:rsidRPr="003A3374">
        <w:t>could lead to more</w:t>
      </w:r>
      <w:r w:rsidR="008A3F34" w:rsidRPr="003A3374">
        <w:t xml:space="preserve"> reformulations</w:t>
      </w:r>
      <w:r w:rsidR="00EC725E" w:rsidRPr="003A3374">
        <w:t xml:space="preserve"> for CCGB</w:t>
      </w:r>
      <w:r w:rsidR="00FC148B" w:rsidRPr="003A3374">
        <w:t xml:space="preserve">, for example, </w:t>
      </w:r>
      <w:r w:rsidR="008A3F34" w:rsidRPr="003A3374">
        <w:t>Fanta in the UK has 4.5g of sugar per 100ml</w:t>
      </w:r>
      <w:r w:rsidR="00EC725E" w:rsidRPr="003A3374">
        <w:t xml:space="preserve"> and Oasis has 4.0g of sugar per 100ml, </w:t>
      </w:r>
      <w:r w:rsidR="008A3F34" w:rsidRPr="003A3374">
        <w:t>below the current threshold but above the proposed future threshold.</w:t>
      </w:r>
      <w:r w:rsidR="00467554" w:rsidRPr="003A3374">
        <w:t xml:space="preserve"> </w:t>
      </w:r>
      <w:r w:rsidR="00EC725E" w:rsidRPr="003A3374">
        <w:t>However, i</w:t>
      </w:r>
      <w:r w:rsidR="00467554" w:rsidRPr="003A3374">
        <w:t xml:space="preserve">t is not clear that </w:t>
      </w:r>
      <w:r w:rsidR="00EC725E" w:rsidRPr="003A3374">
        <w:t xml:space="preserve">further reformulations </w:t>
      </w:r>
      <w:r w:rsidR="00467554" w:rsidRPr="003A3374">
        <w:t>would be a permanent solution as the government could decide to lower the threshold again in future.</w:t>
      </w:r>
      <w:r w:rsidR="00EC725E" w:rsidRPr="003A3374">
        <w:t xml:space="preserve"> It is worth noting that regular Pepsi has 4.5g of sugar per 100ml </w:t>
      </w:r>
      <w:r w:rsidR="00F4445B" w:rsidRPr="003A3374">
        <w:t xml:space="preserve">in the UK </w:t>
      </w:r>
      <w:r w:rsidR="00EC725E" w:rsidRPr="003A3374">
        <w:t xml:space="preserve">and </w:t>
      </w:r>
      <w:r w:rsidR="009F4887" w:rsidRPr="003A3374">
        <w:t xml:space="preserve">it </w:t>
      </w:r>
      <w:r w:rsidR="00EC725E" w:rsidRPr="003A3374">
        <w:t>could require</w:t>
      </w:r>
      <w:r w:rsidR="00691634" w:rsidRPr="003A3374">
        <w:t xml:space="preserve"> a</w:t>
      </w:r>
      <w:r w:rsidR="00EC725E" w:rsidRPr="003A3374">
        <w:t xml:space="preserve"> further reformulation, although as shown earlier in Fig </w:t>
      </w:r>
      <w:r w:rsidR="00EC725E" w:rsidRPr="003A3374">
        <w:fldChar w:fldCharType="begin"/>
      </w:r>
      <w:r w:rsidR="00EC725E" w:rsidRPr="003A3374">
        <w:instrText xml:space="preserve"> REF LINK_007218 \h </w:instrText>
      </w:r>
      <w:r w:rsidR="00EC725E" w:rsidRPr="003A3374">
        <w:fldChar w:fldCharType="separate"/>
      </w:r>
      <w:r w:rsidR="006A4635" w:rsidRPr="003A3374">
        <w:rPr>
          <w:noProof/>
        </w:rPr>
        <w:t>38</w:t>
      </w:r>
      <w:r w:rsidR="00EC725E" w:rsidRPr="003A3374">
        <w:fldChar w:fldCharType="end"/>
      </w:r>
      <w:r w:rsidR="00EC725E" w:rsidRPr="003A3374">
        <w:t xml:space="preserve"> Carlsberg-Britvic is focused on sugar-free Pepsi Max.</w:t>
      </w:r>
    </w:p>
    <w:p w14:paraId="165C062B" w14:textId="371E3206" w:rsidR="0013384C" w:rsidRPr="003A3374" w:rsidRDefault="006B11FD" w:rsidP="00642CFB">
      <w:pPr>
        <w:pStyle w:val="BodyText"/>
      </w:pPr>
      <w:r w:rsidRPr="003A3374">
        <w:t>The</w:t>
      </w:r>
      <w:r w:rsidR="007231EA" w:rsidRPr="003A3374">
        <w:t xml:space="preserve"> main</w:t>
      </w:r>
      <w:r w:rsidRPr="003A3374">
        <w:t xml:space="preserve"> </w:t>
      </w:r>
      <w:r w:rsidR="000315C0" w:rsidRPr="003A3374">
        <w:t>issue</w:t>
      </w:r>
      <w:r w:rsidRPr="003A3374">
        <w:t xml:space="preserve"> </w:t>
      </w:r>
      <w:r w:rsidR="00E2405D" w:rsidRPr="003A3374">
        <w:t xml:space="preserve">that </w:t>
      </w:r>
      <w:r w:rsidR="007231EA" w:rsidRPr="003A3374">
        <w:t xml:space="preserve">we see </w:t>
      </w:r>
      <w:r w:rsidRPr="003A3374">
        <w:t>for CCGB is</w:t>
      </w:r>
      <w:r w:rsidR="00EF5B78" w:rsidRPr="003A3374">
        <w:t xml:space="preserve"> that</w:t>
      </w:r>
      <w:r w:rsidRPr="003A3374">
        <w:t xml:space="preserve"> if the</w:t>
      </w:r>
      <w:r w:rsidR="007231EA" w:rsidRPr="003A3374">
        <w:t xml:space="preserve"> UK</w:t>
      </w:r>
      <w:r w:rsidRPr="003A3374">
        <w:t xml:space="preserve"> government is looking for additional tax revenue then </w:t>
      </w:r>
      <w:r w:rsidR="004C3550" w:rsidRPr="003A3374">
        <w:t>soft drinks</w:t>
      </w:r>
      <w:r w:rsidR="007E5695" w:rsidRPr="003A3374">
        <w:t xml:space="preserve"> (an sin taxes in general)</w:t>
      </w:r>
      <w:r w:rsidR="004C3550" w:rsidRPr="003A3374">
        <w:t xml:space="preserve"> </w:t>
      </w:r>
      <w:r w:rsidR="007231EA" w:rsidRPr="003A3374">
        <w:t>is</w:t>
      </w:r>
      <w:r w:rsidR="004C3550" w:rsidRPr="003A3374">
        <w:t xml:space="preserve"> an easy target and </w:t>
      </w:r>
      <w:r w:rsidRPr="003A3374">
        <w:t>we could see further changes, such as a tax on non-nutritive sweeteners</w:t>
      </w:r>
      <w:r w:rsidR="007231EA" w:rsidRPr="003A3374">
        <w:t>, or energy drinks</w:t>
      </w:r>
      <w:r w:rsidRPr="003A3374">
        <w:t>.</w:t>
      </w:r>
      <w:r w:rsidR="007231EA" w:rsidRPr="003A3374">
        <w:t xml:space="preserve"> As discussed in our recent report ‘</w:t>
      </w:r>
      <w:hyperlink r:id="rId74" w:history="1">
        <w:r w:rsidR="007231EA" w:rsidRPr="003A3374">
          <w:rPr>
            <w:rStyle w:val="Hyperlink"/>
          </w:rPr>
          <w:t>Resilience in Taxing Times</w:t>
        </w:r>
      </w:hyperlink>
      <w:r w:rsidR="007231EA" w:rsidRPr="003A3374">
        <w:t xml:space="preserve">’ (28 October 2025) this is a theme across the global soft drinks </w:t>
      </w:r>
      <w:r w:rsidR="007E5695" w:rsidRPr="003A3374">
        <w:t>landscape</w:t>
      </w:r>
      <w:r w:rsidR="002D316B" w:rsidRPr="003A3374">
        <w:t xml:space="preserve"> and</w:t>
      </w:r>
      <w:r w:rsidR="007E5695" w:rsidRPr="003A3374">
        <w:t>, positively,</w:t>
      </w:r>
      <w:r w:rsidR="002D316B" w:rsidRPr="003A3374">
        <w:t xml:space="preserve"> CCEP</w:t>
      </w:r>
      <w:r w:rsidR="007E5695" w:rsidRPr="003A3374">
        <w:t xml:space="preserve"> already</w:t>
      </w:r>
      <w:r w:rsidR="002D316B" w:rsidRPr="003A3374">
        <w:t xml:space="preserve"> has plenty of experience successfully navigating sugar taxes</w:t>
      </w:r>
      <w:r w:rsidR="007E5695" w:rsidRPr="003A3374">
        <w:t xml:space="preserve"> and it operates in territories with higher-income consumers that are better able to weather the tax-induced price rise</w:t>
      </w:r>
      <w:r w:rsidR="007231EA" w:rsidRPr="003A3374">
        <w:t>.</w:t>
      </w:r>
    </w:p>
    <w:p w14:paraId="1B72A277" w14:textId="6282DE18" w:rsidR="004E1075" w:rsidRPr="003A3374" w:rsidRDefault="004E1075" w:rsidP="00747CB8">
      <w:pPr>
        <w:pStyle w:val="Heading20"/>
      </w:pPr>
      <w:bookmarkStart w:id="90" w:name="_Toc214545141"/>
      <w:r w:rsidRPr="003A3374">
        <w:t xml:space="preserve">Disaster </w:t>
      </w:r>
      <w:r w:rsidR="00692533" w:rsidRPr="003A3374">
        <w:t>Rocks</w:t>
      </w:r>
      <w:r w:rsidRPr="003A3374">
        <w:t xml:space="preserve"> Soft drinks</w:t>
      </w:r>
      <w:bookmarkEnd w:id="90"/>
    </w:p>
    <w:p w14:paraId="3F45F749" w14:textId="1AACA8C1" w:rsidR="00331852" w:rsidRPr="003A3374" w:rsidRDefault="00331852" w:rsidP="00331852">
      <w:pPr>
        <w:pStyle w:val="BodyText"/>
      </w:pPr>
      <w:r w:rsidRPr="003A3374">
        <w:t xml:space="preserve">To put it nicely, the UK’s </w:t>
      </w:r>
      <w:r w:rsidR="001B32ED" w:rsidRPr="003A3374">
        <w:t>D</w:t>
      </w:r>
      <w:r w:rsidR="00FE7B91" w:rsidRPr="003A3374">
        <w:t xml:space="preserve">eposit </w:t>
      </w:r>
      <w:r w:rsidR="001B32ED" w:rsidRPr="003A3374">
        <w:t>R</w:t>
      </w:r>
      <w:r w:rsidR="00FE7B91" w:rsidRPr="003A3374">
        <w:t xml:space="preserve">eturn </w:t>
      </w:r>
      <w:r w:rsidR="001B32ED" w:rsidRPr="003A3374">
        <w:t>S</w:t>
      </w:r>
      <w:r w:rsidR="00FE7B91" w:rsidRPr="003A3374">
        <w:t>cheme (</w:t>
      </w:r>
      <w:r w:rsidRPr="003A3374">
        <w:t>DRS</w:t>
      </w:r>
      <w:r w:rsidR="00FE7B91" w:rsidRPr="003A3374">
        <w:t>)</w:t>
      </w:r>
      <w:r w:rsidRPr="003A3374">
        <w:t xml:space="preserve"> has </w:t>
      </w:r>
      <w:r w:rsidR="00FE7B91" w:rsidRPr="003A3374">
        <w:t xml:space="preserve">so far </w:t>
      </w:r>
      <w:r w:rsidRPr="003A3374">
        <w:t xml:space="preserve">been </w:t>
      </w:r>
      <w:r w:rsidR="00EB6AED" w:rsidRPr="003A3374">
        <w:t>chaotic</w:t>
      </w:r>
      <w:r w:rsidRPr="003A3374">
        <w:t xml:space="preserve">. The UK government initially proposed a DRS back in 2018. But there was not a joined-up approach between England, Scotland, Wales and Northern Ireland, </w:t>
      </w:r>
      <w:r w:rsidR="000D4613" w:rsidRPr="003A3374">
        <w:t>and</w:t>
      </w:r>
      <w:r w:rsidRPr="003A3374">
        <w:t xml:space="preserve"> each had their own timelines, policy design and legal frameworks. This would have created a nightmare for the soft drinks manufacturers. </w:t>
      </w:r>
    </w:p>
    <w:p w14:paraId="7A2C802F" w14:textId="02F43BC0" w:rsidR="00331852" w:rsidRPr="003A3374" w:rsidRDefault="00331852" w:rsidP="00331852">
      <w:pPr>
        <w:pStyle w:val="BodyText"/>
      </w:pPr>
      <w:r w:rsidRPr="003A3374">
        <w:t>For example, the Scotland DRS was initially due to launch in September 2022; nearly a year before the England DRS was supposed to begin in August 2023. The large manufacturers like CCGB, Britvic and AG Barr all operate supply chains that span across England and Scotland and would have had to design Scotland-specific packaging for a lone year. Meanwhile, Scottish consumers could travel across the border to England, buy cheaper bottles of their favourite soft drink, and then return them to reverse vending machines</w:t>
      </w:r>
      <w:r w:rsidR="003826FB" w:rsidRPr="003A3374">
        <w:t xml:space="preserve"> in Scotland </w:t>
      </w:r>
      <w:r w:rsidRPr="003A3374">
        <w:t xml:space="preserve">to receive a deposit rebate. </w:t>
      </w:r>
    </w:p>
    <w:p w14:paraId="183E9505" w14:textId="32AB9483" w:rsidR="00331852" w:rsidRPr="003A3374" w:rsidRDefault="00331852" w:rsidP="00331852">
      <w:pPr>
        <w:pStyle w:val="BodyText"/>
      </w:pPr>
      <w:r w:rsidRPr="003A3374">
        <w:t xml:space="preserve">There was also uncertainty around the mechanics of the DRS scheme, with the UK government initially proposing to charge VAT on unredeemed deposits. </w:t>
      </w:r>
      <w:r w:rsidR="00DF21B0" w:rsidRPr="003A3374">
        <w:t xml:space="preserve">In the </w:t>
      </w:r>
      <w:r w:rsidR="00DF21B0" w:rsidRPr="003A3374">
        <w:lastRenderedPageBreak/>
        <w:t>grand scheme t</w:t>
      </w:r>
      <w:r w:rsidRPr="003A3374">
        <w:t>his would have</w:t>
      </w:r>
      <w:r w:rsidR="000F551C" w:rsidRPr="003A3374">
        <w:t xml:space="preserve"> raised a</w:t>
      </w:r>
      <w:r w:rsidR="00F813AA" w:rsidRPr="003A3374">
        <w:t>n immaterial</w:t>
      </w:r>
      <w:r w:rsidR="000F551C" w:rsidRPr="003A3374">
        <w:t xml:space="preserve"> amount of tax revenue</w:t>
      </w:r>
      <w:r w:rsidR="00DF21B0" w:rsidRPr="003A3374">
        <w:t>,</w:t>
      </w:r>
      <w:r w:rsidR="000F551C" w:rsidRPr="003A3374">
        <w:t xml:space="preserve"> but</w:t>
      </w:r>
      <w:r w:rsidR="00DF21B0" w:rsidRPr="003A3374">
        <w:t xml:space="preserve"> it would have</w:t>
      </w:r>
      <w:r w:rsidRPr="003A3374">
        <w:t xml:space="preserve"> imposed a higher fee for consumers and created an accounting and packaging-tracking nightmare for the </w:t>
      </w:r>
      <w:r w:rsidR="00DF21B0" w:rsidRPr="003A3374">
        <w:t xml:space="preserve">soft drinks </w:t>
      </w:r>
      <w:r w:rsidRPr="003A3374">
        <w:t>manufacturers.</w:t>
      </w:r>
    </w:p>
    <w:p w14:paraId="217956A3" w14:textId="1F342869" w:rsidR="00D44ADC" w:rsidRPr="003A3374" w:rsidRDefault="00331852" w:rsidP="0079263D">
      <w:pPr>
        <w:pStyle w:val="BodyText"/>
      </w:pPr>
      <w:r w:rsidRPr="003A3374">
        <w:t xml:space="preserve">As it stands, a UK-wide DRS </w:t>
      </w:r>
      <w:r w:rsidR="008F29AE" w:rsidRPr="003A3374">
        <w:t>is due to be implemented on 1 October 2027. The deposit amount has not been confirmed</w:t>
      </w:r>
      <w:r w:rsidR="0079263D" w:rsidRPr="003A3374">
        <w:t xml:space="preserve"> yet by the scheme administrator – the Deposit Management Organisation (DMO) – but</w:t>
      </w:r>
      <w:r w:rsidR="008F29AE" w:rsidRPr="003A3374">
        <w:t xml:space="preserve"> </w:t>
      </w:r>
      <w:r w:rsidR="0079263D" w:rsidRPr="003A3374">
        <w:t>we expect it will</w:t>
      </w:r>
      <w:r w:rsidR="008F29AE" w:rsidRPr="003A3374">
        <w:t xml:space="preserve"> be around </w:t>
      </w:r>
      <w:r w:rsidRPr="003A3374">
        <w:t>20p per single-use container</w:t>
      </w:r>
      <w:r w:rsidR="00F813AA" w:rsidRPr="003A3374">
        <w:t>, in line with other European countries that operate DRSs</w:t>
      </w:r>
      <w:r w:rsidRPr="003A3374">
        <w:t xml:space="preserve">. Glass bottles are </w:t>
      </w:r>
      <w:r w:rsidR="008C6730" w:rsidRPr="003A3374">
        <w:t xml:space="preserve">currently </w:t>
      </w:r>
      <w:r w:rsidRPr="003A3374">
        <w:t>excluded from the</w:t>
      </w:r>
      <w:r w:rsidR="008C6730" w:rsidRPr="003A3374">
        <w:t xml:space="preserve"> UK</w:t>
      </w:r>
      <w:r w:rsidRPr="003A3374">
        <w:t xml:space="preserve"> DRS, but PET, aluminium and steel containers are </w:t>
      </w:r>
      <w:r w:rsidR="00095AFC" w:rsidRPr="003A3374">
        <w:t xml:space="preserve">all </w:t>
      </w:r>
      <w:r w:rsidRPr="003A3374">
        <w:t>covered. The</w:t>
      </w:r>
      <w:r w:rsidR="008C6730" w:rsidRPr="003A3374">
        <w:t xml:space="preserve"> UK</w:t>
      </w:r>
      <w:r w:rsidRPr="003A3374">
        <w:t xml:space="preserve"> DRS covers any </w:t>
      </w:r>
      <w:r w:rsidR="008C6730" w:rsidRPr="003A3374">
        <w:t xml:space="preserve">single-use </w:t>
      </w:r>
      <w:r w:rsidRPr="003A3374">
        <w:t>vessel between 150ml to 3-litres</w:t>
      </w:r>
      <w:r w:rsidR="008C6730" w:rsidRPr="003A3374">
        <w:t xml:space="preserve">, regardless of whether they are sold individually or as part of a </w:t>
      </w:r>
      <w:r w:rsidRPr="003A3374">
        <w:t xml:space="preserve">multipack. </w:t>
      </w:r>
    </w:p>
    <w:p w14:paraId="02B32C21" w14:textId="6AEAA2F7" w:rsidR="00D44ADC" w:rsidRPr="003A3374" w:rsidRDefault="00D44ADC" w:rsidP="0079263D">
      <w:pPr>
        <w:pStyle w:val="BodyText"/>
      </w:pPr>
      <w:r w:rsidRPr="003A3374">
        <w:t>The soft drinks manufacturer</w:t>
      </w:r>
      <w:r w:rsidR="0098767F" w:rsidRPr="003A3374">
        <w:t>s</w:t>
      </w:r>
      <w:r w:rsidRPr="003A3374">
        <w:t xml:space="preserve"> will also be required to pay an ongoing producer fee, which once again has yet to be confirmed by the DMO. This fee will help </w:t>
      </w:r>
      <w:r w:rsidR="00CA1513" w:rsidRPr="003A3374">
        <w:t xml:space="preserve">to </w:t>
      </w:r>
      <w:r w:rsidRPr="003A3374">
        <w:t xml:space="preserve">fund the rollout of reverse-vending machine infrastructure, as well as the ongoing costs to run the DRS. Analysis from DEFRA suggests the producer fee could </w:t>
      </w:r>
      <w:r w:rsidR="006852DA" w:rsidRPr="003A3374">
        <w:t>amount to</w:t>
      </w:r>
      <w:r w:rsidRPr="003A3374">
        <w:t xml:space="preserve"> 4p per container in year one, falling to 3p per unit thereafter</w:t>
      </w:r>
      <w:r w:rsidR="002561F0" w:rsidRPr="003A3374">
        <w:t xml:space="preserve"> once the initial investment for the required infrastructure is completed</w:t>
      </w:r>
      <w:r w:rsidRPr="003A3374">
        <w:rPr>
          <w:rStyle w:val="FootnoteReference"/>
        </w:rPr>
        <w:footnoteReference w:id="6"/>
      </w:r>
      <w:r w:rsidRPr="003A3374">
        <w:t xml:space="preserve">. </w:t>
      </w:r>
      <w:r w:rsidR="00DC2714" w:rsidRPr="003A3374">
        <w:t>Note</w:t>
      </w:r>
      <w:r w:rsidR="002561F0" w:rsidRPr="003A3374">
        <w:t>,</w:t>
      </w:r>
      <w:r w:rsidR="00DC2714" w:rsidRPr="003A3374">
        <w:t xml:space="preserve"> this fee does</w:t>
      </w:r>
      <w:r w:rsidR="002532DA" w:rsidRPr="003A3374">
        <w:t xml:space="preserve"> not</w:t>
      </w:r>
      <w:r w:rsidR="00DC2714" w:rsidRPr="003A3374">
        <w:t xml:space="preserve"> raise the price of the beverage (unless the soft drinks manufacturer</w:t>
      </w:r>
      <w:r w:rsidR="002561F0" w:rsidRPr="003A3374">
        <w:t>s</w:t>
      </w:r>
      <w:r w:rsidR="00DC2714" w:rsidRPr="003A3374">
        <w:t xml:space="preserve"> decide to pass it on to consumers)</w:t>
      </w:r>
      <w:r w:rsidR="00075AA9" w:rsidRPr="003A3374">
        <w:t xml:space="preserve"> and instead</w:t>
      </w:r>
      <w:r w:rsidR="002532DA" w:rsidRPr="003A3374">
        <w:t xml:space="preserve"> it</w:t>
      </w:r>
      <w:r w:rsidR="00075AA9" w:rsidRPr="003A3374">
        <w:t xml:space="preserve"> increases the manufacturer’s COGS</w:t>
      </w:r>
      <w:r w:rsidR="00DC2714" w:rsidRPr="003A3374">
        <w:t>.</w:t>
      </w:r>
    </w:p>
    <w:p w14:paraId="022D019F" w14:textId="012E26F8" w:rsidR="00BC61ED" w:rsidRPr="003A3374" w:rsidRDefault="00BC61ED" w:rsidP="00747CB8">
      <w:pPr>
        <w:pStyle w:val="Heading20"/>
      </w:pPr>
      <w:bookmarkStart w:id="91" w:name="_Toc214545142"/>
      <w:r w:rsidRPr="003A3374">
        <w:t>What does the DRS mean for CCGB?</w:t>
      </w:r>
      <w:bookmarkEnd w:id="91"/>
    </w:p>
    <w:p w14:paraId="490E7901" w14:textId="149EE340" w:rsidR="00EE39D5" w:rsidRPr="003A3374" w:rsidRDefault="00370476" w:rsidP="005031C5">
      <w:pPr>
        <w:pStyle w:val="BodyText"/>
      </w:pPr>
      <w:r w:rsidRPr="003A3374">
        <w:t>Using the company’s disclosure, o</w:t>
      </w:r>
      <w:r w:rsidR="00331852" w:rsidRPr="003A3374">
        <w:t>ur interpretation is that the DRS cover</w:t>
      </w:r>
      <w:r w:rsidR="00940EDB" w:rsidRPr="003A3374">
        <w:t>s</w:t>
      </w:r>
      <w:r w:rsidR="00331852" w:rsidRPr="003A3374">
        <w:t xml:space="preserve"> c85% of CCGB’s volumes</w:t>
      </w:r>
      <w:r w:rsidRPr="003A3374">
        <w:t xml:space="preserve"> (Fig </w:t>
      </w:r>
      <w:r w:rsidRPr="003A3374">
        <w:fldChar w:fldCharType="begin"/>
      </w:r>
      <w:r w:rsidRPr="003A3374">
        <w:instrText xml:space="preserve"> REF LINK_074606 \h </w:instrText>
      </w:r>
      <w:r w:rsidRPr="003A3374">
        <w:fldChar w:fldCharType="separate"/>
      </w:r>
      <w:r w:rsidR="006A4635" w:rsidRPr="003A3374">
        <w:rPr>
          <w:noProof/>
        </w:rPr>
        <w:t>47</w:t>
      </w:r>
      <w:r w:rsidRPr="003A3374">
        <w:fldChar w:fldCharType="end"/>
      </w:r>
      <w:r w:rsidRPr="003A3374">
        <w:t>).</w:t>
      </w:r>
      <w:r w:rsidR="00331852" w:rsidRPr="003A3374">
        <w:t xml:space="preserve"> </w:t>
      </w:r>
      <w:r w:rsidRPr="003A3374">
        <w:t xml:space="preserve">It is worth noting that Great Britain is an outlier in CCEP’s markets in terms of the proportion of volumes sold in aluminium cans. </w:t>
      </w:r>
    </w:p>
    <w:p w14:paraId="3557E9F7" w14:textId="0D413E2D" w:rsidR="00BC61ED" w:rsidRPr="003A3374" w:rsidRDefault="00370476" w:rsidP="005031C5">
      <w:pPr>
        <w:pStyle w:val="BodyText"/>
      </w:pPr>
      <w:r w:rsidRPr="003A3374">
        <w:t>The majority of these cans are in multipack</w:t>
      </w:r>
      <w:r w:rsidR="00EE39D5" w:rsidRPr="003A3374">
        <w:t xml:space="preserve">s </w:t>
      </w:r>
      <w:r w:rsidRPr="003A3374">
        <w:t>and</w:t>
      </w:r>
      <w:r w:rsidR="005031C5" w:rsidRPr="003A3374">
        <w:t xml:space="preserve"> the</w:t>
      </w:r>
      <w:r w:rsidRPr="003A3374">
        <w:t xml:space="preserve"> </w:t>
      </w:r>
      <w:r w:rsidR="005031C5" w:rsidRPr="003A3374">
        <w:t>UK DRS</w:t>
      </w:r>
      <w:r w:rsidRPr="003A3374">
        <w:t xml:space="preserve"> </w:t>
      </w:r>
      <w:r w:rsidR="00491758" w:rsidRPr="003A3374">
        <w:t xml:space="preserve">looks as if it </w:t>
      </w:r>
      <w:r w:rsidRPr="003A3374">
        <w:t>will cover each individual can within a multipack: the draft wording states it will cover “single-use drinks containers”.</w:t>
      </w:r>
      <w:r w:rsidR="005031C5" w:rsidRPr="003A3374">
        <w:t xml:space="preserve"> </w:t>
      </w:r>
      <w:r w:rsidR="00E10463" w:rsidRPr="003A3374">
        <w:t>The issue is</w:t>
      </w:r>
      <w:r w:rsidRPr="003A3374">
        <w:t xml:space="preserve"> </w:t>
      </w:r>
      <w:r w:rsidR="00A81D9D" w:rsidRPr="003A3374">
        <w:t xml:space="preserve">that </w:t>
      </w:r>
      <w:r w:rsidR="00E10463" w:rsidRPr="003A3374">
        <w:t>a</w:t>
      </w:r>
      <w:r w:rsidRPr="003A3374">
        <w:t xml:space="preserve">n 8x 330ml can format effectively contains eight single-use containers, even though it is a multi-serve </w:t>
      </w:r>
      <w:r w:rsidR="00E10463" w:rsidRPr="003A3374">
        <w:t>format</w:t>
      </w:r>
      <w:r w:rsidRPr="003A3374">
        <w:t>.</w:t>
      </w:r>
    </w:p>
    <w:tbl>
      <w:tblPr>
        <w:tblStyle w:val="TableGrid"/>
        <w:tblW w:w="9637" w:type="dxa"/>
        <w:tblLayout w:type="fixed"/>
        <w:tblCellMar>
          <w:left w:w="0" w:type="dxa"/>
          <w:right w:w="0" w:type="dxa"/>
        </w:tblCellMar>
        <w:tblLook w:val="04A0" w:firstRow="1" w:lastRow="0" w:firstColumn="1" w:lastColumn="0" w:noHBand="0" w:noVBand="1"/>
      </w:tblPr>
      <w:tblGrid>
        <w:gridCol w:w="4705"/>
        <w:gridCol w:w="227"/>
        <w:gridCol w:w="4705"/>
      </w:tblGrid>
      <w:tr w:rsidR="00801427" w:rsidRPr="003A3374" w14:paraId="00286124" w14:textId="77777777" w:rsidTr="00BE394B">
        <w:trPr>
          <w:cantSplit/>
          <w:tblHeader/>
        </w:trPr>
        <w:tc>
          <w:tcPr>
            <w:tcW w:w="4705" w:type="dxa"/>
            <w:tcBorders>
              <w:bottom w:val="single" w:sz="8" w:space="0" w:color="000000" w:themeColor="text1"/>
            </w:tcBorders>
            <w:vAlign w:val="bottom"/>
          </w:tcPr>
          <w:p w14:paraId="7D798F64" w14:textId="22073C75" w:rsidR="00801427" w:rsidRPr="003A3374" w:rsidRDefault="00801427" w:rsidP="00195660">
            <w:pPr>
              <w:pStyle w:val="TableTitle"/>
            </w:pPr>
            <w:bookmarkStart w:id="92" w:name="PH_2_8_1_061037"/>
            <w:r w:rsidRPr="003A3374">
              <w:t xml:space="preserve">Fig </w:t>
            </w:r>
            <w:bookmarkStart w:id="93" w:name="LINK_029288"/>
            <w:r w:rsidRPr="003A3374">
              <w:fldChar w:fldCharType="begin"/>
            </w:r>
            <w:r w:rsidRPr="003A3374">
              <w:instrText xml:space="preserve"> SEQ Fig </w:instrText>
            </w:r>
            <w:r w:rsidRPr="003A3374">
              <w:fldChar w:fldCharType="separate"/>
            </w:r>
            <w:r w:rsidR="006A4635" w:rsidRPr="003A3374">
              <w:rPr>
                <w:noProof/>
              </w:rPr>
              <w:t>46</w:t>
            </w:r>
            <w:r w:rsidRPr="003A3374">
              <w:fldChar w:fldCharType="end"/>
            </w:r>
            <w:bookmarkEnd w:id="93"/>
            <w:r w:rsidRPr="003A3374">
              <w:t xml:space="preserve">: </w:t>
            </w:r>
            <w:r w:rsidR="00346641" w:rsidRPr="003A3374">
              <w:t>Shifting away from sugar</w:t>
            </w:r>
          </w:p>
        </w:tc>
        <w:tc>
          <w:tcPr>
            <w:tcW w:w="227" w:type="dxa"/>
            <w:vAlign w:val="bottom"/>
          </w:tcPr>
          <w:p w14:paraId="3B7EF740" w14:textId="77777777" w:rsidR="00801427" w:rsidRPr="003A3374" w:rsidRDefault="00801427" w:rsidP="00195660">
            <w:pPr>
              <w:pStyle w:val="Normal0"/>
            </w:pPr>
          </w:p>
        </w:tc>
        <w:tc>
          <w:tcPr>
            <w:tcW w:w="4705" w:type="dxa"/>
            <w:tcBorders>
              <w:bottom w:val="single" w:sz="8" w:space="0" w:color="000000" w:themeColor="text1"/>
            </w:tcBorders>
            <w:vAlign w:val="bottom"/>
          </w:tcPr>
          <w:p w14:paraId="10E018E9" w14:textId="15C5E680" w:rsidR="00801427" w:rsidRPr="003A3374" w:rsidRDefault="00195660" w:rsidP="00195660">
            <w:pPr>
              <w:pStyle w:val="TableTitle"/>
            </w:pPr>
            <w:r w:rsidRPr="003A3374">
              <w:t xml:space="preserve">Fig </w:t>
            </w:r>
            <w:bookmarkStart w:id="94" w:name="LINK_074606"/>
            <w:r w:rsidRPr="003A3374">
              <w:fldChar w:fldCharType="begin"/>
            </w:r>
            <w:r w:rsidRPr="003A3374">
              <w:instrText xml:space="preserve"> SEQ Fig </w:instrText>
            </w:r>
            <w:r w:rsidRPr="003A3374">
              <w:fldChar w:fldCharType="separate"/>
            </w:r>
            <w:r w:rsidR="006A4635" w:rsidRPr="003A3374">
              <w:rPr>
                <w:noProof/>
              </w:rPr>
              <w:t>47</w:t>
            </w:r>
            <w:r w:rsidRPr="003A3374">
              <w:fldChar w:fldCharType="end"/>
            </w:r>
            <w:bookmarkEnd w:id="94"/>
            <w:r w:rsidRPr="003A3374">
              <w:t xml:space="preserve">: </w:t>
            </w:r>
            <w:r w:rsidR="00346641" w:rsidRPr="003A3374">
              <w:t>Brit</w:t>
            </w:r>
            <w:r w:rsidR="00C15196" w:rsidRPr="003A3374">
              <w:t>s</w:t>
            </w:r>
            <w:r w:rsidR="00346641" w:rsidRPr="003A3374">
              <w:t xml:space="preserve"> love cans</w:t>
            </w:r>
          </w:p>
        </w:tc>
      </w:tr>
      <w:tr w:rsidR="00801427" w:rsidRPr="003A3374" w14:paraId="07CCA97F" w14:textId="77777777" w:rsidTr="00BE394B">
        <w:trPr>
          <w:cantSplit/>
        </w:trPr>
        <w:tc>
          <w:tcPr>
            <w:tcW w:w="4705" w:type="dxa"/>
            <w:tcBorders>
              <w:top w:val="single" w:sz="8" w:space="0" w:color="000000" w:themeColor="text1"/>
              <w:bottom w:val="single" w:sz="8" w:space="0" w:color="000000" w:themeColor="text1"/>
            </w:tcBorders>
          </w:tcPr>
          <w:p w14:paraId="282341ED" w14:textId="1B2E95F9" w:rsidR="00801427" w:rsidRPr="003A3374" w:rsidRDefault="00801427" w:rsidP="00195660">
            <w:pPr>
              <w:pStyle w:val="Tableplaceholder"/>
            </w:pPr>
            <w:r w:rsidRPr="003A3374">
              <w:rPr>
                <w:noProof/>
              </w:rPr>
              <w:drawing>
                <wp:inline distT="0" distB="0" distL="0" distR="0" wp14:anchorId="6F812196" wp14:editId="1789C3F0">
                  <wp:extent cx="2988310" cy="1797050"/>
                  <wp:effectExtent l="0" t="0" r="2540" b="0"/>
                  <wp:docPr id="288582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988310" cy="1797050"/>
                          </a:xfrm>
                          <a:prstGeom prst="rect">
                            <a:avLst/>
                          </a:prstGeom>
                          <a:noFill/>
                          <a:ln>
                            <a:noFill/>
                          </a:ln>
                        </pic:spPr>
                      </pic:pic>
                    </a:graphicData>
                  </a:graphic>
                </wp:inline>
              </w:drawing>
            </w:r>
          </w:p>
        </w:tc>
        <w:tc>
          <w:tcPr>
            <w:tcW w:w="227" w:type="dxa"/>
          </w:tcPr>
          <w:p w14:paraId="6BA4DC24" w14:textId="77777777" w:rsidR="00801427" w:rsidRPr="003A3374" w:rsidRDefault="00801427" w:rsidP="00195660">
            <w:pPr>
              <w:pStyle w:val="Normal0"/>
            </w:pPr>
          </w:p>
        </w:tc>
        <w:tc>
          <w:tcPr>
            <w:tcW w:w="4705" w:type="dxa"/>
            <w:tcBorders>
              <w:top w:val="single" w:sz="8" w:space="0" w:color="000000" w:themeColor="text1"/>
              <w:bottom w:val="single" w:sz="8" w:space="0" w:color="000000" w:themeColor="text1"/>
            </w:tcBorders>
          </w:tcPr>
          <w:p w14:paraId="2E9E3E66" w14:textId="17B72961" w:rsidR="00801427" w:rsidRPr="003A3374" w:rsidRDefault="00EA5788" w:rsidP="00195660">
            <w:pPr>
              <w:pStyle w:val="Tableplaceholder"/>
            </w:pPr>
            <w:r w:rsidRPr="003A3374">
              <w:rPr>
                <w:noProof/>
              </w:rPr>
              <w:drawing>
                <wp:inline distT="0" distB="0" distL="0" distR="0" wp14:anchorId="37755C41" wp14:editId="67287FAE">
                  <wp:extent cx="2987675" cy="1796415"/>
                  <wp:effectExtent l="0" t="0" r="3175" b="0"/>
                  <wp:docPr id="154902150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987675" cy="1796415"/>
                          </a:xfrm>
                          <a:prstGeom prst="rect">
                            <a:avLst/>
                          </a:prstGeom>
                          <a:noFill/>
                          <a:ln>
                            <a:noFill/>
                          </a:ln>
                        </pic:spPr>
                      </pic:pic>
                    </a:graphicData>
                  </a:graphic>
                </wp:inline>
              </w:drawing>
            </w:r>
          </w:p>
        </w:tc>
      </w:tr>
      <w:tr w:rsidR="00801427" w:rsidRPr="003A3374" w14:paraId="12850F9C" w14:textId="77777777" w:rsidTr="00BE394B">
        <w:trPr>
          <w:cantSplit/>
        </w:trPr>
        <w:tc>
          <w:tcPr>
            <w:tcW w:w="4705" w:type="dxa"/>
            <w:tcBorders>
              <w:top w:val="single" w:sz="8" w:space="0" w:color="000000" w:themeColor="text1"/>
            </w:tcBorders>
          </w:tcPr>
          <w:p w14:paraId="518F29D4" w14:textId="5BC1E0E9" w:rsidR="00801427" w:rsidRPr="003A3374" w:rsidRDefault="00801427" w:rsidP="00195660">
            <w:pPr>
              <w:pStyle w:val="TableSource"/>
            </w:pPr>
            <w:r w:rsidRPr="003A3374">
              <w:t>Source: Rothschild &amp; Co Redburn, company</w:t>
            </w:r>
          </w:p>
        </w:tc>
        <w:tc>
          <w:tcPr>
            <w:tcW w:w="227" w:type="dxa"/>
          </w:tcPr>
          <w:p w14:paraId="7C4488CC" w14:textId="77777777" w:rsidR="00801427" w:rsidRPr="003A3374" w:rsidRDefault="00801427" w:rsidP="00195660">
            <w:pPr>
              <w:pStyle w:val="Normal0"/>
            </w:pPr>
          </w:p>
        </w:tc>
        <w:tc>
          <w:tcPr>
            <w:tcW w:w="4705" w:type="dxa"/>
            <w:tcBorders>
              <w:top w:val="single" w:sz="8" w:space="0" w:color="000000" w:themeColor="text1"/>
            </w:tcBorders>
          </w:tcPr>
          <w:p w14:paraId="6C40F1B1" w14:textId="54B4F12A" w:rsidR="00801427" w:rsidRPr="003A3374" w:rsidRDefault="00195660" w:rsidP="00195660">
            <w:pPr>
              <w:pStyle w:val="TableSource"/>
            </w:pPr>
            <w:r w:rsidRPr="003A3374">
              <w:t>Source: Rothschild &amp; Co Redburn, company</w:t>
            </w:r>
          </w:p>
        </w:tc>
      </w:tr>
      <w:bookmarkEnd w:id="92"/>
    </w:tbl>
    <w:p w14:paraId="15B49457" w14:textId="77777777" w:rsidR="00801427" w:rsidRPr="003A3374" w:rsidRDefault="00801427" w:rsidP="00E667A7">
      <w:pPr>
        <w:pStyle w:val="Tablespaceafter"/>
      </w:pPr>
    </w:p>
    <w:p w14:paraId="6713FA0C" w14:textId="78A01221" w:rsidR="006B4DF9" w:rsidRPr="003A3374" w:rsidRDefault="00491758" w:rsidP="00491758">
      <w:pPr>
        <w:pStyle w:val="BodyText"/>
      </w:pPr>
      <w:r w:rsidRPr="003A3374">
        <w:t xml:space="preserve">This could have implications for CCGB’s price/pack architecture. </w:t>
      </w:r>
      <w:r w:rsidR="00A37102" w:rsidRPr="003A3374">
        <w:t>To illustrate</w:t>
      </w:r>
      <w:r w:rsidR="008A1429" w:rsidRPr="003A3374">
        <w:t xml:space="preserve">, </w:t>
      </w:r>
      <w:r w:rsidR="006B4DF9" w:rsidRPr="003A3374">
        <w:t>we show how a 20p deposit per single-use container would impact the price of a range of Coca-Cola Classic formats (Fig </w:t>
      </w:r>
      <w:r w:rsidR="006B4DF9" w:rsidRPr="003A3374">
        <w:fldChar w:fldCharType="begin"/>
      </w:r>
      <w:r w:rsidR="006B4DF9" w:rsidRPr="003A3374">
        <w:instrText xml:space="preserve"> REF LINK_085700 \h </w:instrText>
      </w:r>
      <w:r w:rsidR="006B4DF9" w:rsidRPr="003A3374">
        <w:fldChar w:fldCharType="separate"/>
      </w:r>
      <w:r w:rsidR="006A4635" w:rsidRPr="003A3374">
        <w:rPr>
          <w:noProof/>
        </w:rPr>
        <w:t>48</w:t>
      </w:r>
      <w:r w:rsidR="006B4DF9" w:rsidRPr="003A3374">
        <w:fldChar w:fldCharType="end"/>
      </w:r>
      <w:r w:rsidR="006B4DF9" w:rsidRPr="003A3374">
        <w:t>).</w:t>
      </w:r>
    </w:p>
    <w:p w14:paraId="79FD0D07" w14:textId="54EE548F" w:rsidR="00BE394B" w:rsidRPr="003A3374" w:rsidRDefault="006B4DF9" w:rsidP="006B4DF9">
      <w:pPr>
        <w:pStyle w:val="BodyText"/>
      </w:pPr>
      <w:r w:rsidRPr="003A3374">
        <w:lastRenderedPageBreak/>
        <w:t xml:space="preserve">If the 20p deposit applies to every </w:t>
      </w:r>
      <w:r w:rsidR="00BE394B" w:rsidRPr="003A3374">
        <w:t xml:space="preserve">can in </w:t>
      </w:r>
      <w:r w:rsidR="00FF0B0B" w:rsidRPr="003A3374">
        <w:t>a</w:t>
      </w:r>
      <w:r w:rsidR="008E75B8" w:rsidRPr="003A3374">
        <w:t>n</w:t>
      </w:r>
      <w:r w:rsidR="00BE394B" w:rsidRPr="003A3374">
        <w:t xml:space="preserve"> 8x330ml multipack</w:t>
      </w:r>
      <w:r w:rsidRPr="003A3374">
        <w:t>, the retail price would rise by</w:t>
      </w:r>
      <w:r w:rsidR="00BE394B" w:rsidRPr="003A3374">
        <w:t xml:space="preserve"> </w:t>
      </w:r>
      <w:r w:rsidR="008A1429" w:rsidRPr="003A3374">
        <w:t>29</w:t>
      </w:r>
      <w:r w:rsidR="00BE394B" w:rsidRPr="003A3374">
        <w:t>% from £5.59 to £7.19.</w:t>
      </w:r>
      <w:r w:rsidR="008A1429" w:rsidRPr="003A3374">
        <w:t xml:space="preserve"> Meanwhile, the retail price for a </w:t>
      </w:r>
      <w:r w:rsidR="00E9028F" w:rsidRPr="003A3374">
        <w:t>two-</w:t>
      </w:r>
      <w:r w:rsidR="008A1429" w:rsidRPr="003A3374">
        <w:t>litre PET bottle would only rise by 9%, a 1.25</w:t>
      </w:r>
      <w:r w:rsidR="00E9028F" w:rsidRPr="003A3374">
        <w:t>-</w:t>
      </w:r>
      <w:r w:rsidR="008A1429" w:rsidRPr="003A3374">
        <w:t xml:space="preserve">litre PET bottle by 10%, and a </w:t>
      </w:r>
      <w:r w:rsidR="00BE394B" w:rsidRPr="003A3374">
        <w:t>500ml</w:t>
      </w:r>
      <w:r w:rsidR="00E9028F" w:rsidRPr="003A3374">
        <w:t xml:space="preserve"> </w:t>
      </w:r>
      <w:r w:rsidR="00BE394B" w:rsidRPr="003A3374">
        <w:t xml:space="preserve">PET bottle </w:t>
      </w:r>
      <w:r w:rsidR="008A1429" w:rsidRPr="003A3374">
        <w:t xml:space="preserve">by </w:t>
      </w:r>
      <w:r w:rsidR="00BE394B" w:rsidRPr="003A3374">
        <w:t>1</w:t>
      </w:r>
      <w:r w:rsidR="008A1429" w:rsidRPr="003A3374">
        <w:t>1</w:t>
      </w:r>
      <w:r w:rsidR="00BE394B" w:rsidRPr="003A3374">
        <w:t>%.</w:t>
      </w:r>
      <w:r w:rsidR="008A1429" w:rsidRPr="003A3374">
        <w:t xml:space="preserve"> A rational consumer would therefore </w:t>
      </w:r>
      <w:r w:rsidR="00D65718" w:rsidRPr="003A3374">
        <w:t>stop</w:t>
      </w:r>
      <w:r w:rsidR="008A1429" w:rsidRPr="003A3374">
        <w:t xml:space="preserve"> buying the multipack of cans and instead buy a </w:t>
      </w:r>
      <w:r w:rsidR="009D1501" w:rsidRPr="003A3374">
        <w:t>two-</w:t>
      </w:r>
      <w:r w:rsidR="008A1429" w:rsidRPr="003A3374">
        <w:t>litre PET bottle and a 1.25</w:t>
      </w:r>
      <w:r w:rsidR="009D1501" w:rsidRPr="003A3374">
        <w:t>-litre</w:t>
      </w:r>
      <w:r w:rsidR="008A1429" w:rsidRPr="003A3374">
        <w:t xml:space="preserve"> PET bottle for a combined price of £4.55; 17% cheaper than the multipack of cans and with 23% more volume.</w:t>
      </w:r>
    </w:p>
    <w:p w14:paraId="1A7ABB47" w14:textId="16BB000C" w:rsidR="008A1429" w:rsidRPr="003A3374" w:rsidRDefault="00F83D3F" w:rsidP="008A1429">
      <w:pPr>
        <w:pStyle w:val="BodyText"/>
      </w:pPr>
      <w:r w:rsidRPr="003A3374">
        <w:t>We await further details from the DMO, but if the deposit does apply to every can in a multipack then</w:t>
      </w:r>
      <w:r w:rsidR="008D68D5" w:rsidRPr="003A3374">
        <w:t xml:space="preserve"> </w:t>
      </w:r>
      <w:r w:rsidR="0033303E" w:rsidRPr="003A3374">
        <w:t>CCGB</w:t>
      </w:r>
      <w:r w:rsidR="008D68D5" w:rsidRPr="003A3374">
        <w:t xml:space="preserve"> may need to reevaluate its price/pack architecture </w:t>
      </w:r>
      <w:r w:rsidR="0033303E" w:rsidRPr="003A3374">
        <w:t xml:space="preserve">before </w:t>
      </w:r>
      <w:r w:rsidR="008D68D5" w:rsidRPr="003A3374">
        <w:t>the DRS is implemented</w:t>
      </w:r>
      <w:r w:rsidRPr="003A3374">
        <w:t>,</w:t>
      </w:r>
      <w:r w:rsidR="008D68D5" w:rsidRPr="003A3374">
        <w:t xml:space="preserve"> and possibly its supply chain too</w:t>
      </w:r>
      <w:r w:rsidRPr="003A3374">
        <w:t xml:space="preserve"> –</w:t>
      </w:r>
      <w:r w:rsidR="008D68D5" w:rsidRPr="003A3374">
        <w:t xml:space="preserve"> if consumers permanently switch from</w:t>
      </w:r>
      <w:r w:rsidR="00245D0E" w:rsidRPr="003A3374">
        <w:t xml:space="preserve"> multipack</w:t>
      </w:r>
      <w:r w:rsidR="0033303E" w:rsidRPr="003A3374">
        <w:t>s of</w:t>
      </w:r>
      <w:r w:rsidR="008D68D5" w:rsidRPr="003A3374">
        <w:t xml:space="preserve"> cans to PET</w:t>
      </w:r>
      <w:r w:rsidR="0033303E" w:rsidRPr="003A3374">
        <w:t xml:space="preserve"> bottles</w:t>
      </w:r>
      <w:r w:rsidR="008D68D5" w:rsidRPr="003A3374">
        <w:t>, are more PET production lines required while canning lines need to be decommissioned?</w:t>
      </w:r>
      <w:r w:rsidR="007856EB" w:rsidRPr="003A3374">
        <w:t xml:space="preserve"> </w:t>
      </w:r>
      <w:r w:rsidR="0033303E" w:rsidRPr="003A3374">
        <w:t>T</w:t>
      </w:r>
      <w:r w:rsidR="007856EB" w:rsidRPr="003A3374">
        <w:t xml:space="preserve">his could also create issues for Carlsberg-Britvic as </w:t>
      </w:r>
      <w:r w:rsidR="00532461" w:rsidRPr="003A3374">
        <w:t>part</w:t>
      </w:r>
      <w:r w:rsidR="00AB1F98" w:rsidRPr="003A3374">
        <w:t xml:space="preserve"> of the investment </w:t>
      </w:r>
      <w:r w:rsidR="00532461" w:rsidRPr="003A3374">
        <w:t xml:space="preserve">in </w:t>
      </w:r>
      <w:r w:rsidR="00AB1F98" w:rsidRPr="003A3374">
        <w:t xml:space="preserve">the </w:t>
      </w:r>
      <w:r w:rsidR="0033303E" w:rsidRPr="003A3374">
        <w:t>BCP</w:t>
      </w:r>
      <w:r w:rsidR="00AB1F98" w:rsidRPr="003A3374">
        <w:t xml:space="preserve"> was to expand the canning capacity at the Rugby site to be able to compete more aggressively with Pepsi Max in multipack cans. </w:t>
      </w:r>
    </w:p>
    <w:tbl>
      <w:tblPr>
        <w:tblStyle w:val="TableGrid"/>
        <w:tblW w:w="9637" w:type="dxa"/>
        <w:tblLayout w:type="fixed"/>
        <w:tblCellMar>
          <w:left w:w="0" w:type="dxa"/>
          <w:right w:w="0" w:type="dxa"/>
        </w:tblCellMar>
        <w:tblLook w:val="04A0" w:firstRow="1" w:lastRow="0" w:firstColumn="1" w:lastColumn="0" w:noHBand="0" w:noVBand="1"/>
      </w:tblPr>
      <w:tblGrid>
        <w:gridCol w:w="9637"/>
      </w:tblGrid>
      <w:tr w:rsidR="00F03F1D" w:rsidRPr="003A3374" w14:paraId="58BA44F7" w14:textId="77777777" w:rsidTr="002F36B8">
        <w:trPr>
          <w:cantSplit/>
          <w:tblHeader/>
        </w:trPr>
        <w:tc>
          <w:tcPr>
            <w:tcW w:w="9637" w:type="dxa"/>
            <w:tcBorders>
              <w:bottom w:val="single" w:sz="8" w:space="0" w:color="000000" w:themeColor="text1"/>
            </w:tcBorders>
            <w:vAlign w:val="bottom"/>
          </w:tcPr>
          <w:p w14:paraId="5DC7E573" w14:textId="31A8D734" w:rsidR="00F03F1D" w:rsidRPr="003A3374" w:rsidRDefault="00F03F1D" w:rsidP="00F03F1D">
            <w:pPr>
              <w:pStyle w:val="TableTitle"/>
            </w:pPr>
            <w:bookmarkStart w:id="95" w:name="PH_1_8_1_005789"/>
            <w:r w:rsidRPr="003A3374">
              <w:t xml:space="preserve">Fig </w:t>
            </w:r>
            <w:bookmarkStart w:id="96" w:name="LINK_085700"/>
            <w:r w:rsidRPr="003A3374">
              <w:fldChar w:fldCharType="begin"/>
            </w:r>
            <w:r w:rsidRPr="003A3374">
              <w:instrText xml:space="preserve"> SEQ Fig </w:instrText>
            </w:r>
            <w:r w:rsidRPr="003A3374">
              <w:fldChar w:fldCharType="separate"/>
            </w:r>
            <w:r w:rsidR="006A4635" w:rsidRPr="003A3374">
              <w:rPr>
                <w:noProof/>
              </w:rPr>
              <w:t>48</w:t>
            </w:r>
            <w:r w:rsidRPr="003A3374">
              <w:fldChar w:fldCharType="end"/>
            </w:r>
            <w:bookmarkEnd w:id="96"/>
            <w:r w:rsidRPr="003A3374">
              <w:t xml:space="preserve">: </w:t>
            </w:r>
            <w:r w:rsidR="00997BF7" w:rsidRPr="003A3374">
              <w:t>Impact of a 20p deposit on various packaging formats</w:t>
            </w:r>
          </w:p>
        </w:tc>
      </w:tr>
      <w:tr w:rsidR="00F03F1D" w:rsidRPr="003A3374" w14:paraId="520D8B55" w14:textId="77777777" w:rsidTr="002F36B8">
        <w:trPr>
          <w:cantSplit/>
        </w:trPr>
        <w:tc>
          <w:tcPr>
            <w:tcW w:w="9637" w:type="dxa"/>
            <w:tcBorders>
              <w:top w:val="single" w:sz="8" w:space="0" w:color="000000" w:themeColor="text1"/>
              <w:bottom w:val="single" w:sz="8" w:space="0" w:color="000000" w:themeColor="text1"/>
            </w:tcBorders>
          </w:tcPr>
          <w:tbl>
            <w:tblPr>
              <w:tblStyle w:val="Dataholder"/>
              <w:tblW w:w="0" w:type="auto"/>
              <w:tblLayout w:type="fixed"/>
              <w:tblLook w:val="06A0" w:firstRow="1" w:lastRow="0" w:firstColumn="1" w:lastColumn="0" w:noHBand="1" w:noVBand="1"/>
            </w:tblPr>
            <w:tblGrid>
              <w:gridCol w:w="1418"/>
              <w:gridCol w:w="1800"/>
              <w:gridCol w:w="751"/>
              <w:gridCol w:w="1285"/>
              <w:gridCol w:w="1120"/>
              <w:gridCol w:w="1600"/>
              <w:gridCol w:w="1000"/>
              <w:gridCol w:w="663"/>
            </w:tblGrid>
            <w:tr w:rsidR="00F03F1D" w:rsidRPr="003A3374" w14:paraId="75B9001C" w14:textId="77777777" w:rsidTr="00E875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bottom w:val="single" w:sz="8" w:space="0" w:color="000000" w:themeColor="text1"/>
                  </w:tcBorders>
                  <w:vAlign w:val="bottom"/>
                </w:tcPr>
                <w:p w14:paraId="169E8169" w14:textId="008E1FFC" w:rsidR="00F03F1D" w:rsidRPr="003A3374" w:rsidRDefault="00BD0F11" w:rsidP="00F03F1D">
                  <w:pPr>
                    <w:pStyle w:val="TableText0"/>
                  </w:pPr>
                  <w:r w:rsidRPr="003A3374">
                    <w:t>Brand</w:t>
                  </w:r>
                </w:p>
              </w:tc>
              <w:tc>
                <w:tcPr>
                  <w:tcW w:w="1800" w:type="dxa"/>
                  <w:tcBorders>
                    <w:bottom w:val="single" w:sz="8" w:space="0" w:color="000000" w:themeColor="text1"/>
                  </w:tcBorders>
                  <w:vAlign w:val="bottom"/>
                </w:tcPr>
                <w:p w14:paraId="59D74E1E" w14:textId="7697B495" w:rsidR="00F03F1D" w:rsidRPr="003A3374" w:rsidRDefault="00BD0F11" w:rsidP="00F03F1D">
                  <w:pPr>
                    <w:pStyle w:val="TableText0"/>
                    <w:cnfStyle w:val="100000000000" w:firstRow="1" w:lastRow="0" w:firstColumn="0" w:lastColumn="0" w:oddVBand="0" w:evenVBand="0" w:oddHBand="0" w:evenHBand="0" w:firstRowFirstColumn="0" w:firstRowLastColumn="0" w:lastRowFirstColumn="0" w:lastRowLastColumn="0"/>
                  </w:pPr>
                  <w:r w:rsidRPr="003A3374">
                    <w:t>Format</w:t>
                  </w:r>
                </w:p>
              </w:tc>
              <w:tc>
                <w:tcPr>
                  <w:tcW w:w="751" w:type="dxa"/>
                  <w:tcBorders>
                    <w:bottom w:val="single" w:sz="8" w:space="0" w:color="000000" w:themeColor="text1"/>
                  </w:tcBorders>
                  <w:vAlign w:val="bottom"/>
                </w:tcPr>
                <w:p w14:paraId="33DCCA59" w14:textId="7E360BF8" w:rsidR="00F03F1D" w:rsidRPr="003A3374" w:rsidRDefault="00E8751D" w:rsidP="00F03F1D">
                  <w:pPr>
                    <w:pStyle w:val="TableText0"/>
                    <w:cnfStyle w:val="100000000000" w:firstRow="1" w:lastRow="0" w:firstColumn="0" w:lastColumn="0" w:oddVBand="0" w:evenVBand="0" w:oddHBand="0" w:evenHBand="0" w:firstRowFirstColumn="0" w:firstRowLastColumn="0" w:lastRowFirstColumn="0" w:lastRowLastColumn="0"/>
                  </w:pPr>
                  <w:r w:rsidRPr="003A3374">
                    <w:t>ml</w:t>
                  </w:r>
                </w:p>
              </w:tc>
              <w:tc>
                <w:tcPr>
                  <w:tcW w:w="1285" w:type="dxa"/>
                  <w:tcBorders>
                    <w:bottom w:val="single" w:sz="8" w:space="0" w:color="000000" w:themeColor="text1"/>
                  </w:tcBorders>
                  <w:vAlign w:val="bottom"/>
                </w:tcPr>
                <w:p w14:paraId="384B9AA4" w14:textId="22DBB1C5" w:rsidR="00F03F1D" w:rsidRPr="003A3374" w:rsidRDefault="00E8751D" w:rsidP="00F03F1D">
                  <w:pPr>
                    <w:pStyle w:val="TableText0"/>
                    <w:cnfStyle w:val="100000000000" w:firstRow="1" w:lastRow="0" w:firstColumn="0" w:lastColumn="0" w:oddVBand="0" w:evenVBand="0" w:oddHBand="0" w:evenHBand="0" w:firstRowFirstColumn="0" w:firstRowLastColumn="0" w:lastRowFirstColumn="0" w:lastRowLastColumn="0"/>
                  </w:pPr>
                  <w:r w:rsidRPr="003A3374">
                    <w:t>Retail price (£)</w:t>
                  </w:r>
                </w:p>
              </w:tc>
              <w:tc>
                <w:tcPr>
                  <w:tcW w:w="1120" w:type="dxa"/>
                  <w:tcBorders>
                    <w:bottom w:val="single" w:sz="8" w:space="0" w:color="000000" w:themeColor="text1"/>
                  </w:tcBorders>
                  <w:vAlign w:val="bottom"/>
                </w:tcPr>
                <w:p w14:paraId="4778450B" w14:textId="5DEC1B52" w:rsidR="00F03F1D" w:rsidRPr="003A3374" w:rsidRDefault="00E8751D" w:rsidP="00F03F1D">
                  <w:pPr>
                    <w:pStyle w:val="TableText0"/>
                    <w:cnfStyle w:val="100000000000" w:firstRow="1" w:lastRow="0" w:firstColumn="0" w:lastColumn="0" w:oddVBand="0" w:evenVBand="0" w:oddHBand="0" w:evenHBand="0" w:firstRowFirstColumn="0" w:firstRowLastColumn="0" w:lastRowFirstColumn="0" w:lastRowLastColumn="0"/>
                  </w:pPr>
                  <w:r w:rsidRPr="003A3374">
                    <w:t>Deposit (£)</w:t>
                  </w:r>
                </w:p>
              </w:tc>
              <w:tc>
                <w:tcPr>
                  <w:tcW w:w="1600" w:type="dxa"/>
                  <w:tcBorders>
                    <w:bottom w:val="single" w:sz="8" w:space="0" w:color="000000" w:themeColor="text1"/>
                  </w:tcBorders>
                  <w:vAlign w:val="bottom"/>
                </w:tcPr>
                <w:p w14:paraId="6BFD8B10" w14:textId="640D8209" w:rsidR="00F03F1D" w:rsidRPr="003A3374" w:rsidRDefault="00E8751D" w:rsidP="00F03F1D">
                  <w:pPr>
                    <w:pStyle w:val="TableText0"/>
                    <w:cnfStyle w:val="100000000000" w:firstRow="1" w:lastRow="0" w:firstColumn="0" w:lastColumn="0" w:oddVBand="0" w:evenVBand="0" w:oddHBand="0" w:evenHBand="0" w:firstRowFirstColumn="0" w:firstRowLastColumn="0" w:lastRowFirstColumn="0" w:lastRowLastColumn="0"/>
                  </w:pPr>
                  <w:r w:rsidRPr="003A3374">
                    <w:t>Post deposit (£)</w:t>
                  </w:r>
                </w:p>
              </w:tc>
              <w:tc>
                <w:tcPr>
                  <w:tcW w:w="1000" w:type="dxa"/>
                  <w:tcBorders>
                    <w:bottom w:val="single" w:sz="8" w:space="0" w:color="000000" w:themeColor="text1"/>
                  </w:tcBorders>
                  <w:vAlign w:val="bottom"/>
                </w:tcPr>
                <w:p w14:paraId="78CCDD5E" w14:textId="120A09B5" w:rsidR="00F03F1D" w:rsidRPr="003A3374" w:rsidRDefault="00E8751D" w:rsidP="00F03F1D">
                  <w:pPr>
                    <w:pStyle w:val="TableText0"/>
                    <w:cnfStyle w:val="100000000000" w:firstRow="1" w:lastRow="0" w:firstColumn="0" w:lastColumn="0" w:oddVBand="0" w:evenVBand="0" w:oddHBand="0" w:evenHBand="0" w:firstRowFirstColumn="0" w:firstRowLastColumn="0" w:lastRowFirstColumn="0" w:lastRowLastColumn="0"/>
                  </w:pPr>
                  <w:r w:rsidRPr="003A3374">
                    <w:t>Uplift (%)</w:t>
                  </w:r>
                </w:p>
              </w:tc>
              <w:tc>
                <w:tcPr>
                  <w:tcW w:w="663" w:type="dxa"/>
                  <w:tcBorders>
                    <w:bottom w:val="single" w:sz="8" w:space="0" w:color="000000" w:themeColor="text1"/>
                  </w:tcBorders>
                  <w:vAlign w:val="bottom"/>
                </w:tcPr>
                <w:p w14:paraId="66556964" w14:textId="2BEF5AE6" w:rsidR="00F03F1D" w:rsidRPr="003A3374" w:rsidRDefault="00E8751D" w:rsidP="00F03F1D">
                  <w:pPr>
                    <w:pStyle w:val="TableText0"/>
                    <w:cnfStyle w:val="100000000000" w:firstRow="1" w:lastRow="0" w:firstColumn="0" w:lastColumn="0" w:oddVBand="0" w:evenVBand="0" w:oddHBand="0" w:evenHBand="0" w:firstRowFirstColumn="0" w:firstRowLastColumn="0" w:lastRowFirstColumn="0" w:lastRowLastColumn="0"/>
                  </w:pPr>
                  <w:r w:rsidRPr="003A3374">
                    <w:t>p per 100ml</w:t>
                  </w:r>
                </w:p>
              </w:tc>
            </w:tr>
            <w:tr w:rsidR="00F03F1D" w:rsidRPr="003A3374" w14:paraId="7A6927C0" w14:textId="77777777" w:rsidTr="00E8751D">
              <w:tc>
                <w:tcPr>
                  <w:cnfStyle w:val="001000000000" w:firstRow="0" w:lastRow="0" w:firstColumn="1" w:lastColumn="0" w:oddVBand="0" w:evenVBand="0" w:oddHBand="0" w:evenHBand="0" w:firstRowFirstColumn="0" w:firstRowLastColumn="0" w:lastRowFirstColumn="0" w:lastRowLastColumn="0"/>
                  <w:tcW w:w="1418" w:type="dxa"/>
                  <w:tcBorders>
                    <w:top w:val="single" w:sz="8" w:space="0" w:color="000000" w:themeColor="text1"/>
                  </w:tcBorders>
                </w:tcPr>
                <w:p w14:paraId="554629C2" w14:textId="6195C6E4" w:rsidR="00F03F1D" w:rsidRPr="003A3374" w:rsidRDefault="00BD0F11" w:rsidP="00F03F1D">
                  <w:pPr>
                    <w:pStyle w:val="TableText0"/>
                  </w:pPr>
                  <w:r w:rsidRPr="003A3374">
                    <w:t>Coca-Cola Classic</w:t>
                  </w:r>
                </w:p>
              </w:tc>
              <w:tc>
                <w:tcPr>
                  <w:tcW w:w="1800" w:type="dxa"/>
                  <w:tcBorders>
                    <w:top w:val="single" w:sz="8" w:space="0" w:color="000000" w:themeColor="text1"/>
                  </w:tcBorders>
                </w:tcPr>
                <w:p w14:paraId="7FBCCD6A" w14:textId="6695A25F" w:rsidR="00F03F1D" w:rsidRPr="003A3374" w:rsidRDefault="00BD0F11" w:rsidP="00F03F1D">
                  <w:pPr>
                    <w:pStyle w:val="TableText0"/>
                    <w:cnfStyle w:val="000000000000" w:firstRow="0" w:lastRow="0" w:firstColumn="0" w:lastColumn="0" w:oddVBand="0" w:evenVBand="0" w:oddHBand="0" w:evenHBand="0" w:firstRowFirstColumn="0" w:firstRowLastColumn="0" w:lastRowFirstColumn="0" w:lastRowLastColumn="0"/>
                  </w:pPr>
                  <w:r w:rsidRPr="003A3374">
                    <w:t>8x 330ml can</w:t>
                  </w:r>
                </w:p>
              </w:tc>
              <w:tc>
                <w:tcPr>
                  <w:tcW w:w="751" w:type="dxa"/>
                  <w:tcBorders>
                    <w:top w:val="single" w:sz="8" w:space="0" w:color="000000" w:themeColor="text1"/>
                  </w:tcBorders>
                </w:tcPr>
                <w:p w14:paraId="092168D4" w14:textId="5ABAD67C" w:rsidR="00F03F1D" w:rsidRPr="003A3374" w:rsidRDefault="00E8751D" w:rsidP="00F03F1D">
                  <w:pPr>
                    <w:pStyle w:val="TableText0"/>
                    <w:cnfStyle w:val="000000000000" w:firstRow="0" w:lastRow="0" w:firstColumn="0" w:lastColumn="0" w:oddVBand="0" w:evenVBand="0" w:oddHBand="0" w:evenHBand="0" w:firstRowFirstColumn="0" w:firstRowLastColumn="0" w:lastRowFirstColumn="0" w:lastRowLastColumn="0"/>
                  </w:pPr>
                  <w:r w:rsidRPr="003A3374">
                    <w:t>2,640</w:t>
                  </w:r>
                </w:p>
              </w:tc>
              <w:tc>
                <w:tcPr>
                  <w:tcW w:w="1285" w:type="dxa"/>
                  <w:tcBorders>
                    <w:top w:val="single" w:sz="8" w:space="0" w:color="000000" w:themeColor="text1"/>
                  </w:tcBorders>
                </w:tcPr>
                <w:p w14:paraId="61BF304E" w14:textId="77EB4322" w:rsidR="00F03F1D" w:rsidRPr="003A3374" w:rsidRDefault="00E8751D" w:rsidP="00F03F1D">
                  <w:pPr>
                    <w:pStyle w:val="TableText0"/>
                    <w:cnfStyle w:val="000000000000" w:firstRow="0" w:lastRow="0" w:firstColumn="0" w:lastColumn="0" w:oddVBand="0" w:evenVBand="0" w:oddHBand="0" w:evenHBand="0" w:firstRowFirstColumn="0" w:firstRowLastColumn="0" w:lastRowFirstColumn="0" w:lastRowLastColumn="0"/>
                  </w:pPr>
                  <w:r w:rsidRPr="003A3374">
                    <w:t>5.59</w:t>
                  </w:r>
                </w:p>
              </w:tc>
              <w:tc>
                <w:tcPr>
                  <w:tcW w:w="1120" w:type="dxa"/>
                  <w:tcBorders>
                    <w:top w:val="single" w:sz="8" w:space="0" w:color="000000" w:themeColor="text1"/>
                  </w:tcBorders>
                </w:tcPr>
                <w:p w14:paraId="7EAD0F60" w14:textId="72BBCBA0" w:rsidR="00F03F1D" w:rsidRPr="003A3374" w:rsidRDefault="00E8751D" w:rsidP="00F03F1D">
                  <w:pPr>
                    <w:pStyle w:val="TableText0"/>
                    <w:cnfStyle w:val="000000000000" w:firstRow="0" w:lastRow="0" w:firstColumn="0" w:lastColumn="0" w:oddVBand="0" w:evenVBand="0" w:oddHBand="0" w:evenHBand="0" w:firstRowFirstColumn="0" w:firstRowLastColumn="0" w:lastRowFirstColumn="0" w:lastRowLastColumn="0"/>
                  </w:pPr>
                  <w:r w:rsidRPr="003A3374">
                    <w:t>1.60</w:t>
                  </w:r>
                </w:p>
              </w:tc>
              <w:tc>
                <w:tcPr>
                  <w:tcW w:w="1600" w:type="dxa"/>
                  <w:tcBorders>
                    <w:top w:val="single" w:sz="8" w:space="0" w:color="000000" w:themeColor="text1"/>
                  </w:tcBorders>
                </w:tcPr>
                <w:p w14:paraId="5033DD6B" w14:textId="24E9F232" w:rsidR="00F03F1D" w:rsidRPr="003A3374" w:rsidRDefault="00E8751D" w:rsidP="00F03F1D">
                  <w:pPr>
                    <w:pStyle w:val="TableText0"/>
                    <w:cnfStyle w:val="000000000000" w:firstRow="0" w:lastRow="0" w:firstColumn="0" w:lastColumn="0" w:oddVBand="0" w:evenVBand="0" w:oddHBand="0" w:evenHBand="0" w:firstRowFirstColumn="0" w:firstRowLastColumn="0" w:lastRowFirstColumn="0" w:lastRowLastColumn="0"/>
                  </w:pPr>
                  <w:r w:rsidRPr="003A3374">
                    <w:t>7.19</w:t>
                  </w:r>
                </w:p>
              </w:tc>
              <w:tc>
                <w:tcPr>
                  <w:tcW w:w="1000" w:type="dxa"/>
                  <w:tcBorders>
                    <w:top w:val="single" w:sz="8" w:space="0" w:color="000000" w:themeColor="text1"/>
                  </w:tcBorders>
                </w:tcPr>
                <w:p w14:paraId="70C24256" w14:textId="37081B7A" w:rsidR="00F03F1D" w:rsidRPr="003A3374" w:rsidRDefault="00E8751D" w:rsidP="00F03F1D">
                  <w:pPr>
                    <w:pStyle w:val="TableText0"/>
                    <w:cnfStyle w:val="000000000000" w:firstRow="0" w:lastRow="0" w:firstColumn="0" w:lastColumn="0" w:oddVBand="0" w:evenVBand="0" w:oddHBand="0" w:evenHBand="0" w:firstRowFirstColumn="0" w:firstRowLastColumn="0" w:lastRowFirstColumn="0" w:lastRowLastColumn="0"/>
                  </w:pPr>
                  <w:r w:rsidRPr="003A3374">
                    <w:t>29%</w:t>
                  </w:r>
                </w:p>
              </w:tc>
              <w:tc>
                <w:tcPr>
                  <w:tcW w:w="663" w:type="dxa"/>
                  <w:tcBorders>
                    <w:top w:val="single" w:sz="8" w:space="0" w:color="000000" w:themeColor="text1"/>
                  </w:tcBorders>
                </w:tcPr>
                <w:p w14:paraId="6777CFBB" w14:textId="69C06ED1" w:rsidR="00F03F1D" w:rsidRPr="003A3374" w:rsidRDefault="00E8751D" w:rsidP="00F03F1D">
                  <w:pPr>
                    <w:pStyle w:val="TableText0"/>
                    <w:cnfStyle w:val="000000000000" w:firstRow="0" w:lastRow="0" w:firstColumn="0" w:lastColumn="0" w:oddVBand="0" w:evenVBand="0" w:oddHBand="0" w:evenHBand="0" w:firstRowFirstColumn="0" w:firstRowLastColumn="0" w:lastRowFirstColumn="0" w:lastRowLastColumn="0"/>
                  </w:pPr>
                  <w:r w:rsidRPr="003A3374">
                    <w:t>27</w:t>
                  </w:r>
                </w:p>
              </w:tc>
            </w:tr>
            <w:tr w:rsidR="00F03F1D" w:rsidRPr="003A3374" w14:paraId="10FD549A" w14:textId="77777777" w:rsidTr="00E8751D">
              <w:tc>
                <w:tcPr>
                  <w:cnfStyle w:val="001000000000" w:firstRow="0" w:lastRow="0" w:firstColumn="1" w:lastColumn="0" w:oddVBand="0" w:evenVBand="0" w:oddHBand="0" w:evenHBand="0" w:firstRowFirstColumn="0" w:firstRowLastColumn="0" w:lastRowFirstColumn="0" w:lastRowLastColumn="0"/>
                  <w:tcW w:w="1418" w:type="dxa"/>
                </w:tcPr>
                <w:p w14:paraId="2F26E364" w14:textId="00C9A756" w:rsidR="00F03F1D" w:rsidRPr="003A3374" w:rsidRDefault="00BD0F11" w:rsidP="00F03F1D">
                  <w:pPr>
                    <w:pStyle w:val="TableText0"/>
                  </w:pPr>
                  <w:r w:rsidRPr="003A3374">
                    <w:t>Coca-Cola Classic</w:t>
                  </w:r>
                </w:p>
              </w:tc>
              <w:tc>
                <w:tcPr>
                  <w:tcW w:w="1800" w:type="dxa"/>
                </w:tcPr>
                <w:p w14:paraId="01EE49E0" w14:textId="46A569E9" w:rsidR="00F03F1D" w:rsidRPr="003A3374" w:rsidRDefault="00BD0F11" w:rsidP="00F03F1D">
                  <w:pPr>
                    <w:pStyle w:val="TableText0"/>
                    <w:cnfStyle w:val="000000000000" w:firstRow="0" w:lastRow="0" w:firstColumn="0" w:lastColumn="0" w:oddVBand="0" w:evenVBand="0" w:oddHBand="0" w:evenHBand="0" w:firstRowFirstColumn="0" w:firstRowLastColumn="0" w:lastRowFirstColumn="0" w:lastRowLastColumn="0"/>
                  </w:pPr>
                  <w:r w:rsidRPr="003A3374">
                    <w:t>1x 2</w:t>
                  </w:r>
                  <w:r w:rsidR="00BA3D66" w:rsidRPr="003A3374">
                    <w:t>-</w:t>
                  </w:r>
                  <w:r w:rsidRPr="003A3374">
                    <w:t>litre PET</w:t>
                  </w:r>
                </w:p>
              </w:tc>
              <w:tc>
                <w:tcPr>
                  <w:tcW w:w="751" w:type="dxa"/>
                </w:tcPr>
                <w:p w14:paraId="2D94C1FC" w14:textId="35CFB7C3" w:rsidR="00F03F1D" w:rsidRPr="003A3374" w:rsidRDefault="00E8751D" w:rsidP="00F03F1D">
                  <w:pPr>
                    <w:pStyle w:val="TableText0"/>
                    <w:cnfStyle w:val="000000000000" w:firstRow="0" w:lastRow="0" w:firstColumn="0" w:lastColumn="0" w:oddVBand="0" w:evenVBand="0" w:oddHBand="0" w:evenHBand="0" w:firstRowFirstColumn="0" w:firstRowLastColumn="0" w:lastRowFirstColumn="0" w:lastRowLastColumn="0"/>
                  </w:pPr>
                  <w:r w:rsidRPr="003A3374">
                    <w:t>2,000</w:t>
                  </w:r>
                </w:p>
              </w:tc>
              <w:tc>
                <w:tcPr>
                  <w:tcW w:w="1285" w:type="dxa"/>
                </w:tcPr>
                <w:p w14:paraId="3EE2AF73" w14:textId="591C971A" w:rsidR="00F03F1D" w:rsidRPr="003A3374" w:rsidRDefault="00E8751D" w:rsidP="00F03F1D">
                  <w:pPr>
                    <w:pStyle w:val="TableText0"/>
                    <w:cnfStyle w:val="000000000000" w:firstRow="0" w:lastRow="0" w:firstColumn="0" w:lastColumn="0" w:oddVBand="0" w:evenVBand="0" w:oddHBand="0" w:evenHBand="0" w:firstRowFirstColumn="0" w:firstRowLastColumn="0" w:lastRowFirstColumn="0" w:lastRowLastColumn="0"/>
                  </w:pPr>
                  <w:r w:rsidRPr="003A3374">
                    <w:t>2.15</w:t>
                  </w:r>
                </w:p>
              </w:tc>
              <w:tc>
                <w:tcPr>
                  <w:tcW w:w="1120" w:type="dxa"/>
                </w:tcPr>
                <w:p w14:paraId="1971A386" w14:textId="2818B855" w:rsidR="00F03F1D" w:rsidRPr="003A3374" w:rsidRDefault="00E8751D" w:rsidP="00F03F1D">
                  <w:pPr>
                    <w:pStyle w:val="TableText0"/>
                    <w:cnfStyle w:val="000000000000" w:firstRow="0" w:lastRow="0" w:firstColumn="0" w:lastColumn="0" w:oddVBand="0" w:evenVBand="0" w:oddHBand="0" w:evenHBand="0" w:firstRowFirstColumn="0" w:firstRowLastColumn="0" w:lastRowFirstColumn="0" w:lastRowLastColumn="0"/>
                  </w:pPr>
                  <w:r w:rsidRPr="003A3374">
                    <w:t>0.20</w:t>
                  </w:r>
                </w:p>
              </w:tc>
              <w:tc>
                <w:tcPr>
                  <w:tcW w:w="1600" w:type="dxa"/>
                </w:tcPr>
                <w:p w14:paraId="379B0FDE" w14:textId="3FAB408A" w:rsidR="00F03F1D" w:rsidRPr="003A3374" w:rsidRDefault="00E8751D" w:rsidP="00F03F1D">
                  <w:pPr>
                    <w:pStyle w:val="TableText0"/>
                    <w:cnfStyle w:val="000000000000" w:firstRow="0" w:lastRow="0" w:firstColumn="0" w:lastColumn="0" w:oddVBand="0" w:evenVBand="0" w:oddHBand="0" w:evenHBand="0" w:firstRowFirstColumn="0" w:firstRowLastColumn="0" w:lastRowFirstColumn="0" w:lastRowLastColumn="0"/>
                  </w:pPr>
                  <w:r w:rsidRPr="003A3374">
                    <w:t>2.35</w:t>
                  </w:r>
                </w:p>
              </w:tc>
              <w:tc>
                <w:tcPr>
                  <w:tcW w:w="1000" w:type="dxa"/>
                </w:tcPr>
                <w:p w14:paraId="52BC765D" w14:textId="19A70995" w:rsidR="00F03F1D" w:rsidRPr="003A3374" w:rsidRDefault="00E8751D" w:rsidP="00F03F1D">
                  <w:pPr>
                    <w:pStyle w:val="TableText0"/>
                    <w:cnfStyle w:val="000000000000" w:firstRow="0" w:lastRow="0" w:firstColumn="0" w:lastColumn="0" w:oddVBand="0" w:evenVBand="0" w:oddHBand="0" w:evenHBand="0" w:firstRowFirstColumn="0" w:firstRowLastColumn="0" w:lastRowFirstColumn="0" w:lastRowLastColumn="0"/>
                  </w:pPr>
                  <w:r w:rsidRPr="003A3374">
                    <w:t>9%</w:t>
                  </w:r>
                </w:p>
              </w:tc>
              <w:tc>
                <w:tcPr>
                  <w:tcW w:w="663" w:type="dxa"/>
                </w:tcPr>
                <w:p w14:paraId="2315A8E6" w14:textId="5A44BEDB" w:rsidR="00F03F1D" w:rsidRPr="003A3374" w:rsidRDefault="00E8751D" w:rsidP="00F03F1D">
                  <w:pPr>
                    <w:pStyle w:val="TableText0"/>
                    <w:cnfStyle w:val="000000000000" w:firstRow="0" w:lastRow="0" w:firstColumn="0" w:lastColumn="0" w:oddVBand="0" w:evenVBand="0" w:oddHBand="0" w:evenHBand="0" w:firstRowFirstColumn="0" w:firstRowLastColumn="0" w:lastRowFirstColumn="0" w:lastRowLastColumn="0"/>
                  </w:pPr>
                  <w:r w:rsidRPr="003A3374">
                    <w:t>12</w:t>
                  </w:r>
                </w:p>
              </w:tc>
            </w:tr>
            <w:tr w:rsidR="00F03F1D" w:rsidRPr="003A3374" w14:paraId="3E513E75" w14:textId="77777777" w:rsidTr="00E8751D">
              <w:tc>
                <w:tcPr>
                  <w:cnfStyle w:val="001000000000" w:firstRow="0" w:lastRow="0" w:firstColumn="1" w:lastColumn="0" w:oddVBand="0" w:evenVBand="0" w:oddHBand="0" w:evenHBand="0" w:firstRowFirstColumn="0" w:firstRowLastColumn="0" w:lastRowFirstColumn="0" w:lastRowLastColumn="0"/>
                  <w:tcW w:w="1418" w:type="dxa"/>
                </w:tcPr>
                <w:p w14:paraId="61A351A3" w14:textId="56E17542" w:rsidR="00F03F1D" w:rsidRPr="003A3374" w:rsidRDefault="00BD0F11" w:rsidP="00F03F1D">
                  <w:pPr>
                    <w:pStyle w:val="TableText0"/>
                  </w:pPr>
                  <w:r w:rsidRPr="003A3374">
                    <w:t>Coca-Cola Classic</w:t>
                  </w:r>
                </w:p>
              </w:tc>
              <w:tc>
                <w:tcPr>
                  <w:tcW w:w="1800" w:type="dxa"/>
                </w:tcPr>
                <w:p w14:paraId="517FD52C" w14:textId="7D35CB66" w:rsidR="00F03F1D" w:rsidRPr="003A3374" w:rsidRDefault="00BD0F11" w:rsidP="00F03F1D">
                  <w:pPr>
                    <w:pStyle w:val="TableText0"/>
                    <w:cnfStyle w:val="000000000000" w:firstRow="0" w:lastRow="0" w:firstColumn="0" w:lastColumn="0" w:oddVBand="0" w:evenVBand="0" w:oddHBand="0" w:evenHBand="0" w:firstRowFirstColumn="0" w:firstRowLastColumn="0" w:lastRowFirstColumn="0" w:lastRowLastColumn="0"/>
                  </w:pPr>
                  <w:r w:rsidRPr="003A3374">
                    <w:t>1x 1.25</w:t>
                  </w:r>
                  <w:r w:rsidR="00BA3D66" w:rsidRPr="003A3374">
                    <w:t>-</w:t>
                  </w:r>
                  <w:r w:rsidRPr="003A3374">
                    <w:t>litre PET</w:t>
                  </w:r>
                </w:p>
              </w:tc>
              <w:tc>
                <w:tcPr>
                  <w:tcW w:w="751" w:type="dxa"/>
                </w:tcPr>
                <w:p w14:paraId="3021D599" w14:textId="2357731C" w:rsidR="00F03F1D" w:rsidRPr="003A3374" w:rsidRDefault="00E8751D" w:rsidP="00F03F1D">
                  <w:pPr>
                    <w:pStyle w:val="TableText0"/>
                    <w:cnfStyle w:val="000000000000" w:firstRow="0" w:lastRow="0" w:firstColumn="0" w:lastColumn="0" w:oddVBand="0" w:evenVBand="0" w:oddHBand="0" w:evenHBand="0" w:firstRowFirstColumn="0" w:firstRowLastColumn="0" w:lastRowFirstColumn="0" w:lastRowLastColumn="0"/>
                  </w:pPr>
                  <w:r w:rsidRPr="003A3374">
                    <w:t>1,250</w:t>
                  </w:r>
                </w:p>
              </w:tc>
              <w:tc>
                <w:tcPr>
                  <w:tcW w:w="1285" w:type="dxa"/>
                </w:tcPr>
                <w:p w14:paraId="1D0C158B" w14:textId="1160D0C1" w:rsidR="00F03F1D" w:rsidRPr="003A3374" w:rsidRDefault="00E8751D" w:rsidP="00F03F1D">
                  <w:pPr>
                    <w:pStyle w:val="TableText0"/>
                    <w:cnfStyle w:val="000000000000" w:firstRow="0" w:lastRow="0" w:firstColumn="0" w:lastColumn="0" w:oddVBand="0" w:evenVBand="0" w:oddHBand="0" w:evenHBand="0" w:firstRowFirstColumn="0" w:firstRowLastColumn="0" w:lastRowFirstColumn="0" w:lastRowLastColumn="0"/>
                  </w:pPr>
                  <w:r w:rsidRPr="003A3374">
                    <w:t>2.00</w:t>
                  </w:r>
                </w:p>
              </w:tc>
              <w:tc>
                <w:tcPr>
                  <w:tcW w:w="1120" w:type="dxa"/>
                </w:tcPr>
                <w:p w14:paraId="73A3297E" w14:textId="73C618AA" w:rsidR="00F03F1D" w:rsidRPr="003A3374" w:rsidRDefault="00E8751D" w:rsidP="00F03F1D">
                  <w:pPr>
                    <w:pStyle w:val="TableText0"/>
                    <w:cnfStyle w:val="000000000000" w:firstRow="0" w:lastRow="0" w:firstColumn="0" w:lastColumn="0" w:oddVBand="0" w:evenVBand="0" w:oddHBand="0" w:evenHBand="0" w:firstRowFirstColumn="0" w:firstRowLastColumn="0" w:lastRowFirstColumn="0" w:lastRowLastColumn="0"/>
                  </w:pPr>
                  <w:r w:rsidRPr="003A3374">
                    <w:t>0.20</w:t>
                  </w:r>
                </w:p>
              </w:tc>
              <w:tc>
                <w:tcPr>
                  <w:tcW w:w="1600" w:type="dxa"/>
                </w:tcPr>
                <w:p w14:paraId="557BC939" w14:textId="3BBBC39E" w:rsidR="00F03F1D" w:rsidRPr="003A3374" w:rsidRDefault="00E8751D" w:rsidP="00F03F1D">
                  <w:pPr>
                    <w:pStyle w:val="TableText0"/>
                    <w:cnfStyle w:val="000000000000" w:firstRow="0" w:lastRow="0" w:firstColumn="0" w:lastColumn="0" w:oddVBand="0" w:evenVBand="0" w:oddHBand="0" w:evenHBand="0" w:firstRowFirstColumn="0" w:firstRowLastColumn="0" w:lastRowFirstColumn="0" w:lastRowLastColumn="0"/>
                  </w:pPr>
                  <w:r w:rsidRPr="003A3374">
                    <w:t>2.20</w:t>
                  </w:r>
                </w:p>
              </w:tc>
              <w:tc>
                <w:tcPr>
                  <w:tcW w:w="1000" w:type="dxa"/>
                </w:tcPr>
                <w:p w14:paraId="08E372B1" w14:textId="6255A389" w:rsidR="00F03F1D" w:rsidRPr="003A3374" w:rsidRDefault="00E8751D" w:rsidP="00F03F1D">
                  <w:pPr>
                    <w:pStyle w:val="TableText0"/>
                    <w:cnfStyle w:val="000000000000" w:firstRow="0" w:lastRow="0" w:firstColumn="0" w:lastColumn="0" w:oddVBand="0" w:evenVBand="0" w:oddHBand="0" w:evenHBand="0" w:firstRowFirstColumn="0" w:firstRowLastColumn="0" w:lastRowFirstColumn="0" w:lastRowLastColumn="0"/>
                  </w:pPr>
                  <w:r w:rsidRPr="003A3374">
                    <w:t>10%</w:t>
                  </w:r>
                </w:p>
              </w:tc>
              <w:tc>
                <w:tcPr>
                  <w:tcW w:w="663" w:type="dxa"/>
                </w:tcPr>
                <w:p w14:paraId="18B3A1C2" w14:textId="760D8C8A" w:rsidR="00F03F1D" w:rsidRPr="003A3374" w:rsidRDefault="00E8751D" w:rsidP="00F03F1D">
                  <w:pPr>
                    <w:pStyle w:val="TableText0"/>
                    <w:cnfStyle w:val="000000000000" w:firstRow="0" w:lastRow="0" w:firstColumn="0" w:lastColumn="0" w:oddVBand="0" w:evenVBand="0" w:oddHBand="0" w:evenHBand="0" w:firstRowFirstColumn="0" w:firstRowLastColumn="0" w:lastRowFirstColumn="0" w:lastRowLastColumn="0"/>
                  </w:pPr>
                  <w:r w:rsidRPr="003A3374">
                    <w:t>18</w:t>
                  </w:r>
                </w:p>
              </w:tc>
            </w:tr>
            <w:tr w:rsidR="00F03F1D" w:rsidRPr="003A3374" w14:paraId="5F84F94B" w14:textId="77777777" w:rsidTr="00E8751D">
              <w:tc>
                <w:tcPr>
                  <w:cnfStyle w:val="001000000000" w:firstRow="0" w:lastRow="0" w:firstColumn="1" w:lastColumn="0" w:oddVBand="0" w:evenVBand="0" w:oddHBand="0" w:evenHBand="0" w:firstRowFirstColumn="0" w:firstRowLastColumn="0" w:lastRowFirstColumn="0" w:lastRowLastColumn="0"/>
                  <w:tcW w:w="1418" w:type="dxa"/>
                </w:tcPr>
                <w:p w14:paraId="4DD5E412" w14:textId="77BFF8C8" w:rsidR="00F03F1D" w:rsidRPr="003A3374" w:rsidRDefault="00BD0F11" w:rsidP="00F03F1D">
                  <w:pPr>
                    <w:pStyle w:val="TableText0"/>
                  </w:pPr>
                  <w:r w:rsidRPr="003A3374">
                    <w:t>Coca-Cola Classic</w:t>
                  </w:r>
                </w:p>
              </w:tc>
              <w:tc>
                <w:tcPr>
                  <w:tcW w:w="1800" w:type="dxa"/>
                </w:tcPr>
                <w:p w14:paraId="219B7104" w14:textId="238B0CBD" w:rsidR="00F03F1D" w:rsidRPr="003A3374" w:rsidRDefault="00BD0F11" w:rsidP="00F03F1D">
                  <w:pPr>
                    <w:pStyle w:val="TableText0"/>
                    <w:cnfStyle w:val="000000000000" w:firstRow="0" w:lastRow="0" w:firstColumn="0" w:lastColumn="0" w:oddVBand="0" w:evenVBand="0" w:oddHBand="0" w:evenHBand="0" w:firstRowFirstColumn="0" w:firstRowLastColumn="0" w:lastRowFirstColumn="0" w:lastRowLastColumn="0"/>
                  </w:pPr>
                  <w:r w:rsidRPr="003A3374">
                    <w:t>1x 500ml PET</w:t>
                  </w:r>
                </w:p>
              </w:tc>
              <w:tc>
                <w:tcPr>
                  <w:tcW w:w="751" w:type="dxa"/>
                </w:tcPr>
                <w:p w14:paraId="634B5E33" w14:textId="1A17C334" w:rsidR="00F03F1D" w:rsidRPr="003A3374" w:rsidRDefault="00E8751D" w:rsidP="00F03F1D">
                  <w:pPr>
                    <w:pStyle w:val="TableText0"/>
                    <w:cnfStyle w:val="000000000000" w:firstRow="0" w:lastRow="0" w:firstColumn="0" w:lastColumn="0" w:oddVBand="0" w:evenVBand="0" w:oddHBand="0" w:evenHBand="0" w:firstRowFirstColumn="0" w:firstRowLastColumn="0" w:lastRowFirstColumn="0" w:lastRowLastColumn="0"/>
                  </w:pPr>
                  <w:r w:rsidRPr="003A3374">
                    <w:t>500</w:t>
                  </w:r>
                </w:p>
              </w:tc>
              <w:tc>
                <w:tcPr>
                  <w:tcW w:w="1285" w:type="dxa"/>
                </w:tcPr>
                <w:p w14:paraId="5D69A9C2" w14:textId="01FC6786" w:rsidR="00F03F1D" w:rsidRPr="003A3374" w:rsidRDefault="00E8751D" w:rsidP="00F03F1D">
                  <w:pPr>
                    <w:pStyle w:val="TableText0"/>
                    <w:cnfStyle w:val="000000000000" w:firstRow="0" w:lastRow="0" w:firstColumn="0" w:lastColumn="0" w:oddVBand="0" w:evenVBand="0" w:oddHBand="0" w:evenHBand="0" w:firstRowFirstColumn="0" w:firstRowLastColumn="0" w:lastRowFirstColumn="0" w:lastRowLastColumn="0"/>
                  </w:pPr>
                  <w:r w:rsidRPr="003A3374">
                    <w:t>1.90</w:t>
                  </w:r>
                </w:p>
              </w:tc>
              <w:tc>
                <w:tcPr>
                  <w:tcW w:w="1120" w:type="dxa"/>
                </w:tcPr>
                <w:p w14:paraId="39A27282" w14:textId="125DD8BB" w:rsidR="00F03F1D" w:rsidRPr="003A3374" w:rsidRDefault="00E8751D" w:rsidP="00F03F1D">
                  <w:pPr>
                    <w:pStyle w:val="TableText0"/>
                    <w:cnfStyle w:val="000000000000" w:firstRow="0" w:lastRow="0" w:firstColumn="0" w:lastColumn="0" w:oddVBand="0" w:evenVBand="0" w:oddHBand="0" w:evenHBand="0" w:firstRowFirstColumn="0" w:firstRowLastColumn="0" w:lastRowFirstColumn="0" w:lastRowLastColumn="0"/>
                  </w:pPr>
                  <w:r w:rsidRPr="003A3374">
                    <w:t>0.20</w:t>
                  </w:r>
                </w:p>
              </w:tc>
              <w:tc>
                <w:tcPr>
                  <w:tcW w:w="1600" w:type="dxa"/>
                </w:tcPr>
                <w:p w14:paraId="280FC8CF" w14:textId="64361044" w:rsidR="00F03F1D" w:rsidRPr="003A3374" w:rsidRDefault="00E8751D" w:rsidP="00F03F1D">
                  <w:pPr>
                    <w:pStyle w:val="TableText0"/>
                    <w:cnfStyle w:val="000000000000" w:firstRow="0" w:lastRow="0" w:firstColumn="0" w:lastColumn="0" w:oddVBand="0" w:evenVBand="0" w:oddHBand="0" w:evenHBand="0" w:firstRowFirstColumn="0" w:firstRowLastColumn="0" w:lastRowFirstColumn="0" w:lastRowLastColumn="0"/>
                  </w:pPr>
                  <w:r w:rsidRPr="003A3374">
                    <w:t>2.10</w:t>
                  </w:r>
                </w:p>
              </w:tc>
              <w:tc>
                <w:tcPr>
                  <w:tcW w:w="1000" w:type="dxa"/>
                </w:tcPr>
                <w:p w14:paraId="0097700A" w14:textId="69F64D5C" w:rsidR="00F03F1D" w:rsidRPr="003A3374" w:rsidRDefault="00E8751D" w:rsidP="00F03F1D">
                  <w:pPr>
                    <w:pStyle w:val="TableText0"/>
                    <w:cnfStyle w:val="000000000000" w:firstRow="0" w:lastRow="0" w:firstColumn="0" w:lastColumn="0" w:oddVBand="0" w:evenVBand="0" w:oddHBand="0" w:evenHBand="0" w:firstRowFirstColumn="0" w:firstRowLastColumn="0" w:lastRowFirstColumn="0" w:lastRowLastColumn="0"/>
                  </w:pPr>
                  <w:r w:rsidRPr="003A3374">
                    <w:t>11%</w:t>
                  </w:r>
                </w:p>
              </w:tc>
              <w:tc>
                <w:tcPr>
                  <w:tcW w:w="663" w:type="dxa"/>
                </w:tcPr>
                <w:p w14:paraId="4CB1E402" w14:textId="66ACCB6E" w:rsidR="00F03F1D" w:rsidRPr="003A3374" w:rsidRDefault="00E8751D" w:rsidP="00F03F1D">
                  <w:pPr>
                    <w:pStyle w:val="TableText0"/>
                    <w:cnfStyle w:val="000000000000" w:firstRow="0" w:lastRow="0" w:firstColumn="0" w:lastColumn="0" w:oddVBand="0" w:evenVBand="0" w:oddHBand="0" w:evenHBand="0" w:firstRowFirstColumn="0" w:firstRowLastColumn="0" w:lastRowFirstColumn="0" w:lastRowLastColumn="0"/>
                  </w:pPr>
                  <w:r w:rsidRPr="003A3374">
                    <w:t>42</w:t>
                  </w:r>
                </w:p>
              </w:tc>
            </w:tr>
          </w:tbl>
          <w:p w14:paraId="7CF4AFE9" w14:textId="77777777" w:rsidR="00F03F1D" w:rsidRPr="003A3374" w:rsidRDefault="00F03F1D" w:rsidP="00A8292A">
            <w:pPr>
              <w:pStyle w:val="Tableplaceholder"/>
            </w:pPr>
          </w:p>
        </w:tc>
      </w:tr>
      <w:tr w:rsidR="00F03F1D" w:rsidRPr="003A3374" w14:paraId="63C1E571" w14:textId="77777777" w:rsidTr="002F36B8">
        <w:trPr>
          <w:cantSplit/>
        </w:trPr>
        <w:tc>
          <w:tcPr>
            <w:tcW w:w="9637" w:type="dxa"/>
            <w:tcBorders>
              <w:top w:val="single" w:sz="8" w:space="0" w:color="000000" w:themeColor="text1"/>
            </w:tcBorders>
          </w:tcPr>
          <w:p w14:paraId="063FF7CF" w14:textId="3DEF3FE3" w:rsidR="00456F59" w:rsidRPr="003A3374" w:rsidRDefault="00456F59" w:rsidP="00456F59">
            <w:pPr>
              <w:pStyle w:val="TableSource"/>
              <w:contextualSpacing/>
            </w:pPr>
            <w:r w:rsidRPr="003A3374">
              <w:t xml:space="preserve">Note: our example only includes the deposit fee </w:t>
            </w:r>
            <w:r w:rsidR="0033303E" w:rsidRPr="003A3374">
              <w:t>but</w:t>
            </w:r>
            <w:r w:rsidRPr="003A3374">
              <w:t xml:space="preserve"> not the possibility that the producer fee is also passed on</w:t>
            </w:r>
          </w:p>
          <w:p w14:paraId="6CA7284C" w14:textId="76ADD7E2" w:rsidR="00F03F1D" w:rsidRPr="003A3374" w:rsidRDefault="00F03F1D" w:rsidP="00F03F1D">
            <w:pPr>
              <w:pStyle w:val="TableSource"/>
            </w:pPr>
            <w:r w:rsidRPr="003A3374">
              <w:t>Source: Rothschild &amp; Co Redburn, Tesco</w:t>
            </w:r>
          </w:p>
        </w:tc>
      </w:tr>
      <w:bookmarkEnd w:id="95"/>
    </w:tbl>
    <w:p w14:paraId="208C0761" w14:textId="77777777" w:rsidR="00F03F1D" w:rsidRPr="003A3374" w:rsidRDefault="00F03F1D" w:rsidP="00694885">
      <w:pPr>
        <w:pStyle w:val="Tablespaceafter"/>
      </w:pPr>
    </w:p>
    <w:p w14:paraId="5C365045" w14:textId="2281F462" w:rsidR="00456F59" w:rsidRPr="003A3374" w:rsidRDefault="002F36B8" w:rsidP="00456F59">
      <w:pPr>
        <w:pStyle w:val="BodyText"/>
      </w:pPr>
      <w:r w:rsidRPr="003A3374">
        <w:t xml:space="preserve">More broadly, there is a risk that volumes </w:t>
      </w:r>
      <w:r w:rsidR="00456F59" w:rsidRPr="003A3374">
        <w:t xml:space="preserve">across the soft drinks industry </w:t>
      </w:r>
      <w:r w:rsidRPr="003A3374">
        <w:t>could fall following the retail price increases caused by the DRS</w:t>
      </w:r>
      <w:r w:rsidR="00456F59" w:rsidRPr="003A3374">
        <w:t xml:space="preserve">. </w:t>
      </w:r>
      <w:r w:rsidRPr="003A3374">
        <w:t xml:space="preserve">However, given the DRS will result in an industry-wide, one-off price increase, which also impacts other beverage categories like beer and spirits, we would expect the volume hit to be modest. </w:t>
      </w:r>
    </w:p>
    <w:p w14:paraId="043FC9CE" w14:textId="3F8E96A7" w:rsidR="002F36B8" w:rsidRPr="003A3374" w:rsidRDefault="002F36B8" w:rsidP="00456F59">
      <w:pPr>
        <w:pStyle w:val="BodyText"/>
      </w:pPr>
      <w:r w:rsidRPr="003A3374">
        <w:t>Indeed, a review performed by Reloop and the Container Recycling Institute</w:t>
      </w:r>
      <w:r w:rsidRPr="003A3374">
        <w:rPr>
          <w:rStyle w:val="FootnoteReference"/>
        </w:rPr>
        <w:footnoteReference w:id="7"/>
      </w:r>
      <w:r w:rsidRPr="003A3374">
        <w:t xml:space="preserve">, which examined the impact of DRS implementation in </w:t>
      </w:r>
      <w:r w:rsidR="009F23EC" w:rsidRPr="003A3374">
        <w:t>numerous regions (Scandinavia, the Baltics, Germany, Australia etc)</w:t>
      </w:r>
      <w:r w:rsidRPr="003A3374">
        <w:t xml:space="preserve">, concluded that </w:t>
      </w:r>
      <w:r w:rsidRPr="003A3374">
        <w:rPr>
          <w:i/>
          <w:iCs/>
        </w:rPr>
        <w:t>“None of the case studies provide definitive evidence suggesting that the introduction or expansion of a DRS caused a decline in beverage sales”</w:t>
      </w:r>
      <w:r w:rsidRPr="003A3374">
        <w:t>.</w:t>
      </w:r>
    </w:p>
    <w:p w14:paraId="12BB00A8" w14:textId="7208D77C" w:rsidR="003922EC" w:rsidRPr="003A3374" w:rsidRDefault="003922EC" w:rsidP="00456F59">
      <w:pPr>
        <w:pStyle w:val="BodyText"/>
      </w:pPr>
      <w:r w:rsidRPr="003A3374">
        <w:t>For now, we await more information from the DMO regarding the specifics of the deposit amount and producer fee before updating of CCGB forecasts.</w:t>
      </w:r>
    </w:p>
    <w:p w14:paraId="26D59D0D" w14:textId="24C579D8" w:rsidR="00F14BC2" w:rsidRPr="003A3374" w:rsidRDefault="00E32A4C" w:rsidP="00747CB8">
      <w:pPr>
        <w:pStyle w:val="Heading20"/>
      </w:pPr>
      <w:bookmarkStart w:id="97" w:name="_Toc214545143"/>
      <w:r w:rsidRPr="003A3374">
        <w:t>Neverending regulation</w:t>
      </w:r>
      <w:bookmarkEnd w:id="97"/>
    </w:p>
    <w:p w14:paraId="4976DF0E" w14:textId="66D6B3FD" w:rsidR="00AD67E9" w:rsidRPr="003A3374" w:rsidRDefault="00FD0313" w:rsidP="00C565EC">
      <w:pPr>
        <w:pStyle w:val="BodyText"/>
      </w:pPr>
      <w:r w:rsidRPr="003A3374">
        <w:t>Finally,</w:t>
      </w:r>
      <w:r w:rsidR="00885C78" w:rsidRPr="003A3374">
        <w:t xml:space="preserve"> there is Extended Producer Responsibility (EPR).</w:t>
      </w:r>
      <w:r w:rsidR="00D566AA" w:rsidRPr="003A3374">
        <w:t xml:space="preserve"> </w:t>
      </w:r>
      <w:r w:rsidR="005E0DF0" w:rsidRPr="003A3374">
        <w:t>This has increased the reporting burden (and costs) for soft drinks manufacturers as they are required to register and report packaging tonnage data</w:t>
      </w:r>
      <w:r w:rsidR="00BA4033" w:rsidRPr="003A3374">
        <w:t xml:space="preserve"> twice a year</w:t>
      </w:r>
      <w:r w:rsidR="005E0DF0" w:rsidRPr="003A3374">
        <w:t xml:space="preserve"> to the government’s online Report Packaging Data (RPD) portal. From January 2025, large manufacturers like </w:t>
      </w:r>
      <w:r w:rsidR="005E0DF0" w:rsidRPr="003A3374">
        <w:lastRenderedPageBreak/>
        <w:t>CCGB were then charged a base fee for each tonne of packaging placed into the market,</w:t>
      </w:r>
      <w:r w:rsidR="00547138" w:rsidRPr="003A3374">
        <w:t xml:space="preserve"> based on the material used,</w:t>
      </w:r>
      <w:r w:rsidR="005E0DF0" w:rsidRPr="003A3374">
        <w:t xml:space="preserve"> with the first invoice in October 2025</w:t>
      </w:r>
      <w:r w:rsidR="00547138" w:rsidRPr="003A3374">
        <w:t xml:space="preserve"> (</w:t>
      </w:r>
      <w:r w:rsidR="002E088D" w:rsidRPr="003A3374">
        <w:t>Fig </w:t>
      </w:r>
      <w:r w:rsidR="002E088D" w:rsidRPr="003A3374">
        <w:fldChar w:fldCharType="begin"/>
      </w:r>
      <w:r w:rsidR="002E088D" w:rsidRPr="003A3374">
        <w:instrText xml:space="preserve"> REF LINK_071055 \h </w:instrText>
      </w:r>
      <w:r w:rsidR="002E088D" w:rsidRPr="003A3374">
        <w:fldChar w:fldCharType="separate"/>
      </w:r>
      <w:r w:rsidR="006A4635" w:rsidRPr="003A3374">
        <w:rPr>
          <w:noProof/>
        </w:rPr>
        <w:t>49</w:t>
      </w:r>
      <w:r w:rsidR="002E088D" w:rsidRPr="003A3374">
        <w:fldChar w:fldCharType="end"/>
      </w:r>
      <w:r w:rsidR="00547138" w:rsidRPr="003A3374">
        <w:t>)</w:t>
      </w:r>
      <w:r w:rsidR="001978CA" w:rsidRPr="003A3374">
        <w:t>.</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547138" w:rsidRPr="003A3374" w14:paraId="5964446C" w14:textId="77777777" w:rsidTr="00547138">
        <w:trPr>
          <w:cantSplit/>
          <w:tblHeader/>
        </w:trPr>
        <w:tc>
          <w:tcPr>
            <w:tcW w:w="7654" w:type="dxa"/>
            <w:tcBorders>
              <w:bottom w:val="single" w:sz="8" w:space="0" w:color="000000" w:themeColor="text1"/>
            </w:tcBorders>
            <w:vAlign w:val="bottom"/>
          </w:tcPr>
          <w:p w14:paraId="0494BEB1" w14:textId="49A6952C" w:rsidR="00547138" w:rsidRPr="003A3374" w:rsidRDefault="00547138" w:rsidP="00547138">
            <w:pPr>
              <w:pStyle w:val="TableTitle"/>
            </w:pPr>
            <w:bookmarkStart w:id="98" w:name="PH_1_4_1_022259"/>
            <w:r w:rsidRPr="003A3374">
              <w:t xml:space="preserve">Fig </w:t>
            </w:r>
            <w:bookmarkStart w:id="99" w:name="LINK_071055"/>
            <w:r w:rsidRPr="003A3374">
              <w:fldChar w:fldCharType="begin"/>
            </w:r>
            <w:r w:rsidRPr="003A3374">
              <w:instrText xml:space="preserve"> SEQ Fig </w:instrText>
            </w:r>
            <w:r w:rsidRPr="003A3374">
              <w:fldChar w:fldCharType="separate"/>
            </w:r>
            <w:r w:rsidR="006A4635" w:rsidRPr="003A3374">
              <w:rPr>
                <w:noProof/>
              </w:rPr>
              <w:t>49</w:t>
            </w:r>
            <w:r w:rsidRPr="003A3374">
              <w:fldChar w:fldCharType="end"/>
            </w:r>
            <w:bookmarkEnd w:id="99"/>
            <w:r w:rsidRPr="003A3374">
              <w:t xml:space="preserve">: </w:t>
            </w:r>
            <w:r w:rsidR="00FB7FD7" w:rsidRPr="003A3374">
              <w:t>UK EPR fees (2025)</w:t>
            </w:r>
          </w:p>
        </w:tc>
      </w:tr>
      <w:tr w:rsidR="00547138" w:rsidRPr="003A3374" w14:paraId="36273058" w14:textId="77777777" w:rsidTr="00547138">
        <w:trPr>
          <w:cantSplit/>
        </w:trPr>
        <w:tc>
          <w:tcPr>
            <w:tcW w:w="7654" w:type="dxa"/>
            <w:tcBorders>
              <w:top w:val="single" w:sz="8" w:space="0" w:color="000000" w:themeColor="text1"/>
              <w:bottom w:val="single" w:sz="8" w:space="0" w:color="000000" w:themeColor="text1"/>
            </w:tcBorders>
          </w:tcPr>
          <w:tbl>
            <w:tblPr>
              <w:tblStyle w:val="Dataholder"/>
              <w:tblW w:w="0" w:type="auto"/>
              <w:tblLayout w:type="fixed"/>
              <w:tblLook w:val="06A0" w:firstRow="1" w:lastRow="0" w:firstColumn="1" w:lastColumn="0" w:noHBand="1" w:noVBand="1"/>
            </w:tblPr>
            <w:tblGrid>
              <w:gridCol w:w="2919"/>
              <w:gridCol w:w="2594"/>
              <w:gridCol w:w="2140"/>
            </w:tblGrid>
            <w:tr w:rsidR="00547138" w:rsidRPr="003A3374" w14:paraId="55BF03A8" w14:textId="77777777" w:rsidTr="005471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9" w:type="dxa"/>
                  <w:tcBorders>
                    <w:bottom w:val="single" w:sz="8" w:space="0" w:color="000000" w:themeColor="text1"/>
                  </w:tcBorders>
                  <w:vAlign w:val="bottom"/>
                </w:tcPr>
                <w:p w14:paraId="53D41F3A" w14:textId="77777777" w:rsidR="00547138" w:rsidRPr="003A3374" w:rsidRDefault="00547138" w:rsidP="00547138">
                  <w:pPr>
                    <w:pStyle w:val="TableText0"/>
                  </w:pPr>
                  <w:r w:rsidRPr="003A3374">
                    <w:t>Material</w:t>
                  </w:r>
                </w:p>
              </w:tc>
              <w:tc>
                <w:tcPr>
                  <w:tcW w:w="2594" w:type="dxa"/>
                  <w:tcBorders>
                    <w:bottom w:val="single" w:sz="8" w:space="0" w:color="000000" w:themeColor="text1"/>
                  </w:tcBorders>
                  <w:vAlign w:val="bottom"/>
                </w:tcPr>
                <w:p w14:paraId="0BBEC72B" w14:textId="77777777" w:rsidR="00547138" w:rsidRPr="003A3374" w:rsidRDefault="00547138" w:rsidP="00547138">
                  <w:pPr>
                    <w:pStyle w:val="TableText0"/>
                    <w:cnfStyle w:val="100000000000" w:firstRow="1" w:lastRow="0" w:firstColumn="0" w:lastColumn="0" w:oddVBand="0" w:evenVBand="0" w:oddHBand="0" w:evenHBand="0" w:firstRowFirstColumn="0" w:firstRowLastColumn="0" w:lastRowFirstColumn="0" w:lastRowLastColumn="0"/>
                  </w:pPr>
                  <w:r w:rsidRPr="003A3374">
                    <w:t>EPR fee (per tonne)</w:t>
                  </w:r>
                </w:p>
              </w:tc>
              <w:tc>
                <w:tcPr>
                  <w:tcW w:w="2140" w:type="dxa"/>
                  <w:tcBorders>
                    <w:bottom w:val="single" w:sz="8" w:space="0" w:color="000000" w:themeColor="text1"/>
                  </w:tcBorders>
                  <w:vAlign w:val="bottom"/>
                </w:tcPr>
                <w:p w14:paraId="30EB80F5" w14:textId="77777777" w:rsidR="00547138" w:rsidRPr="003A3374" w:rsidRDefault="00547138" w:rsidP="00547138">
                  <w:pPr>
                    <w:pStyle w:val="TableText0"/>
                    <w:cnfStyle w:val="100000000000" w:firstRow="1" w:lastRow="0" w:firstColumn="0" w:lastColumn="0" w:oddVBand="0" w:evenVBand="0" w:oddHBand="0" w:evenHBand="0" w:firstRowFirstColumn="0" w:firstRowLastColumn="0" w:lastRowFirstColumn="0" w:lastRowLastColumn="0"/>
                  </w:pPr>
                  <w:r w:rsidRPr="003A3374">
                    <w:t>EPR fee (per kg)</w:t>
                  </w:r>
                </w:p>
              </w:tc>
            </w:tr>
            <w:tr w:rsidR="00547138" w:rsidRPr="003A3374" w14:paraId="3983E619" w14:textId="77777777" w:rsidTr="00547138">
              <w:tc>
                <w:tcPr>
                  <w:cnfStyle w:val="001000000000" w:firstRow="0" w:lastRow="0" w:firstColumn="1" w:lastColumn="0" w:oddVBand="0" w:evenVBand="0" w:oddHBand="0" w:evenHBand="0" w:firstRowFirstColumn="0" w:firstRowLastColumn="0" w:lastRowFirstColumn="0" w:lastRowLastColumn="0"/>
                  <w:tcW w:w="2919" w:type="dxa"/>
                  <w:tcBorders>
                    <w:top w:val="single" w:sz="8" w:space="0" w:color="000000" w:themeColor="text1"/>
                  </w:tcBorders>
                </w:tcPr>
                <w:p w14:paraId="1BFC16E8" w14:textId="77777777" w:rsidR="00547138" w:rsidRPr="003A3374" w:rsidRDefault="00547138" w:rsidP="00547138">
                  <w:pPr>
                    <w:pStyle w:val="TableText0"/>
                  </w:pPr>
                  <w:r w:rsidRPr="003A3374">
                    <w:t>Paper/board</w:t>
                  </w:r>
                </w:p>
              </w:tc>
              <w:tc>
                <w:tcPr>
                  <w:tcW w:w="2594" w:type="dxa"/>
                  <w:tcBorders>
                    <w:top w:val="single" w:sz="8" w:space="0" w:color="000000" w:themeColor="text1"/>
                  </w:tcBorders>
                </w:tcPr>
                <w:p w14:paraId="310771B6" w14:textId="77777777" w:rsidR="00547138" w:rsidRPr="003A3374" w:rsidRDefault="00547138" w:rsidP="00547138">
                  <w:pPr>
                    <w:pStyle w:val="TableText0"/>
                    <w:cnfStyle w:val="000000000000" w:firstRow="0" w:lastRow="0" w:firstColumn="0" w:lastColumn="0" w:oddVBand="0" w:evenVBand="0" w:oddHBand="0" w:evenHBand="0" w:firstRowFirstColumn="0" w:firstRowLastColumn="0" w:lastRowFirstColumn="0" w:lastRowLastColumn="0"/>
                  </w:pPr>
                  <w:r w:rsidRPr="003A3374">
                    <w:t>£196</w:t>
                  </w:r>
                </w:p>
              </w:tc>
              <w:tc>
                <w:tcPr>
                  <w:tcW w:w="2140" w:type="dxa"/>
                  <w:tcBorders>
                    <w:top w:val="single" w:sz="8" w:space="0" w:color="000000" w:themeColor="text1"/>
                  </w:tcBorders>
                </w:tcPr>
                <w:p w14:paraId="05A22C23" w14:textId="77777777" w:rsidR="00547138" w:rsidRPr="003A3374" w:rsidRDefault="00547138" w:rsidP="00547138">
                  <w:pPr>
                    <w:pStyle w:val="TableText0"/>
                    <w:cnfStyle w:val="000000000000" w:firstRow="0" w:lastRow="0" w:firstColumn="0" w:lastColumn="0" w:oddVBand="0" w:evenVBand="0" w:oddHBand="0" w:evenHBand="0" w:firstRowFirstColumn="0" w:firstRowLastColumn="0" w:lastRowFirstColumn="0" w:lastRowLastColumn="0"/>
                  </w:pPr>
                  <w:r w:rsidRPr="003A3374">
                    <w:t>£0.20</w:t>
                  </w:r>
                </w:p>
              </w:tc>
            </w:tr>
            <w:tr w:rsidR="00547138" w:rsidRPr="003A3374" w14:paraId="54A49FD9" w14:textId="77777777" w:rsidTr="00547138">
              <w:tc>
                <w:tcPr>
                  <w:cnfStyle w:val="001000000000" w:firstRow="0" w:lastRow="0" w:firstColumn="1" w:lastColumn="0" w:oddVBand="0" w:evenVBand="0" w:oddHBand="0" w:evenHBand="0" w:firstRowFirstColumn="0" w:firstRowLastColumn="0" w:lastRowFirstColumn="0" w:lastRowLastColumn="0"/>
                  <w:tcW w:w="2919" w:type="dxa"/>
                </w:tcPr>
                <w:p w14:paraId="141F2D71" w14:textId="77777777" w:rsidR="00547138" w:rsidRPr="003A3374" w:rsidRDefault="00547138" w:rsidP="00547138">
                  <w:pPr>
                    <w:pStyle w:val="TableText0"/>
                  </w:pPr>
                  <w:r w:rsidRPr="003A3374">
                    <w:t>Plastic</w:t>
                  </w:r>
                </w:p>
              </w:tc>
              <w:tc>
                <w:tcPr>
                  <w:tcW w:w="2594" w:type="dxa"/>
                </w:tcPr>
                <w:p w14:paraId="0B1F1229" w14:textId="77777777" w:rsidR="00547138" w:rsidRPr="003A3374" w:rsidRDefault="00547138" w:rsidP="00547138">
                  <w:pPr>
                    <w:pStyle w:val="TableText0"/>
                    <w:cnfStyle w:val="000000000000" w:firstRow="0" w:lastRow="0" w:firstColumn="0" w:lastColumn="0" w:oddVBand="0" w:evenVBand="0" w:oddHBand="0" w:evenHBand="0" w:firstRowFirstColumn="0" w:firstRowLastColumn="0" w:lastRowFirstColumn="0" w:lastRowLastColumn="0"/>
                  </w:pPr>
                  <w:r w:rsidRPr="003A3374">
                    <w:t>£423</w:t>
                  </w:r>
                </w:p>
              </w:tc>
              <w:tc>
                <w:tcPr>
                  <w:tcW w:w="2140" w:type="dxa"/>
                </w:tcPr>
                <w:p w14:paraId="420854A9" w14:textId="77777777" w:rsidR="00547138" w:rsidRPr="003A3374" w:rsidRDefault="00547138" w:rsidP="00547138">
                  <w:pPr>
                    <w:pStyle w:val="TableText0"/>
                    <w:cnfStyle w:val="000000000000" w:firstRow="0" w:lastRow="0" w:firstColumn="0" w:lastColumn="0" w:oddVBand="0" w:evenVBand="0" w:oddHBand="0" w:evenHBand="0" w:firstRowFirstColumn="0" w:firstRowLastColumn="0" w:lastRowFirstColumn="0" w:lastRowLastColumn="0"/>
                  </w:pPr>
                  <w:r w:rsidRPr="003A3374">
                    <w:t>£0.42</w:t>
                  </w:r>
                </w:p>
              </w:tc>
            </w:tr>
            <w:tr w:rsidR="00547138" w:rsidRPr="003A3374" w14:paraId="61D4F713" w14:textId="77777777" w:rsidTr="00547138">
              <w:tc>
                <w:tcPr>
                  <w:cnfStyle w:val="001000000000" w:firstRow="0" w:lastRow="0" w:firstColumn="1" w:lastColumn="0" w:oddVBand="0" w:evenVBand="0" w:oddHBand="0" w:evenHBand="0" w:firstRowFirstColumn="0" w:firstRowLastColumn="0" w:lastRowFirstColumn="0" w:lastRowLastColumn="0"/>
                  <w:tcW w:w="2919" w:type="dxa"/>
                </w:tcPr>
                <w:p w14:paraId="4A953A79" w14:textId="77777777" w:rsidR="00547138" w:rsidRPr="003A3374" w:rsidRDefault="00547138" w:rsidP="00547138">
                  <w:pPr>
                    <w:pStyle w:val="TableText0"/>
                  </w:pPr>
                  <w:r w:rsidRPr="003A3374">
                    <w:t>Glass</w:t>
                  </w:r>
                </w:p>
              </w:tc>
              <w:tc>
                <w:tcPr>
                  <w:tcW w:w="2594" w:type="dxa"/>
                </w:tcPr>
                <w:p w14:paraId="59F10A59" w14:textId="77777777" w:rsidR="00547138" w:rsidRPr="003A3374" w:rsidRDefault="00547138" w:rsidP="00547138">
                  <w:pPr>
                    <w:pStyle w:val="TableText0"/>
                    <w:cnfStyle w:val="000000000000" w:firstRow="0" w:lastRow="0" w:firstColumn="0" w:lastColumn="0" w:oddVBand="0" w:evenVBand="0" w:oddHBand="0" w:evenHBand="0" w:firstRowFirstColumn="0" w:firstRowLastColumn="0" w:lastRowFirstColumn="0" w:lastRowLastColumn="0"/>
                  </w:pPr>
                  <w:r w:rsidRPr="003A3374">
                    <w:t>£192</w:t>
                  </w:r>
                </w:p>
              </w:tc>
              <w:tc>
                <w:tcPr>
                  <w:tcW w:w="2140" w:type="dxa"/>
                </w:tcPr>
                <w:p w14:paraId="0F26E2BC" w14:textId="77777777" w:rsidR="00547138" w:rsidRPr="003A3374" w:rsidRDefault="00547138" w:rsidP="00547138">
                  <w:pPr>
                    <w:pStyle w:val="TableText0"/>
                    <w:cnfStyle w:val="000000000000" w:firstRow="0" w:lastRow="0" w:firstColumn="0" w:lastColumn="0" w:oddVBand="0" w:evenVBand="0" w:oddHBand="0" w:evenHBand="0" w:firstRowFirstColumn="0" w:firstRowLastColumn="0" w:lastRowFirstColumn="0" w:lastRowLastColumn="0"/>
                  </w:pPr>
                  <w:r w:rsidRPr="003A3374">
                    <w:t>£0.19</w:t>
                  </w:r>
                </w:p>
              </w:tc>
            </w:tr>
            <w:tr w:rsidR="00547138" w:rsidRPr="003A3374" w14:paraId="6CD49A0F" w14:textId="77777777" w:rsidTr="00547138">
              <w:tc>
                <w:tcPr>
                  <w:cnfStyle w:val="001000000000" w:firstRow="0" w:lastRow="0" w:firstColumn="1" w:lastColumn="0" w:oddVBand="0" w:evenVBand="0" w:oddHBand="0" w:evenHBand="0" w:firstRowFirstColumn="0" w:firstRowLastColumn="0" w:lastRowFirstColumn="0" w:lastRowLastColumn="0"/>
                  <w:tcW w:w="2919" w:type="dxa"/>
                </w:tcPr>
                <w:p w14:paraId="42177742" w14:textId="77777777" w:rsidR="00547138" w:rsidRPr="003A3374" w:rsidRDefault="00547138" w:rsidP="00547138">
                  <w:pPr>
                    <w:pStyle w:val="TableText0"/>
                  </w:pPr>
                  <w:r w:rsidRPr="003A3374">
                    <w:t>Aluminium</w:t>
                  </w:r>
                </w:p>
              </w:tc>
              <w:tc>
                <w:tcPr>
                  <w:tcW w:w="2594" w:type="dxa"/>
                </w:tcPr>
                <w:p w14:paraId="1946F346" w14:textId="77777777" w:rsidR="00547138" w:rsidRPr="003A3374" w:rsidRDefault="00547138" w:rsidP="00547138">
                  <w:pPr>
                    <w:pStyle w:val="TableText0"/>
                    <w:cnfStyle w:val="000000000000" w:firstRow="0" w:lastRow="0" w:firstColumn="0" w:lastColumn="0" w:oddVBand="0" w:evenVBand="0" w:oddHBand="0" w:evenHBand="0" w:firstRowFirstColumn="0" w:firstRowLastColumn="0" w:lastRowFirstColumn="0" w:lastRowLastColumn="0"/>
                  </w:pPr>
                  <w:r w:rsidRPr="003A3374">
                    <w:t>£266</w:t>
                  </w:r>
                </w:p>
              </w:tc>
              <w:tc>
                <w:tcPr>
                  <w:tcW w:w="2140" w:type="dxa"/>
                </w:tcPr>
                <w:p w14:paraId="51EF852B" w14:textId="77777777" w:rsidR="00547138" w:rsidRPr="003A3374" w:rsidRDefault="00547138" w:rsidP="00547138">
                  <w:pPr>
                    <w:pStyle w:val="TableText0"/>
                    <w:cnfStyle w:val="000000000000" w:firstRow="0" w:lastRow="0" w:firstColumn="0" w:lastColumn="0" w:oddVBand="0" w:evenVBand="0" w:oddHBand="0" w:evenHBand="0" w:firstRowFirstColumn="0" w:firstRowLastColumn="0" w:lastRowFirstColumn="0" w:lastRowLastColumn="0"/>
                  </w:pPr>
                  <w:r w:rsidRPr="003A3374">
                    <w:t>£0.27</w:t>
                  </w:r>
                </w:p>
              </w:tc>
            </w:tr>
            <w:tr w:rsidR="00547138" w:rsidRPr="003A3374" w14:paraId="670D6D02" w14:textId="77777777" w:rsidTr="00547138">
              <w:tc>
                <w:tcPr>
                  <w:cnfStyle w:val="001000000000" w:firstRow="0" w:lastRow="0" w:firstColumn="1" w:lastColumn="0" w:oddVBand="0" w:evenVBand="0" w:oddHBand="0" w:evenHBand="0" w:firstRowFirstColumn="0" w:firstRowLastColumn="0" w:lastRowFirstColumn="0" w:lastRowLastColumn="0"/>
                  <w:tcW w:w="2919" w:type="dxa"/>
                </w:tcPr>
                <w:p w14:paraId="332730AE" w14:textId="77777777" w:rsidR="00547138" w:rsidRPr="003A3374" w:rsidRDefault="00547138" w:rsidP="00547138">
                  <w:pPr>
                    <w:pStyle w:val="TableText0"/>
                  </w:pPr>
                  <w:r w:rsidRPr="003A3374">
                    <w:t>Steel</w:t>
                  </w:r>
                </w:p>
              </w:tc>
              <w:tc>
                <w:tcPr>
                  <w:tcW w:w="2594" w:type="dxa"/>
                </w:tcPr>
                <w:p w14:paraId="0183472D" w14:textId="77777777" w:rsidR="00547138" w:rsidRPr="003A3374" w:rsidRDefault="00547138" w:rsidP="00547138">
                  <w:pPr>
                    <w:pStyle w:val="TableText0"/>
                    <w:cnfStyle w:val="000000000000" w:firstRow="0" w:lastRow="0" w:firstColumn="0" w:lastColumn="0" w:oddVBand="0" w:evenVBand="0" w:oddHBand="0" w:evenHBand="0" w:firstRowFirstColumn="0" w:firstRowLastColumn="0" w:lastRowFirstColumn="0" w:lastRowLastColumn="0"/>
                  </w:pPr>
                  <w:r w:rsidRPr="003A3374">
                    <w:t>£259</w:t>
                  </w:r>
                </w:p>
              </w:tc>
              <w:tc>
                <w:tcPr>
                  <w:tcW w:w="2140" w:type="dxa"/>
                </w:tcPr>
                <w:p w14:paraId="244E3329" w14:textId="77777777" w:rsidR="00547138" w:rsidRPr="003A3374" w:rsidRDefault="00547138" w:rsidP="00547138">
                  <w:pPr>
                    <w:pStyle w:val="TableText0"/>
                    <w:cnfStyle w:val="000000000000" w:firstRow="0" w:lastRow="0" w:firstColumn="0" w:lastColumn="0" w:oddVBand="0" w:evenVBand="0" w:oddHBand="0" w:evenHBand="0" w:firstRowFirstColumn="0" w:firstRowLastColumn="0" w:lastRowFirstColumn="0" w:lastRowLastColumn="0"/>
                  </w:pPr>
                  <w:r w:rsidRPr="003A3374">
                    <w:t>£0.26</w:t>
                  </w:r>
                </w:p>
              </w:tc>
            </w:tr>
            <w:tr w:rsidR="00547138" w:rsidRPr="003A3374" w14:paraId="60766397" w14:textId="77777777" w:rsidTr="00547138">
              <w:tc>
                <w:tcPr>
                  <w:cnfStyle w:val="001000000000" w:firstRow="0" w:lastRow="0" w:firstColumn="1" w:lastColumn="0" w:oddVBand="0" w:evenVBand="0" w:oddHBand="0" w:evenHBand="0" w:firstRowFirstColumn="0" w:firstRowLastColumn="0" w:lastRowFirstColumn="0" w:lastRowLastColumn="0"/>
                  <w:tcW w:w="2919" w:type="dxa"/>
                </w:tcPr>
                <w:p w14:paraId="091BC527" w14:textId="77777777" w:rsidR="00547138" w:rsidRPr="003A3374" w:rsidRDefault="00547138" w:rsidP="00547138">
                  <w:pPr>
                    <w:pStyle w:val="TableText0"/>
                  </w:pPr>
                  <w:r w:rsidRPr="003A3374">
                    <w:t>Wood</w:t>
                  </w:r>
                </w:p>
              </w:tc>
              <w:tc>
                <w:tcPr>
                  <w:tcW w:w="2594" w:type="dxa"/>
                </w:tcPr>
                <w:p w14:paraId="096715AE" w14:textId="77777777" w:rsidR="00547138" w:rsidRPr="003A3374" w:rsidRDefault="00547138" w:rsidP="00547138">
                  <w:pPr>
                    <w:pStyle w:val="TableText0"/>
                    <w:cnfStyle w:val="000000000000" w:firstRow="0" w:lastRow="0" w:firstColumn="0" w:lastColumn="0" w:oddVBand="0" w:evenVBand="0" w:oddHBand="0" w:evenHBand="0" w:firstRowFirstColumn="0" w:firstRowLastColumn="0" w:lastRowFirstColumn="0" w:lastRowLastColumn="0"/>
                  </w:pPr>
                  <w:r w:rsidRPr="003A3374">
                    <w:t>£280</w:t>
                  </w:r>
                </w:p>
              </w:tc>
              <w:tc>
                <w:tcPr>
                  <w:tcW w:w="2140" w:type="dxa"/>
                </w:tcPr>
                <w:p w14:paraId="52B763A4" w14:textId="77777777" w:rsidR="00547138" w:rsidRPr="003A3374" w:rsidRDefault="00547138" w:rsidP="00547138">
                  <w:pPr>
                    <w:pStyle w:val="TableText0"/>
                    <w:cnfStyle w:val="000000000000" w:firstRow="0" w:lastRow="0" w:firstColumn="0" w:lastColumn="0" w:oddVBand="0" w:evenVBand="0" w:oddHBand="0" w:evenHBand="0" w:firstRowFirstColumn="0" w:firstRowLastColumn="0" w:lastRowFirstColumn="0" w:lastRowLastColumn="0"/>
                  </w:pPr>
                  <w:r w:rsidRPr="003A3374">
                    <w:t>£0.28</w:t>
                  </w:r>
                </w:p>
              </w:tc>
            </w:tr>
            <w:tr w:rsidR="00547138" w:rsidRPr="003A3374" w14:paraId="055A1600" w14:textId="77777777" w:rsidTr="00547138">
              <w:tc>
                <w:tcPr>
                  <w:cnfStyle w:val="001000000000" w:firstRow="0" w:lastRow="0" w:firstColumn="1" w:lastColumn="0" w:oddVBand="0" w:evenVBand="0" w:oddHBand="0" w:evenHBand="0" w:firstRowFirstColumn="0" w:firstRowLastColumn="0" w:lastRowFirstColumn="0" w:lastRowLastColumn="0"/>
                  <w:tcW w:w="2919" w:type="dxa"/>
                </w:tcPr>
                <w:p w14:paraId="38D78FF7" w14:textId="77777777" w:rsidR="00547138" w:rsidRPr="003A3374" w:rsidRDefault="00547138" w:rsidP="00547138">
                  <w:pPr>
                    <w:pStyle w:val="TableText0"/>
                  </w:pPr>
                  <w:r w:rsidRPr="003A3374">
                    <w:t>Fibre-based composite</w:t>
                  </w:r>
                </w:p>
              </w:tc>
              <w:tc>
                <w:tcPr>
                  <w:tcW w:w="2594" w:type="dxa"/>
                </w:tcPr>
                <w:p w14:paraId="40BAD717" w14:textId="77777777" w:rsidR="00547138" w:rsidRPr="003A3374" w:rsidRDefault="00547138" w:rsidP="00547138">
                  <w:pPr>
                    <w:pStyle w:val="TableText0"/>
                    <w:cnfStyle w:val="000000000000" w:firstRow="0" w:lastRow="0" w:firstColumn="0" w:lastColumn="0" w:oddVBand="0" w:evenVBand="0" w:oddHBand="0" w:evenHBand="0" w:firstRowFirstColumn="0" w:firstRowLastColumn="0" w:lastRowFirstColumn="0" w:lastRowLastColumn="0"/>
                  </w:pPr>
                  <w:r w:rsidRPr="003A3374">
                    <w:t>£461</w:t>
                  </w:r>
                </w:p>
              </w:tc>
              <w:tc>
                <w:tcPr>
                  <w:tcW w:w="2140" w:type="dxa"/>
                </w:tcPr>
                <w:p w14:paraId="5ADA5775" w14:textId="77777777" w:rsidR="00547138" w:rsidRPr="003A3374" w:rsidRDefault="00547138" w:rsidP="00547138">
                  <w:pPr>
                    <w:pStyle w:val="TableText0"/>
                    <w:cnfStyle w:val="000000000000" w:firstRow="0" w:lastRow="0" w:firstColumn="0" w:lastColumn="0" w:oddVBand="0" w:evenVBand="0" w:oddHBand="0" w:evenHBand="0" w:firstRowFirstColumn="0" w:firstRowLastColumn="0" w:lastRowFirstColumn="0" w:lastRowLastColumn="0"/>
                  </w:pPr>
                  <w:r w:rsidRPr="003A3374">
                    <w:t>£0.46</w:t>
                  </w:r>
                </w:p>
              </w:tc>
            </w:tr>
            <w:tr w:rsidR="00547138" w:rsidRPr="003A3374" w14:paraId="4F7513C2" w14:textId="77777777" w:rsidTr="00547138">
              <w:tc>
                <w:tcPr>
                  <w:cnfStyle w:val="001000000000" w:firstRow="0" w:lastRow="0" w:firstColumn="1" w:lastColumn="0" w:oddVBand="0" w:evenVBand="0" w:oddHBand="0" w:evenHBand="0" w:firstRowFirstColumn="0" w:firstRowLastColumn="0" w:lastRowFirstColumn="0" w:lastRowLastColumn="0"/>
                  <w:tcW w:w="2919" w:type="dxa"/>
                </w:tcPr>
                <w:p w14:paraId="6C0AA017" w14:textId="77777777" w:rsidR="00547138" w:rsidRPr="003A3374" w:rsidRDefault="00547138" w:rsidP="00547138">
                  <w:pPr>
                    <w:pStyle w:val="TableText0"/>
                  </w:pPr>
                  <w:r w:rsidRPr="003A3374">
                    <w:t>Other materials</w:t>
                  </w:r>
                </w:p>
              </w:tc>
              <w:tc>
                <w:tcPr>
                  <w:tcW w:w="2594" w:type="dxa"/>
                </w:tcPr>
                <w:p w14:paraId="6EAC84FE" w14:textId="77777777" w:rsidR="00547138" w:rsidRPr="003A3374" w:rsidRDefault="00547138" w:rsidP="00547138">
                  <w:pPr>
                    <w:pStyle w:val="TableText0"/>
                    <w:cnfStyle w:val="000000000000" w:firstRow="0" w:lastRow="0" w:firstColumn="0" w:lastColumn="0" w:oddVBand="0" w:evenVBand="0" w:oddHBand="0" w:evenHBand="0" w:firstRowFirstColumn="0" w:firstRowLastColumn="0" w:lastRowFirstColumn="0" w:lastRowLastColumn="0"/>
                  </w:pPr>
                  <w:r w:rsidRPr="003A3374">
                    <w:t>£259</w:t>
                  </w:r>
                </w:p>
              </w:tc>
              <w:tc>
                <w:tcPr>
                  <w:tcW w:w="2140" w:type="dxa"/>
                </w:tcPr>
                <w:p w14:paraId="6B77012D" w14:textId="77777777" w:rsidR="00547138" w:rsidRPr="003A3374" w:rsidRDefault="00547138" w:rsidP="00547138">
                  <w:pPr>
                    <w:pStyle w:val="TableText0"/>
                    <w:cnfStyle w:val="000000000000" w:firstRow="0" w:lastRow="0" w:firstColumn="0" w:lastColumn="0" w:oddVBand="0" w:evenVBand="0" w:oddHBand="0" w:evenHBand="0" w:firstRowFirstColumn="0" w:firstRowLastColumn="0" w:lastRowFirstColumn="0" w:lastRowLastColumn="0"/>
                  </w:pPr>
                  <w:r w:rsidRPr="003A3374">
                    <w:t>£0.26</w:t>
                  </w:r>
                </w:p>
              </w:tc>
            </w:tr>
          </w:tbl>
          <w:p w14:paraId="76A1BEF2" w14:textId="77777777" w:rsidR="00547138" w:rsidRPr="003A3374" w:rsidRDefault="00547138" w:rsidP="00A8292A">
            <w:pPr>
              <w:pStyle w:val="Tableplaceholder"/>
            </w:pPr>
          </w:p>
        </w:tc>
      </w:tr>
      <w:tr w:rsidR="00547138" w:rsidRPr="003A3374" w14:paraId="102C79EA" w14:textId="77777777" w:rsidTr="00547138">
        <w:trPr>
          <w:cantSplit/>
        </w:trPr>
        <w:tc>
          <w:tcPr>
            <w:tcW w:w="7654" w:type="dxa"/>
            <w:tcBorders>
              <w:top w:val="single" w:sz="8" w:space="0" w:color="000000" w:themeColor="text1"/>
            </w:tcBorders>
          </w:tcPr>
          <w:p w14:paraId="18765F23" w14:textId="61C8F94E" w:rsidR="00547138" w:rsidRPr="003A3374" w:rsidRDefault="00547138" w:rsidP="00547138">
            <w:pPr>
              <w:pStyle w:val="TableSource"/>
            </w:pPr>
            <w:r w:rsidRPr="003A3374">
              <w:t xml:space="preserve">Source: </w:t>
            </w:r>
            <w:r w:rsidR="00080E81" w:rsidRPr="003A3374">
              <w:t>UK Department for Environment</w:t>
            </w:r>
          </w:p>
        </w:tc>
      </w:tr>
      <w:bookmarkEnd w:id="98"/>
    </w:tbl>
    <w:p w14:paraId="154DC254" w14:textId="77777777" w:rsidR="00547138" w:rsidRPr="003A3374" w:rsidRDefault="00547138" w:rsidP="00694885">
      <w:pPr>
        <w:pStyle w:val="Tablespaceafter"/>
      </w:pPr>
    </w:p>
    <w:p w14:paraId="762634B0" w14:textId="65F9F596" w:rsidR="00007BEB" w:rsidRPr="003A3374" w:rsidRDefault="00377E04" w:rsidP="008B2DFF">
      <w:pPr>
        <w:pStyle w:val="BodyText"/>
      </w:pPr>
      <w:r w:rsidRPr="003A3374">
        <w:t>Note that</w:t>
      </w:r>
      <w:r w:rsidR="009D7439" w:rsidRPr="003A3374">
        <w:t xml:space="preserve"> </w:t>
      </w:r>
      <w:r w:rsidRPr="003A3374">
        <w:t xml:space="preserve">the EPR fees for glass and aluminium have decreased from the </w:t>
      </w:r>
      <w:r w:rsidR="008B2DFF" w:rsidRPr="003A3374">
        <w:t xml:space="preserve">draft </w:t>
      </w:r>
      <w:r w:rsidRPr="003A3374">
        <w:t>rates that w</w:t>
      </w:r>
      <w:r w:rsidR="00AD67E9" w:rsidRPr="003A3374">
        <w:t>e discussed</w:t>
      </w:r>
      <w:r w:rsidR="003D5B09" w:rsidRPr="003A3374">
        <w:t xml:space="preserve"> for Fever-Tree</w:t>
      </w:r>
      <w:r w:rsidR="00CE75F8" w:rsidRPr="003A3374">
        <w:t xml:space="preserve"> in</w:t>
      </w:r>
      <w:r w:rsidR="00AD67E9" w:rsidRPr="003A3374">
        <w:t xml:space="preserve"> ‘</w:t>
      </w:r>
      <w:hyperlink r:id="rId77" w:history="1">
        <w:r w:rsidR="00CE75F8" w:rsidRPr="003A3374">
          <w:rPr>
            <w:rStyle w:val="Hyperlink"/>
          </w:rPr>
          <w:t>Post FY24 results: RTDs and EPR</w:t>
        </w:r>
      </w:hyperlink>
      <w:r w:rsidR="00CE75F8" w:rsidRPr="003A3374">
        <w:t xml:space="preserve">’ </w:t>
      </w:r>
      <w:r w:rsidR="00AD67E9" w:rsidRPr="003A3374">
        <w:t>(</w:t>
      </w:r>
      <w:r w:rsidR="00CE75F8" w:rsidRPr="003A3374">
        <w:t>1 April 2025</w:t>
      </w:r>
      <w:r w:rsidR="00AD67E9" w:rsidRPr="003A3374">
        <w:t>)</w:t>
      </w:r>
      <w:r w:rsidR="00CE75F8" w:rsidRPr="003A3374">
        <w:t xml:space="preserve">, which </w:t>
      </w:r>
      <w:r w:rsidR="003D5B09" w:rsidRPr="003A3374">
        <w:t>were</w:t>
      </w:r>
      <w:r w:rsidR="00CE75F8" w:rsidRPr="003A3374">
        <w:t xml:space="preserve"> </w:t>
      </w:r>
      <w:r w:rsidR="009D7439" w:rsidRPr="003A3374">
        <w:t xml:space="preserve">far more </w:t>
      </w:r>
      <w:r w:rsidR="00CE75F8" w:rsidRPr="003A3374">
        <w:t>punitive</w:t>
      </w:r>
      <w:r w:rsidR="00AD67E9" w:rsidRPr="003A3374">
        <w:t xml:space="preserve"> </w:t>
      </w:r>
      <w:r w:rsidR="00080E81" w:rsidRPr="003A3374">
        <w:t>(the draft rates from UK Department for Environment were originally £240 per tonne for glass and £435 per tonne for aluminium).</w:t>
      </w:r>
      <w:r w:rsidRPr="003A3374">
        <w:t xml:space="preserve"> </w:t>
      </w:r>
      <w:r w:rsidR="00AD67E9" w:rsidRPr="003A3374">
        <w:t xml:space="preserve">The </w:t>
      </w:r>
      <w:r w:rsidR="009B4DB5" w:rsidRPr="003A3374">
        <w:t xml:space="preserve">initial </w:t>
      </w:r>
      <w:r w:rsidR="00AD67E9" w:rsidRPr="003A3374">
        <w:t xml:space="preserve">design </w:t>
      </w:r>
      <w:r w:rsidR="009B4DB5" w:rsidRPr="003A3374">
        <w:t xml:space="preserve">was </w:t>
      </w:r>
      <w:r w:rsidR="00AD67E9" w:rsidRPr="003A3374">
        <w:t xml:space="preserve">a bit </w:t>
      </w:r>
      <w:r w:rsidR="009447DA" w:rsidRPr="003A3374">
        <w:t>odd</w:t>
      </w:r>
      <w:r w:rsidR="00AD67E9" w:rsidRPr="003A3374">
        <w:t xml:space="preserve"> given the purpose of EPR is to promote a circular economy, but </w:t>
      </w:r>
      <w:r w:rsidR="009D7439" w:rsidRPr="003A3374">
        <w:t>as</w:t>
      </w:r>
      <w:r w:rsidR="008B2DFF" w:rsidRPr="003A3374">
        <w:t xml:space="preserve"> EPR is based on weight and </w:t>
      </w:r>
      <w:r w:rsidR="00AD67E9" w:rsidRPr="003A3374">
        <w:t xml:space="preserve">glass </w:t>
      </w:r>
      <w:r w:rsidR="008B2DFF" w:rsidRPr="003A3374">
        <w:t xml:space="preserve">is naturally heavy it </w:t>
      </w:r>
      <w:r w:rsidR="009B4DB5" w:rsidRPr="003A3374">
        <w:t>was</w:t>
      </w:r>
      <w:r w:rsidR="00AD67E9" w:rsidRPr="003A3374">
        <w:t xml:space="preserve"> punished</w:t>
      </w:r>
      <w:r w:rsidR="009D7439" w:rsidRPr="003A3374">
        <w:t>,</w:t>
      </w:r>
      <w:r w:rsidR="00AD67E9" w:rsidRPr="003A3374">
        <w:t xml:space="preserve"> even though </w:t>
      </w:r>
      <w:r w:rsidR="008B2DFF" w:rsidRPr="003A3374">
        <w:t xml:space="preserve">glass </w:t>
      </w:r>
      <w:r w:rsidR="00AD67E9" w:rsidRPr="003A3374">
        <w:t>can theoretically be recycled an infinite number of times</w:t>
      </w:r>
      <w:r w:rsidR="00CB78B0" w:rsidRPr="003A3374">
        <w:t xml:space="preserve"> and has a high collection rate</w:t>
      </w:r>
      <w:r w:rsidR="00AD67E9" w:rsidRPr="003A3374">
        <w:t>, whereas PET bottles cannot</w:t>
      </w:r>
      <w:r w:rsidR="009456B1" w:rsidRPr="003A3374">
        <w:t xml:space="preserve"> and have a lower collection rate</w:t>
      </w:r>
      <w:r w:rsidR="00AD67E9" w:rsidRPr="003A3374">
        <w:t>.</w:t>
      </w:r>
    </w:p>
    <w:p w14:paraId="1B093B4D" w14:textId="0DF153C5" w:rsidR="008C2BA0" w:rsidRPr="003A3374" w:rsidRDefault="008131EC" w:rsidP="00AD67E9">
      <w:pPr>
        <w:pStyle w:val="BodyText"/>
      </w:pPr>
      <w:r w:rsidRPr="003A3374">
        <w:t xml:space="preserve">CCEP does not provide enough </w:t>
      </w:r>
      <w:r w:rsidR="006B127F" w:rsidRPr="003A3374">
        <w:t>data</w:t>
      </w:r>
      <w:r w:rsidRPr="003A3374">
        <w:t xml:space="preserve"> to calculate the impact of EPR, but </w:t>
      </w:r>
      <w:r w:rsidR="008C2BA0" w:rsidRPr="003A3374">
        <w:t>we expect that it will have a modest impact in</w:t>
      </w:r>
      <w:r w:rsidRPr="003A3374">
        <w:t xml:space="preserve"> Great Britain</w:t>
      </w:r>
      <w:r w:rsidR="008C2BA0" w:rsidRPr="003A3374">
        <w:t xml:space="preserve"> as glass is only c2% of volumes.</w:t>
      </w:r>
    </w:p>
    <w:p w14:paraId="04D41192" w14:textId="20515CE5" w:rsidR="00BE03AA" w:rsidRPr="003A3374" w:rsidRDefault="008131EC" w:rsidP="00AD67E9">
      <w:pPr>
        <w:pStyle w:val="BodyText"/>
      </w:pPr>
      <w:r w:rsidRPr="003A3374">
        <w:t xml:space="preserve">For </w:t>
      </w:r>
      <w:r w:rsidR="00801785" w:rsidRPr="003A3374">
        <w:t>reference</w:t>
      </w:r>
      <w:r w:rsidRPr="003A3374">
        <w:t xml:space="preserve">, Fever-Tree estimates that EPR will add </w:t>
      </w:r>
      <w:r w:rsidR="008C2BA0" w:rsidRPr="003A3374">
        <w:t>c</w:t>
      </w:r>
      <w:r w:rsidRPr="003A3374">
        <w:t>£1.5m of costs</w:t>
      </w:r>
      <w:r w:rsidR="00AC298A" w:rsidRPr="003A3374">
        <w:t xml:space="preserve"> (worth c1.4% of total UK sales)</w:t>
      </w:r>
      <w:r w:rsidRPr="003A3374">
        <w:t xml:space="preserve"> </w:t>
      </w:r>
      <w:r w:rsidR="00AC298A" w:rsidRPr="003A3374">
        <w:t>to</w:t>
      </w:r>
      <w:r w:rsidRPr="003A3374">
        <w:t xml:space="preserve"> </w:t>
      </w:r>
      <w:r w:rsidR="00AC298A" w:rsidRPr="003A3374">
        <w:t>its</w:t>
      </w:r>
      <w:r w:rsidRPr="003A3374">
        <w:t xml:space="preserve"> UK off-trade </w:t>
      </w:r>
      <w:r w:rsidR="00AC298A" w:rsidRPr="003A3374">
        <w:t xml:space="preserve">business </w:t>
      </w:r>
      <w:r w:rsidRPr="003A3374">
        <w:t xml:space="preserve">and if </w:t>
      </w:r>
      <w:r w:rsidR="00703012" w:rsidRPr="003A3374">
        <w:t>EPR extends to</w:t>
      </w:r>
      <w:r w:rsidRPr="003A3374">
        <w:t xml:space="preserve"> the on-trade (which is an open debate with the UK government) this would add a further </w:t>
      </w:r>
      <w:r w:rsidR="008C2BA0" w:rsidRPr="003A3374">
        <w:t>c</w:t>
      </w:r>
      <w:r w:rsidRPr="003A3374">
        <w:t xml:space="preserve">£3m of costs (c2.7% of UK sales, </w:t>
      </w:r>
      <w:r w:rsidR="00703012" w:rsidRPr="003A3374">
        <w:t>bringing</w:t>
      </w:r>
      <w:r w:rsidRPr="003A3374">
        <w:t xml:space="preserve"> the </w:t>
      </w:r>
      <w:r w:rsidR="00FE22D8" w:rsidRPr="003A3374">
        <w:t xml:space="preserve">total </w:t>
      </w:r>
      <w:r w:rsidRPr="003A3374">
        <w:t xml:space="preserve">potential </w:t>
      </w:r>
      <w:r w:rsidR="00703012" w:rsidRPr="003A3374">
        <w:t>EPR costs</w:t>
      </w:r>
      <w:r w:rsidRPr="003A3374">
        <w:t xml:space="preserve"> to c4.1% of Fever-Tree’s UK sales).</w:t>
      </w:r>
      <w:r w:rsidR="00346641" w:rsidRPr="003A3374">
        <w:t xml:space="preserve"> Fever-Tree is much more skewed towards glass than CCGB is, </w:t>
      </w:r>
      <w:r w:rsidR="00BD645C" w:rsidRPr="003A3374">
        <w:t xml:space="preserve">so we would expect </w:t>
      </w:r>
      <w:r w:rsidR="008C2BA0" w:rsidRPr="003A3374">
        <w:t xml:space="preserve">that </w:t>
      </w:r>
      <w:r w:rsidR="00BD645C" w:rsidRPr="003A3374">
        <w:t>the EPR cost for CCGB will be lower as a percentage of sales.</w:t>
      </w:r>
    </w:p>
    <w:p w14:paraId="4D29BC88" w14:textId="77777777" w:rsidR="00900FDE" w:rsidRPr="003A3374" w:rsidRDefault="00C93E24" w:rsidP="00AD67E9">
      <w:pPr>
        <w:pStyle w:val="BodyText"/>
      </w:pPr>
      <w:r w:rsidRPr="003A3374">
        <w:t>From</w:t>
      </w:r>
      <w:r w:rsidR="00A20242" w:rsidRPr="003A3374">
        <w:t xml:space="preserve"> October</w:t>
      </w:r>
      <w:r w:rsidRPr="003A3374">
        <w:t xml:space="preserve"> 2026</w:t>
      </w:r>
      <w:r w:rsidR="00A20242" w:rsidRPr="003A3374">
        <w:t>,</w:t>
      </w:r>
      <w:r w:rsidRPr="003A3374">
        <w:t xml:space="preserve"> EPR could become </w:t>
      </w:r>
      <w:r w:rsidR="00A20242" w:rsidRPr="003A3374">
        <w:t xml:space="preserve">even </w:t>
      </w:r>
      <w:r w:rsidRPr="003A3374">
        <w:t xml:space="preserve">more complicated with fee modulation </w:t>
      </w:r>
      <w:r w:rsidR="00A20242" w:rsidRPr="003A3374">
        <w:t>under</w:t>
      </w:r>
      <w:r w:rsidRPr="003A3374">
        <w:t xml:space="preserve"> a new traffic-light grading system called </w:t>
      </w:r>
      <w:r w:rsidR="001307FC" w:rsidRPr="003A3374">
        <w:t>Recyclability Assessment Methodology (RAM).</w:t>
      </w:r>
      <w:r w:rsidR="006463D1" w:rsidRPr="003A3374">
        <w:t xml:space="preserve"> Soft drinks manufacturers must then not only report the weight and material, but also the recyclability class (via RAM) and “nation data” </w:t>
      </w:r>
      <w:r w:rsidR="00FB0030" w:rsidRPr="003A3374">
        <w:t xml:space="preserve">i.e. in </w:t>
      </w:r>
      <w:r w:rsidR="006463D1" w:rsidRPr="003A3374">
        <w:t xml:space="preserve">which UK nation </w:t>
      </w:r>
      <w:r w:rsidR="00FB0030" w:rsidRPr="003A3374">
        <w:t xml:space="preserve">was </w:t>
      </w:r>
      <w:r w:rsidR="006463D1" w:rsidRPr="003A3374">
        <w:t xml:space="preserve">the packaging supplied in, and </w:t>
      </w:r>
      <w:r w:rsidR="00FB0030" w:rsidRPr="003A3374">
        <w:t xml:space="preserve">in </w:t>
      </w:r>
      <w:r w:rsidR="006463D1" w:rsidRPr="003A3374">
        <w:t xml:space="preserve">which nation </w:t>
      </w:r>
      <w:r w:rsidR="00FB0030" w:rsidRPr="003A3374">
        <w:t xml:space="preserve">was </w:t>
      </w:r>
      <w:r w:rsidR="006463D1" w:rsidRPr="003A3374">
        <w:t>the packaging discarded in</w:t>
      </w:r>
      <w:r w:rsidR="00FB0030" w:rsidRPr="003A3374">
        <w:t>.</w:t>
      </w:r>
      <w:r w:rsidR="00272CFE" w:rsidRPr="003A3374">
        <w:t xml:space="preserve"> </w:t>
      </w:r>
    </w:p>
    <w:p w14:paraId="57C82321" w14:textId="66E72956" w:rsidR="00703012" w:rsidRPr="003A3374" w:rsidRDefault="00272CFE" w:rsidP="00AD67E9">
      <w:pPr>
        <w:pStyle w:val="BodyText"/>
      </w:pPr>
      <w:r w:rsidRPr="003A3374">
        <w:t>We have no idea how th</w:t>
      </w:r>
      <w:r w:rsidR="00534C2D" w:rsidRPr="003A3374">
        <w:t xml:space="preserve">is disposal data </w:t>
      </w:r>
      <w:r w:rsidRPr="003A3374">
        <w:t xml:space="preserve">will be </w:t>
      </w:r>
      <w:r w:rsidR="00222AF6" w:rsidRPr="003A3374">
        <w:t xml:space="preserve">accurately </w:t>
      </w:r>
      <w:r w:rsidRPr="003A3374">
        <w:t>collected in practice, but regardless,</w:t>
      </w:r>
      <w:r w:rsidR="006463D1" w:rsidRPr="003A3374">
        <w:t xml:space="preserve"> </w:t>
      </w:r>
      <w:r w:rsidRPr="003A3374">
        <w:t>t</w:t>
      </w:r>
      <w:r w:rsidR="00310FF9" w:rsidRPr="003A3374">
        <w:t>his will further increase the reporting burden for CCGB</w:t>
      </w:r>
      <w:r w:rsidRPr="003A3374">
        <w:t>. I</w:t>
      </w:r>
      <w:r w:rsidR="00310FF9" w:rsidRPr="003A3374">
        <w:t xml:space="preserve">t may </w:t>
      </w:r>
      <w:r w:rsidRPr="003A3374">
        <w:t xml:space="preserve">also </w:t>
      </w:r>
      <w:r w:rsidR="00310FF9" w:rsidRPr="003A3374">
        <w:t>lead to packaging alterations to, for example, shift a pack from “amber” to “green” under the RAM system.</w:t>
      </w:r>
    </w:p>
    <w:p w14:paraId="2FAD2E86" w14:textId="2DF26321" w:rsidR="00851DA0" w:rsidRPr="003A3374" w:rsidRDefault="00C32DA9" w:rsidP="00C32DA9">
      <w:pPr>
        <w:pStyle w:val="BodyText"/>
      </w:pPr>
      <w:r w:rsidRPr="003A3374">
        <w:t>In conclusion, t</w:t>
      </w:r>
      <w:r w:rsidR="00D566AA" w:rsidRPr="003A3374">
        <w:t xml:space="preserve">he regulatory burden of operating in the UK soft drinks market </w:t>
      </w:r>
      <w:r w:rsidRPr="003A3374">
        <w:t>is set to increase dramatically. We expect the large incumbents like CCGB and Carlsberg-</w:t>
      </w:r>
      <w:r w:rsidRPr="003A3374">
        <w:lastRenderedPageBreak/>
        <w:t>Britvic will be able to navigate these challenges and</w:t>
      </w:r>
      <w:r w:rsidR="00390482" w:rsidRPr="003A3374">
        <w:t>,</w:t>
      </w:r>
      <w:r w:rsidRPr="003A3374">
        <w:t xml:space="preserve"> perhaps positively, the rising regulatory burden could cement the position of the incumbents.</w:t>
      </w:r>
      <w:r w:rsidR="007C250A" w:rsidRPr="003A3374">
        <w:t xml:space="preserve"> </w:t>
      </w:r>
    </w:p>
    <w:p w14:paraId="71ABAEE8" w14:textId="1182C92E" w:rsidR="00885C78" w:rsidRPr="003A3374" w:rsidRDefault="007C250A" w:rsidP="00C32DA9">
      <w:pPr>
        <w:pStyle w:val="BodyText"/>
      </w:pPr>
      <w:r w:rsidRPr="003A3374">
        <w:t>It will also be interesting to see how the grocers navigate these challenges with their private label offerings – the per unit ‘regulation cost’ will rise,</w:t>
      </w:r>
      <w:r w:rsidR="00A43364" w:rsidRPr="003A3374">
        <w:t xml:space="preserve"> knocking the already low profitability of </w:t>
      </w:r>
      <w:r w:rsidR="00390482" w:rsidRPr="003A3374">
        <w:t xml:space="preserve">their </w:t>
      </w:r>
      <w:r w:rsidR="00A43364" w:rsidRPr="003A3374">
        <w:t xml:space="preserve">private label soft drinks. This </w:t>
      </w:r>
      <w:r w:rsidRPr="003A3374">
        <w:t>mean</w:t>
      </w:r>
      <w:r w:rsidR="00A43364" w:rsidRPr="003A3374">
        <w:t xml:space="preserve">s </w:t>
      </w:r>
      <w:r w:rsidRPr="003A3374">
        <w:t>that the grocers could prune</w:t>
      </w:r>
      <w:r w:rsidR="00A43364" w:rsidRPr="003A3374">
        <w:t xml:space="preserve"> their</w:t>
      </w:r>
      <w:r w:rsidRPr="003A3374">
        <w:t xml:space="preserve"> low velocity private label SKUS, which could benefit the branded </w:t>
      </w:r>
      <w:r w:rsidR="00851DA0" w:rsidRPr="003A3374">
        <w:t>soft drinks manufacturers</w:t>
      </w:r>
      <w:r w:rsidR="00A43364" w:rsidRPr="003A3374">
        <w:t xml:space="preserve"> by freeing up shelf space</w:t>
      </w:r>
      <w:r w:rsidRPr="003A3374">
        <w:t>.</w:t>
      </w:r>
    </w:p>
    <w:p w14:paraId="7F8BF3BD" w14:textId="77777777" w:rsidR="00623146" w:rsidRPr="003A3374" w:rsidRDefault="00623146" w:rsidP="00747CB8">
      <w:pPr>
        <w:pStyle w:val="Heading10"/>
      </w:pPr>
      <w:bookmarkStart w:id="100" w:name="_Toc214545144"/>
      <w:r w:rsidRPr="003A3374">
        <w:t>Updated estimates</w:t>
      </w:r>
      <w:bookmarkEnd w:id="100"/>
    </w:p>
    <w:p w14:paraId="275A1EE0" w14:textId="11BD3C76" w:rsidR="00E75074" w:rsidRPr="003A3374" w:rsidRDefault="008F07D3" w:rsidP="00E75074">
      <w:pPr>
        <w:pStyle w:val="BodyText"/>
      </w:pPr>
      <w:r w:rsidRPr="003A3374">
        <w:t>In the 38 years since 1987, organic sales growth has turned negative only nine times for CCGB (</w:t>
      </w:r>
      <w:r w:rsidR="00E75074" w:rsidRPr="003A3374">
        <w:t>Fig </w:t>
      </w:r>
      <w:r w:rsidR="00E75074" w:rsidRPr="003A3374">
        <w:fldChar w:fldCharType="begin"/>
      </w:r>
      <w:r w:rsidR="00E75074" w:rsidRPr="003A3374">
        <w:instrText xml:space="preserve"> REF LINK_032203 \h </w:instrText>
      </w:r>
      <w:r w:rsidR="00E75074" w:rsidRPr="003A3374">
        <w:fldChar w:fldCharType="separate"/>
      </w:r>
      <w:r w:rsidR="006A4635" w:rsidRPr="003A3374">
        <w:rPr>
          <w:noProof/>
        </w:rPr>
        <w:t>50</w:t>
      </w:r>
      <w:r w:rsidR="00E75074" w:rsidRPr="003A3374">
        <w:fldChar w:fldCharType="end"/>
      </w:r>
      <w:r w:rsidRPr="003A3374">
        <w:t xml:space="preserve">). Six of these occasions </w:t>
      </w:r>
      <w:r w:rsidR="00390482" w:rsidRPr="003A3374">
        <w:t>were</w:t>
      </w:r>
      <w:r w:rsidRPr="003A3374">
        <w:t xml:space="preserve"> during CCE’s tenure, while under CCEP’s tenure it has dipped negative twice</w:t>
      </w:r>
      <w:r w:rsidR="006D3795" w:rsidRPr="003A3374">
        <w:t>;</w:t>
      </w:r>
      <w:r w:rsidRPr="003A3374">
        <w:t xml:space="preserve"> in 2016 when three bottlers were being integrated and during the 2020 pandemic. </w:t>
      </w:r>
    </w:p>
    <w:p w14:paraId="1C05D1B7" w14:textId="34B7FF9D" w:rsidR="006D3795" w:rsidRPr="003A3374" w:rsidRDefault="006D3795" w:rsidP="00E75074">
      <w:pPr>
        <w:pStyle w:val="BodyText"/>
      </w:pPr>
      <w:r w:rsidRPr="003A3374">
        <w:t>CCGB</w:t>
      </w:r>
      <w:r w:rsidR="00D75D9B" w:rsidRPr="003A3374">
        <w:t xml:space="preserve">’s organic sales growth improved to 5.8% pa, on average, </w:t>
      </w:r>
      <w:r w:rsidR="00E75074" w:rsidRPr="003A3374">
        <w:t>under</w:t>
      </w:r>
      <w:r w:rsidR="00D75D9B" w:rsidRPr="003A3374">
        <w:t xml:space="preserve"> CCEP’s tenure so far, and we forecast a sustained improvement from the days of CCE to 3.8% growth pa</w:t>
      </w:r>
      <w:r w:rsidR="00E75074" w:rsidRPr="003A3374">
        <w:t xml:space="preserve"> i.e. broadly in line with the group’s medium-term ambition for c4%+ organic sales growth pa</w:t>
      </w:r>
      <w:r w:rsidR="00390482" w:rsidRPr="003A3374">
        <w:t xml:space="preserve"> and ahead of the guidance for +2-3% pa in Europe.</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BE2EF3" w:rsidRPr="003A3374" w14:paraId="10F8CC9D" w14:textId="77777777" w:rsidTr="00BE2EF3">
        <w:trPr>
          <w:cantSplit/>
          <w:tblHeader/>
        </w:trPr>
        <w:tc>
          <w:tcPr>
            <w:tcW w:w="7654" w:type="dxa"/>
            <w:tcBorders>
              <w:bottom w:val="single" w:sz="8" w:space="0" w:color="000000" w:themeColor="text1"/>
            </w:tcBorders>
            <w:vAlign w:val="bottom"/>
          </w:tcPr>
          <w:p w14:paraId="3B2837FE" w14:textId="36922708" w:rsidR="00BE2EF3" w:rsidRPr="003A3374" w:rsidRDefault="00BE2EF3" w:rsidP="00BE2EF3">
            <w:pPr>
              <w:pStyle w:val="TableTitle"/>
            </w:pPr>
            <w:bookmarkStart w:id="101" w:name="PH_1_4_1_019029"/>
            <w:r w:rsidRPr="003A3374">
              <w:t xml:space="preserve">Fig </w:t>
            </w:r>
            <w:bookmarkStart w:id="102" w:name="LINK_032203"/>
            <w:r w:rsidRPr="003A3374">
              <w:fldChar w:fldCharType="begin"/>
            </w:r>
            <w:r w:rsidRPr="003A3374">
              <w:instrText xml:space="preserve"> SEQ Fig </w:instrText>
            </w:r>
            <w:r w:rsidRPr="003A3374">
              <w:fldChar w:fldCharType="separate"/>
            </w:r>
            <w:r w:rsidR="006A4635" w:rsidRPr="003A3374">
              <w:rPr>
                <w:noProof/>
              </w:rPr>
              <w:t>50</w:t>
            </w:r>
            <w:r w:rsidRPr="003A3374">
              <w:fldChar w:fldCharType="end"/>
            </w:r>
            <w:bookmarkEnd w:id="102"/>
            <w:r w:rsidRPr="003A3374">
              <w:t xml:space="preserve">: </w:t>
            </w:r>
            <w:r w:rsidR="000F3349" w:rsidRPr="003A3374">
              <w:t>Rejuvenating Great Britain’s performance</w:t>
            </w:r>
          </w:p>
        </w:tc>
      </w:tr>
      <w:tr w:rsidR="00BE2EF3" w:rsidRPr="003A3374" w14:paraId="10189766" w14:textId="77777777" w:rsidTr="00BE2EF3">
        <w:trPr>
          <w:cantSplit/>
        </w:trPr>
        <w:tc>
          <w:tcPr>
            <w:tcW w:w="7654" w:type="dxa"/>
            <w:tcBorders>
              <w:top w:val="single" w:sz="8" w:space="0" w:color="000000" w:themeColor="text1"/>
              <w:bottom w:val="single" w:sz="8" w:space="0" w:color="000000" w:themeColor="text1"/>
            </w:tcBorders>
          </w:tcPr>
          <w:p w14:paraId="33CE657F" w14:textId="27551F57" w:rsidR="00BE2EF3" w:rsidRPr="003A3374" w:rsidRDefault="009F6DB7" w:rsidP="00BE2EF3">
            <w:pPr>
              <w:pStyle w:val="Tableplaceholder"/>
            </w:pPr>
            <w:r w:rsidRPr="003A3374">
              <w:rPr>
                <w:noProof/>
              </w:rPr>
              <w:drawing>
                <wp:inline distT="0" distB="0" distL="0" distR="0" wp14:anchorId="39538266" wp14:editId="03B3E497">
                  <wp:extent cx="4859655" cy="2155190"/>
                  <wp:effectExtent l="0" t="0" r="0" b="0"/>
                  <wp:docPr id="112555460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859655" cy="2155190"/>
                          </a:xfrm>
                          <a:prstGeom prst="rect">
                            <a:avLst/>
                          </a:prstGeom>
                          <a:noFill/>
                          <a:ln>
                            <a:noFill/>
                          </a:ln>
                        </pic:spPr>
                      </pic:pic>
                    </a:graphicData>
                  </a:graphic>
                </wp:inline>
              </w:drawing>
            </w:r>
          </w:p>
        </w:tc>
      </w:tr>
      <w:tr w:rsidR="00BE2EF3" w:rsidRPr="003A3374" w14:paraId="1262ECB7" w14:textId="77777777" w:rsidTr="00BE2EF3">
        <w:trPr>
          <w:cantSplit/>
        </w:trPr>
        <w:tc>
          <w:tcPr>
            <w:tcW w:w="7654" w:type="dxa"/>
            <w:tcBorders>
              <w:top w:val="single" w:sz="8" w:space="0" w:color="000000" w:themeColor="text1"/>
            </w:tcBorders>
          </w:tcPr>
          <w:p w14:paraId="1A74EADD" w14:textId="09A86AA6" w:rsidR="00BE2EF3" w:rsidRPr="003A3374" w:rsidRDefault="00BE2EF3" w:rsidP="00BE2EF3">
            <w:pPr>
              <w:pStyle w:val="TableSource"/>
            </w:pPr>
            <w:r w:rsidRPr="003A3374">
              <w:t>Source: Rothschild &amp; Co Redburn, company</w:t>
            </w:r>
          </w:p>
        </w:tc>
      </w:tr>
      <w:bookmarkEnd w:id="101"/>
    </w:tbl>
    <w:p w14:paraId="781FE671" w14:textId="77777777" w:rsidR="00BE2EF3" w:rsidRPr="003A3374" w:rsidRDefault="00BE2EF3" w:rsidP="00694885">
      <w:pPr>
        <w:pStyle w:val="Tablespaceafter"/>
      </w:pPr>
    </w:p>
    <w:p w14:paraId="1C90F12C" w14:textId="4660EE00" w:rsidR="00BE2EF3" w:rsidRPr="003A3374" w:rsidRDefault="00F7178F" w:rsidP="00623146">
      <w:pPr>
        <w:pStyle w:val="BodyText"/>
      </w:pPr>
      <w:r w:rsidRPr="003A3374">
        <w:t>From a profitability perspective, in 202</w:t>
      </w:r>
      <w:r w:rsidR="00A07AE2" w:rsidRPr="003A3374">
        <w:t>4</w:t>
      </w:r>
      <w:r w:rsidRPr="003A3374">
        <w:t xml:space="preserve"> we estimate </w:t>
      </w:r>
      <w:r w:rsidR="00F668E1" w:rsidRPr="003A3374">
        <w:t xml:space="preserve">that </w:t>
      </w:r>
      <w:r w:rsidRPr="003A3374">
        <w:t>CCGB earn</w:t>
      </w:r>
      <w:r w:rsidR="00754FD0" w:rsidRPr="003A3374">
        <w:t>ed</w:t>
      </w:r>
      <w:r w:rsidRPr="003A3374">
        <w:t xml:space="preserve"> a c17% operating margin, well ahead of CCEP’s group average (12.9%) and the average 12% operating margin earn</w:t>
      </w:r>
      <w:r w:rsidR="003F2162" w:rsidRPr="003A3374">
        <w:t>ed</w:t>
      </w:r>
      <w:r w:rsidRPr="003A3374">
        <w:t xml:space="preserve"> on average across </w:t>
      </w:r>
      <w:r w:rsidR="00A07AE2" w:rsidRPr="003A3374">
        <w:t xml:space="preserve">other </w:t>
      </w:r>
      <w:r w:rsidRPr="003A3374">
        <w:t>Europe</w:t>
      </w:r>
      <w:r w:rsidR="00A07AE2" w:rsidRPr="003A3374">
        <w:t xml:space="preserve">an Coca-Cola bottling territories </w:t>
      </w:r>
      <w:r w:rsidR="00996C3B" w:rsidRPr="003A3374">
        <w:t>(</w:t>
      </w:r>
      <w:r w:rsidR="00A07AE2" w:rsidRPr="003A3374">
        <w:t>Fig </w:t>
      </w:r>
      <w:r w:rsidR="00A07AE2" w:rsidRPr="003A3374">
        <w:fldChar w:fldCharType="begin"/>
      </w:r>
      <w:r w:rsidR="00A07AE2" w:rsidRPr="003A3374">
        <w:instrText xml:space="preserve"> REF LINK_099684 \h </w:instrText>
      </w:r>
      <w:r w:rsidR="00A07AE2" w:rsidRPr="003A3374">
        <w:fldChar w:fldCharType="separate"/>
      </w:r>
      <w:r w:rsidR="006A4635" w:rsidRPr="003A3374">
        <w:rPr>
          <w:noProof/>
        </w:rPr>
        <w:t>51</w:t>
      </w:r>
      <w:r w:rsidR="00A07AE2" w:rsidRPr="003A3374">
        <w:fldChar w:fldCharType="end"/>
      </w:r>
      <w:r w:rsidR="00996C3B" w:rsidRPr="003A3374">
        <w:t>)</w:t>
      </w:r>
      <w:r w:rsidRPr="003A3374">
        <w:t>.</w:t>
      </w:r>
    </w:p>
    <w:p w14:paraId="7D3F73FD" w14:textId="13F45E3A" w:rsidR="00F668E1" w:rsidRPr="003A3374" w:rsidRDefault="00F668E1" w:rsidP="00F668E1">
      <w:pPr>
        <w:pStyle w:val="BodyText"/>
      </w:pPr>
      <w:r w:rsidRPr="003A3374">
        <w:t>The Wakefield site visit highlighted areas for further, minor operating efficiency improvements to boost profitability, but we continue to forecast more modest operating margin in Great Britain relative to the rest of CCEP’s European territories, especially given the upcoming DRS in 2027. The site visit also highlighted areas for positive category and packaging mix to boost CCGB’s margin, and as discussed in this report, there is a material opportunity for revenue per case and margin expansion if volumes were to recover in the licensed channel.</w:t>
      </w:r>
    </w:p>
    <w:p w14:paraId="7249333C" w14:textId="729FB4D8" w:rsidR="00F668E1" w:rsidRPr="003A3374" w:rsidRDefault="005D7B57" w:rsidP="00623146">
      <w:pPr>
        <w:pStyle w:val="BodyText"/>
      </w:pPr>
      <w:r w:rsidRPr="003A3374">
        <w:lastRenderedPageBreak/>
        <w:t>In conclusion the site visit provided confidence that CCGB still has plenty of top- and bottom-line growth opportunities ahead. Given Great Britain is, on our estimates, CCEP’s largest contributor to operating income at 22%, this also provides greater confidence that CCEP can at least achieve its medium-term ambitions.</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F7178F" w:rsidRPr="003A3374" w14:paraId="3E80411D" w14:textId="77777777" w:rsidTr="00F7178F">
        <w:trPr>
          <w:cantSplit/>
          <w:tblHeader/>
        </w:trPr>
        <w:tc>
          <w:tcPr>
            <w:tcW w:w="7654" w:type="dxa"/>
            <w:tcBorders>
              <w:bottom w:val="single" w:sz="8" w:space="0" w:color="000000" w:themeColor="text1"/>
            </w:tcBorders>
            <w:vAlign w:val="bottom"/>
          </w:tcPr>
          <w:p w14:paraId="7CCC23A4" w14:textId="2DD514D9" w:rsidR="00F7178F" w:rsidRPr="003A3374" w:rsidRDefault="00F7178F" w:rsidP="00F7178F">
            <w:pPr>
              <w:pStyle w:val="TableTitle"/>
            </w:pPr>
            <w:bookmarkStart w:id="103" w:name="PH_1_4_1_052876"/>
            <w:r w:rsidRPr="003A3374">
              <w:t xml:space="preserve">Fig </w:t>
            </w:r>
            <w:bookmarkStart w:id="104" w:name="LINK_099684"/>
            <w:r w:rsidRPr="003A3374">
              <w:fldChar w:fldCharType="begin"/>
            </w:r>
            <w:r w:rsidRPr="003A3374">
              <w:instrText xml:space="preserve"> SEQ Fig </w:instrText>
            </w:r>
            <w:r w:rsidRPr="003A3374">
              <w:fldChar w:fldCharType="separate"/>
            </w:r>
            <w:r w:rsidR="006A4635" w:rsidRPr="003A3374">
              <w:rPr>
                <w:noProof/>
              </w:rPr>
              <w:t>51</w:t>
            </w:r>
            <w:r w:rsidRPr="003A3374">
              <w:fldChar w:fldCharType="end"/>
            </w:r>
            <w:bookmarkEnd w:id="104"/>
            <w:r w:rsidRPr="003A3374">
              <w:t xml:space="preserve">: </w:t>
            </w:r>
            <w:r w:rsidR="0007435F" w:rsidRPr="003A3374">
              <w:t>The European peers</w:t>
            </w:r>
          </w:p>
        </w:tc>
      </w:tr>
      <w:tr w:rsidR="00F7178F" w:rsidRPr="003A3374" w14:paraId="41874FC0" w14:textId="77777777" w:rsidTr="00F7178F">
        <w:trPr>
          <w:cantSplit/>
        </w:trPr>
        <w:tc>
          <w:tcPr>
            <w:tcW w:w="7654" w:type="dxa"/>
            <w:tcBorders>
              <w:top w:val="single" w:sz="8" w:space="0" w:color="000000" w:themeColor="text1"/>
              <w:bottom w:val="single" w:sz="8" w:space="0" w:color="000000" w:themeColor="text1"/>
            </w:tcBorders>
          </w:tcPr>
          <w:p w14:paraId="594EDD29" w14:textId="311A1709" w:rsidR="00F7178F" w:rsidRPr="003A3374" w:rsidRDefault="00F668E1" w:rsidP="00F7178F">
            <w:pPr>
              <w:pStyle w:val="Tableplaceholder"/>
            </w:pPr>
            <w:r w:rsidRPr="003A3374">
              <w:rPr>
                <w:noProof/>
              </w:rPr>
              <w:drawing>
                <wp:inline distT="0" distB="0" distL="0" distR="0" wp14:anchorId="0F8843EC" wp14:editId="738E31D1">
                  <wp:extent cx="4859655" cy="2694305"/>
                  <wp:effectExtent l="0" t="0" r="0" b="0"/>
                  <wp:docPr id="87757874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859655" cy="2694305"/>
                          </a:xfrm>
                          <a:prstGeom prst="rect">
                            <a:avLst/>
                          </a:prstGeom>
                          <a:noFill/>
                          <a:ln>
                            <a:noFill/>
                          </a:ln>
                        </pic:spPr>
                      </pic:pic>
                    </a:graphicData>
                  </a:graphic>
                </wp:inline>
              </w:drawing>
            </w:r>
          </w:p>
        </w:tc>
      </w:tr>
      <w:tr w:rsidR="00F7178F" w:rsidRPr="003A3374" w14:paraId="71B3EDC8" w14:textId="77777777" w:rsidTr="00F7178F">
        <w:trPr>
          <w:cantSplit/>
        </w:trPr>
        <w:tc>
          <w:tcPr>
            <w:tcW w:w="7654" w:type="dxa"/>
            <w:tcBorders>
              <w:top w:val="single" w:sz="8" w:space="0" w:color="000000" w:themeColor="text1"/>
            </w:tcBorders>
          </w:tcPr>
          <w:p w14:paraId="3B2BA50C" w14:textId="0EF9FF21" w:rsidR="00F7178F" w:rsidRPr="003A3374" w:rsidRDefault="00F7178F" w:rsidP="00F7178F">
            <w:pPr>
              <w:pStyle w:val="TableSource"/>
              <w:contextualSpacing/>
            </w:pPr>
            <w:r w:rsidRPr="003A3374">
              <w:t xml:space="preserve">Note: </w:t>
            </w:r>
            <w:r w:rsidR="00390482" w:rsidRPr="003A3374">
              <w:t xml:space="preserve">CCH European territories only. </w:t>
            </w:r>
            <w:r w:rsidRPr="003A3374">
              <w:t xml:space="preserve">Excludes </w:t>
            </w:r>
            <w:r w:rsidR="00390482" w:rsidRPr="003A3374">
              <w:t xml:space="preserve">CCEP’s </w:t>
            </w:r>
            <w:r w:rsidRPr="003A3374">
              <w:t>Iceland</w:t>
            </w:r>
            <w:r w:rsidR="00390482" w:rsidRPr="003A3374">
              <w:t xml:space="preserve"> territory</w:t>
            </w:r>
            <w:r w:rsidRPr="003A3374">
              <w:t xml:space="preserve">, which is off the chart to the right due to its </w:t>
            </w:r>
            <w:r w:rsidR="00390482" w:rsidRPr="003A3374">
              <w:t xml:space="preserve">highly revenue per case accretive </w:t>
            </w:r>
            <w:r w:rsidRPr="003A3374">
              <w:t>local beer (Viking)</w:t>
            </w:r>
            <w:r w:rsidR="00A00AE8" w:rsidRPr="003A3374">
              <w:t xml:space="preserve">. </w:t>
            </w:r>
          </w:p>
          <w:p w14:paraId="7F0B5B21" w14:textId="7F45FDEF" w:rsidR="00F7178F" w:rsidRPr="003A3374" w:rsidRDefault="00F7178F" w:rsidP="00F7178F">
            <w:pPr>
              <w:pStyle w:val="TableSource"/>
            </w:pPr>
            <w:r w:rsidRPr="003A3374">
              <w:t>Source: Rothschild &amp; Co Redburn, company</w:t>
            </w:r>
          </w:p>
        </w:tc>
      </w:tr>
      <w:bookmarkEnd w:id="103"/>
    </w:tbl>
    <w:p w14:paraId="1EB607F8" w14:textId="77777777" w:rsidR="00F7178F" w:rsidRPr="003A3374" w:rsidRDefault="00F7178F" w:rsidP="00694885">
      <w:pPr>
        <w:pStyle w:val="Tablespaceafter"/>
      </w:pPr>
    </w:p>
    <w:p w14:paraId="7BEE2251" w14:textId="0632B2C0" w:rsidR="00BE3762" w:rsidRPr="003A3374" w:rsidRDefault="00BE3762" w:rsidP="00C3036B">
      <w:pPr>
        <w:pStyle w:val="Heading20"/>
      </w:pPr>
      <w:bookmarkStart w:id="105" w:name="_Toc214545145"/>
      <w:r w:rsidRPr="003A3374">
        <w:t xml:space="preserve">No change to </w:t>
      </w:r>
      <w:r w:rsidR="00C2764C" w:rsidRPr="003A3374">
        <w:t>our</w:t>
      </w:r>
      <w:r w:rsidRPr="003A3374">
        <w:t xml:space="preserve"> </w:t>
      </w:r>
      <w:r w:rsidR="009516AA" w:rsidRPr="003A3374">
        <w:t>long-term forecasts</w:t>
      </w:r>
      <w:bookmarkEnd w:id="105"/>
    </w:p>
    <w:p w14:paraId="16F8208C" w14:textId="1B6C68CC" w:rsidR="00BE3762" w:rsidRPr="003A3374" w:rsidRDefault="00C2764C" w:rsidP="00BE3762">
      <w:pPr>
        <w:pStyle w:val="BodyText"/>
      </w:pPr>
      <w:r w:rsidRPr="003A3374">
        <w:t>We continue to forecast c4% organic sales growth pa for CCEP. By region, Europe is c70% of total sales and we forecast just over c3% organic sales growth pa, with the remaining c30% of sales from APS (Australia, Pacific &amp; South East Asia) where we forecast c5.5% pa (</w:t>
      </w:r>
      <w:r w:rsidR="008A0FE4" w:rsidRPr="003A3374">
        <w:t>Fig </w:t>
      </w:r>
      <w:r w:rsidR="008A0FE4" w:rsidRPr="003A3374">
        <w:fldChar w:fldCharType="begin"/>
      </w:r>
      <w:r w:rsidR="008A0FE4" w:rsidRPr="003A3374">
        <w:instrText xml:space="preserve"> REF LINK_048468 \h </w:instrText>
      </w:r>
      <w:r w:rsidR="008A0FE4" w:rsidRPr="003A3374">
        <w:fldChar w:fldCharType="separate"/>
      </w:r>
      <w:r w:rsidR="006A4635" w:rsidRPr="003A3374">
        <w:rPr>
          <w:noProof/>
        </w:rPr>
        <w:t>52</w:t>
      </w:r>
      <w:r w:rsidR="008A0FE4" w:rsidRPr="003A3374">
        <w:fldChar w:fldCharType="end"/>
      </w:r>
      <w:r w:rsidRPr="003A3374">
        <w:t>).</w:t>
      </w:r>
      <w:r w:rsidR="008A0FE4" w:rsidRPr="003A3374">
        <w:t xml:space="preserve"> As discussed in ‘</w:t>
      </w:r>
      <w:hyperlink r:id="rId80" w:history="1">
        <w:r w:rsidR="008A0FE4" w:rsidRPr="003A3374">
          <w:rPr>
            <w:rStyle w:val="Hyperlink"/>
          </w:rPr>
          <w:t>From Manila to Jakarta</w:t>
        </w:r>
      </w:hyperlink>
      <w:r w:rsidR="008A0FE4" w:rsidRPr="003A3374">
        <w:t>’ (8 July 2025), Indonesia has the greatest scope for upside following the changes that CCEP has made to its local route-to-market</w:t>
      </w:r>
      <w:r w:rsidR="008F2464" w:rsidRPr="003A3374">
        <w:t xml:space="preserve"> (which should be broadly finished by the end of 2025)</w:t>
      </w:r>
      <w:r w:rsidR="008A0FE4" w:rsidRPr="003A3374">
        <w:t>, but for now we forecast c</w:t>
      </w:r>
      <w:r w:rsidR="000970DD" w:rsidRPr="003A3374">
        <w:t>2.</w:t>
      </w:r>
      <w:r w:rsidR="008A0FE4" w:rsidRPr="003A3374">
        <w:t>5% organic sales growth</w:t>
      </w:r>
      <w:r w:rsidR="008F2464" w:rsidRPr="003A3374">
        <w:t xml:space="preserve"> for the country</w:t>
      </w:r>
      <w:r w:rsidR="008A0FE4" w:rsidRPr="003A3374">
        <w:t xml:space="preserve"> </w:t>
      </w:r>
      <w:r w:rsidR="000970DD" w:rsidRPr="003A3374">
        <w:t>in 2026, followed by an improvement to c5% pa from 2027.</w:t>
      </w:r>
    </w:p>
    <w:p w14:paraId="73BA8312" w14:textId="43D4B1A5" w:rsidR="000D2455" w:rsidRPr="003A3374" w:rsidRDefault="008A0FE4" w:rsidP="00091AD6">
      <w:pPr>
        <w:pStyle w:val="BodyText"/>
      </w:pPr>
      <w:r w:rsidRPr="003A3374">
        <w:t>From 2023-28, CCEP has a €350-400m cost savings programme that supports c2.5-3.0% of operating income growth pa at the group level. We forecast c7% organic income growth pa over this period, in line with the company’s medium-term ambition, which is powered by c6% pa in Europe from areas such as network optimisation, the expansion of the Bulgaria shared services centre and the company’s ongoing SAP integration, and faster c9% pa in APS from rebuilding the operating margin in Australia and the Philippines (Fig </w:t>
      </w:r>
      <w:r w:rsidRPr="003A3374">
        <w:fldChar w:fldCharType="begin"/>
      </w:r>
      <w:r w:rsidRPr="003A3374">
        <w:instrText xml:space="preserve"> REF LINK_009393 \h </w:instrText>
      </w:r>
      <w:r w:rsidRPr="003A3374">
        <w:fldChar w:fldCharType="separate"/>
      </w:r>
      <w:r w:rsidR="006A4635" w:rsidRPr="003A3374">
        <w:rPr>
          <w:noProof/>
        </w:rPr>
        <w:t>53</w:t>
      </w:r>
      <w:r w:rsidRPr="003A3374">
        <w:fldChar w:fldCharType="end"/>
      </w:r>
      <w:r w:rsidRPr="003A3374">
        <w:t>).</w:t>
      </w:r>
    </w:p>
    <w:tbl>
      <w:tblPr>
        <w:tblStyle w:val="TableGrid"/>
        <w:tblW w:w="9637" w:type="dxa"/>
        <w:tblLayout w:type="fixed"/>
        <w:tblCellMar>
          <w:left w:w="0" w:type="dxa"/>
          <w:right w:w="0" w:type="dxa"/>
        </w:tblCellMar>
        <w:tblLook w:val="04A0" w:firstRow="1" w:lastRow="0" w:firstColumn="1" w:lastColumn="0" w:noHBand="0" w:noVBand="1"/>
      </w:tblPr>
      <w:tblGrid>
        <w:gridCol w:w="4705"/>
        <w:gridCol w:w="227"/>
        <w:gridCol w:w="4705"/>
      </w:tblGrid>
      <w:tr w:rsidR="00873576" w:rsidRPr="003A3374" w14:paraId="6C72576B" w14:textId="77777777" w:rsidTr="00873576">
        <w:trPr>
          <w:cantSplit/>
          <w:tblHeader/>
        </w:trPr>
        <w:tc>
          <w:tcPr>
            <w:tcW w:w="4706" w:type="dxa"/>
            <w:tcBorders>
              <w:bottom w:val="single" w:sz="8" w:space="0" w:color="000000" w:themeColor="text1"/>
            </w:tcBorders>
            <w:vAlign w:val="bottom"/>
          </w:tcPr>
          <w:p w14:paraId="463454B9" w14:textId="3714E2B7" w:rsidR="00873576" w:rsidRPr="003A3374" w:rsidRDefault="00873576" w:rsidP="00873576">
            <w:pPr>
              <w:pStyle w:val="TableTitle"/>
            </w:pPr>
            <w:bookmarkStart w:id="106" w:name="PH_2_8_1_023085"/>
            <w:r w:rsidRPr="003A3374">
              <w:lastRenderedPageBreak/>
              <w:t xml:space="preserve">Fig </w:t>
            </w:r>
            <w:bookmarkStart w:id="107" w:name="LINK_048468"/>
            <w:r w:rsidRPr="003A3374">
              <w:fldChar w:fldCharType="begin"/>
            </w:r>
            <w:r w:rsidRPr="003A3374">
              <w:instrText xml:space="preserve"> SEQ Fig </w:instrText>
            </w:r>
            <w:r w:rsidRPr="003A3374">
              <w:fldChar w:fldCharType="separate"/>
            </w:r>
            <w:r w:rsidR="006A4635" w:rsidRPr="003A3374">
              <w:rPr>
                <w:noProof/>
              </w:rPr>
              <w:t>52</w:t>
            </w:r>
            <w:r w:rsidRPr="003A3374">
              <w:fldChar w:fldCharType="end"/>
            </w:r>
            <w:bookmarkEnd w:id="107"/>
            <w:r w:rsidRPr="003A3374">
              <w:t xml:space="preserve">: </w:t>
            </w:r>
            <w:r w:rsidR="00C96D89" w:rsidRPr="003A3374">
              <w:t>Acquisitions have been accretive to growth</w:t>
            </w:r>
          </w:p>
        </w:tc>
        <w:tc>
          <w:tcPr>
            <w:tcW w:w="227" w:type="dxa"/>
            <w:vAlign w:val="bottom"/>
          </w:tcPr>
          <w:p w14:paraId="60A312D9" w14:textId="77777777" w:rsidR="00873576" w:rsidRPr="003A3374" w:rsidRDefault="00873576" w:rsidP="00873576">
            <w:pPr>
              <w:pStyle w:val="Normal0"/>
            </w:pPr>
          </w:p>
        </w:tc>
        <w:tc>
          <w:tcPr>
            <w:tcW w:w="4706" w:type="dxa"/>
            <w:tcBorders>
              <w:bottom w:val="single" w:sz="8" w:space="0" w:color="000000" w:themeColor="text1"/>
            </w:tcBorders>
            <w:vAlign w:val="bottom"/>
          </w:tcPr>
          <w:p w14:paraId="6B170045" w14:textId="1362F29A" w:rsidR="00873576" w:rsidRPr="003A3374" w:rsidRDefault="00873576" w:rsidP="00873576">
            <w:pPr>
              <w:pStyle w:val="TableTitle"/>
            </w:pPr>
            <w:r w:rsidRPr="003A3374">
              <w:t xml:space="preserve">Fig </w:t>
            </w:r>
            <w:bookmarkStart w:id="108" w:name="LINK_009393"/>
            <w:r w:rsidRPr="003A3374">
              <w:fldChar w:fldCharType="begin"/>
            </w:r>
            <w:r w:rsidRPr="003A3374">
              <w:instrText xml:space="preserve"> SEQ Fig </w:instrText>
            </w:r>
            <w:r w:rsidRPr="003A3374">
              <w:fldChar w:fldCharType="separate"/>
            </w:r>
            <w:r w:rsidR="006A4635" w:rsidRPr="003A3374">
              <w:rPr>
                <w:noProof/>
              </w:rPr>
              <w:t>53</w:t>
            </w:r>
            <w:r w:rsidRPr="003A3374">
              <w:fldChar w:fldCharType="end"/>
            </w:r>
            <w:bookmarkEnd w:id="108"/>
            <w:r w:rsidRPr="003A3374">
              <w:t xml:space="preserve">: </w:t>
            </w:r>
            <w:r w:rsidR="00C96D89" w:rsidRPr="003A3374">
              <w:t>Steady, rising operating income</w:t>
            </w:r>
          </w:p>
        </w:tc>
      </w:tr>
      <w:tr w:rsidR="00873576" w:rsidRPr="003A3374" w14:paraId="2CC199BC" w14:textId="77777777" w:rsidTr="00873576">
        <w:trPr>
          <w:cantSplit/>
        </w:trPr>
        <w:tc>
          <w:tcPr>
            <w:tcW w:w="4706" w:type="dxa"/>
            <w:tcBorders>
              <w:top w:val="single" w:sz="8" w:space="0" w:color="000000" w:themeColor="text1"/>
              <w:bottom w:val="single" w:sz="8" w:space="0" w:color="000000" w:themeColor="text1"/>
            </w:tcBorders>
          </w:tcPr>
          <w:p w14:paraId="7990838D" w14:textId="0A6AFFD1" w:rsidR="00873576" w:rsidRPr="003A3374" w:rsidRDefault="00873576" w:rsidP="00873576">
            <w:pPr>
              <w:pStyle w:val="Tableplaceholder"/>
            </w:pPr>
            <w:r w:rsidRPr="003A3374">
              <w:rPr>
                <w:noProof/>
              </w:rPr>
              <w:drawing>
                <wp:inline distT="0" distB="0" distL="0" distR="0" wp14:anchorId="2E08E7DB" wp14:editId="6B6E882C">
                  <wp:extent cx="2988310" cy="1798320"/>
                  <wp:effectExtent l="0" t="0" r="2540" b="0"/>
                  <wp:docPr id="67139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988310" cy="1798320"/>
                          </a:xfrm>
                          <a:prstGeom prst="rect">
                            <a:avLst/>
                          </a:prstGeom>
                          <a:noFill/>
                          <a:ln>
                            <a:noFill/>
                          </a:ln>
                        </pic:spPr>
                      </pic:pic>
                    </a:graphicData>
                  </a:graphic>
                </wp:inline>
              </w:drawing>
            </w:r>
          </w:p>
        </w:tc>
        <w:tc>
          <w:tcPr>
            <w:tcW w:w="227" w:type="dxa"/>
          </w:tcPr>
          <w:p w14:paraId="3813B6C7" w14:textId="77777777" w:rsidR="00873576" w:rsidRPr="003A3374" w:rsidRDefault="00873576" w:rsidP="00873576">
            <w:pPr>
              <w:pStyle w:val="Normal0"/>
            </w:pPr>
          </w:p>
        </w:tc>
        <w:tc>
          <w:tcPr>
            <w:tcW w:w="4706" w:type="dxa"/>
            <w:tcBorders>
              <w:top w:val="single" w:sz="8" w:space="0" w:color="000000" w:themeColor="text1"/>
              <w:bottom w:val="single" w:sz="8" w:space="0" w:color="000000" w:themeColor="text1"/>
            </w:tcBorders>
          </w:tcPr>
          <w:p w14:paraId="6757C230" w14:textId="44A87B95" w:rsidR="00873576" w:rsidRPr="003A3374" w:rsidRDefault="00C96D89" w:rsidP="00873576">
            <w:pPr>
              <w:pStyle w:val="Tableplaceholder"/>
            </w:pPr>
            <w:r w:rsidRPr="003A3374">
              <w:rPr>
                <w:noProof/>
              </w:rPr>
              <w:drawing>
                <wp:inline distT="0" distB="0" distL="0" distR="0" wp14:anchorId="1AF90B53" wp14:editId="3343A1F1">
                  <wp:extent cx="2987675" cy="1804035"/>
                  <wp:effectExtent l="0" t="0" r="3175" b="5715"/>
                  <wp:docPr id="5907430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987675" cy="1804035"/>
                          </a:xfrm>
                          <a:prstGeom prst="rect">
                            <a:avLst/>
                          </a:prstGeom>
                          <a:noFill/>
                          <a:ln>
                            <a:noFill/>
                          </a:ln>
                        </pic:spPr>
                      </pic:pic>
                    </a:graphicData>
                  </a:graphic>
                </wp:inline>
              </w:drawing>
            </w:r>
          </w:p>
        </w:tc>
      </w:tr>
      <w:tr w:rsidR="00873576" w:rsidRPr="003A3374" w14:paraId="0CD75A67" w14:textId="77777777" w:rsidTr="00873576">
        <w:trPr>
          <w:cantSplit/>
        </w:trPr>
        <w:tc>
          <w:tcPr>
            <w:tcW w:w="4706" w:type="dxa"/>
            <w:tcBorders>
              <w:top w:val="single" w:sz="8" w:space="0" w:color="000000" w:themeColor="text1"/>
            </w:tcBorders>
          </w:tcPr>
          <w:p w14:paraId="1A338329" w14:textId="1AE95176" w:rsidR="00873576" w:rsidRPr="003A3374" w:rsidRDefault="00873576" w:rsidP="00873576">
            <w:pPr>
              <w:pStyle w:val="TableSource"/>
            </w:pPr>
            <w:r w:rsidRPr="003A3374">
              <w:t>Source: Rothschild &amp; Co Redburn, company</w:t>
            </w:r>
          </w:p>
        </w:tc>
        <w:tc>
          <w:tcPr>
            <w:tcW w:w="227" w:type="dxa"/>
          </w:tcPr>
          <w:p w14:paraId="453B88C5" w14:textId="77777777" w:rsidR="00873576" w:rsidRPr="003A3374" w:rsidRDefault="00873576" w:rsidP="00873576">
            <w:pPr>
              <w:pStyle w:val="Normal0"/>
            </w:pPr>
          </w:p>
        </w:tc>
        <w:tc>
          <w:tcPr>
            <w:tcW w:w="4706" w:type="dxa"/>
            <w:tcBorders>
              <w:top w:val="single" w:sz="8" w:space="0" w:color="000000" w:themeColor="text1"/>
            </w:tcBorders>
          </w:tcPr>
          <w:p w14:paraId="17FAD558" w14:textId="45AE711D" w:rsidR="00873576" w:rsidRPr="003A3374" w:rsidRDefault="00873576" w:rsidP="00873576">
            <w:pPr>
              <w:pStyle w:val="TableSource"/>
            </w:pPr>
            <w:r w:rsidRPr="003A3374">
              <w:t>Source: Rothschild &amp; Co Redburn, company</w:t>
            </w:r>
          </w:p>
        </w:tc>
      </w:tr>
      <w:bookmarkEnd w:id="106"/>
    </w:tbl>
    <w:p w14:paraId="3CB3D532" w14:textId="77777777" w:rsidR="00873576" w:rsidRPr="003A3374" w:rsidRDefault="00873576" w:rsidP="00E667A7">
      <w:pPr>
        <w:pStyle w:val="Tablespaceafter"/>
      </w:pPr>
    </w:p>
    <w:p w14:paraId="2186667E" w14:textId="7DA2E8EE" w:rsidR="00091AD6" w:rsidRPr="003A3374" w:rsidRDefault="004F12B9" w:rsidP="00091AD6">
      <w:pPr>
        <w:pStyle w:val="BodyText"/>
      </w:pPr>
      <w:r w:rsidRPr="003A3374">
        <w:t>Steady operating income growth pa is paired with a deleveraging balance sheet, which on our estimates reaches c2.7x net debt/EBITDA at the end of 2025 (</w:t>
      </w:r>
      <w:r w:rsidR="00C96D89" w:rsidRPr="003A3374">
        <w:t>Fig </w:t>
      </w:r>
      <w:r w:rsidR="00C96D89" w:rsidRPr="003A3374">
        <w:fldChar w:fldCharType="begin"/>
      </w:r>
      <w:r w:rsidR="00C96D89" w:rsidRPr="003A3374">
        <w:instrText xml:space="preserve"> REF LINK_077281 \h </w:instrText>
      </w:r>
      <w:r w:rsidR="00C96D89" w:rsidRPr="003A3374">
        <w:fldChar w:fldCharType="separate"/>
      </w:r>
      <w:r w:rsidR="006A4635" w:rsidRPr="003A3374">
        <w:rPr>
          <w:noProof/>
        </w:rPr>
        <w:t>54</w:t>
      </w:r>
      <w:r w:rsidR="00C96D89" w:rsidRPr="003A3374">
        <w:fldChar w:fldCharType="end"/>
      </w:r>
      <w:r w:rsidRPr="003A3374">
        <w:t>). This is towards the mid-point of the company’s 2.5-3.0x leverage target range and despite a c€1bn share buyback programme during 2025</w:t>
      </w:r>
      <w:r w:rsidR="003C7D71" w:rsidRPr="003A3374">
        <w:t xml:space="preserve">, as well as elevated capital expenditure to support cooler placements in the AFH channel and a </w:t>
      </w:r>
      <w:r w:rsidR="00A575CE" w:rsidRPr="003A3374">
        <w:t>greenfield</w:t>
      </w:r>
      <w:r w:rsidR="003C7D71" w:rsidRPr="003A3374">
        <w:t xml:space="preserve"> production plant in the Philippines</w:t>
      </w:r>
      <w:r w:rsidRPr="003A3374">
        <w:t>.</w:t>
      </w:r>
    </w:p>
    <w:p w14:paraId="6D1AC615" w14:textId="0F97480D" w:rsidR="00FD3955" w:rsidRPr="003A3374" w:rsidRDefault="00C96D89" w:rsidP="00FD3955">
      <w:pPr>
        <w:pStyle w:val="BodyText"/>
      </w:pPr>
      <w:r w:rsidRPr="003A3374">
        <w:t>We model c€1.5bn of share repurchases in 2026 (worth c200bp to EPS growth) and c€2bn pa thereafter (worth c300bp pa to EPS growth) to maintain CCEP’s leverage at 2.75x net debt/EBITDA i.e. the mid-point of the target range (</w:t>
      </w:r>
      <w:r w:rsidR="00FD3955" w:rsidRPr="003A3374">
        <w:t>Fig </w:t>
      </w:r>
      <w:r w:rsidR="00FD3955" w:rsidRPr="003A3374">
        <w:fldChar w:fldCharType="begin"/>
      </w:r>
      <w:r w:rsidR="00FD3955" w:rsidRPr="003A3374">
        <w:instrText xml:space="preserve"> REF LINK_099281 \h </w:instrText>
      </w:r>
      <w:r w:rsidR="00FD3955" w:rsidRPr="003A3374">
        <w:fldChar w:fldCharType="separate"/>
      </w:r>
      <w:r w:rsidR="006A4635" w:rsidRPr="003A3374">
        <w:rPr>
          <w:noProof/>
        </w:rPr>
        <w:t>55</w:t>
      </w:r>
      <w:r w:rsidR="00FD3955" w:rsidRPr="003A3374">
        <w:fldChar w:fldCharType="end"/>
      </w:r>
      <w:r w:rsidRPr="003A3374">
        <w:t>). If a Coca-Cola territory were available for purchase and it is a good strategic fit for CCEP, then this would take priority over share buybacks. As discussed in this report, Denmark and Finland could be potential options in Europe and as discussed in ‘</w:t>
      </w:r>
      <w:hyperlink r:id="rId83" w:history="1">
        <w:r w:rsidRPr="003A3374">
          <w:rPr>
            <w:rStyle w:val="Hyperlink"/>
          </w:rPr>
          <w:t>Pearl of the Orient</w:t>
        </w:r>
      </w:hyperlink>
      <w:r w:rsidRPr="003A3374">
        <w:t>’ (11 March 2024)</w:t>
      </w:r>
      <w:r w:rsidR="00FD3955" w:rsidRPr="003A3374">
        <w:t>,</w:t>
      </w:r>
      <w:r w:rsidRPr="003A3374">
        <w:t xml:space="preserve"> Malaysia and Singapore could one day be potential options </w:t>
      </w:r>
      <w:r w:rsidR="00FD3955" w:rsidRPr="003A3374">
        <w:t xml:space="preserve">in the APS region </w:t>
      </w:r>
      <w:r w:rsidRPr="003A3374">
        <w:t>when TCCC decides to refranchise them from its BIG division.</w:t>
      </w:r>
    </w:p>
    <w:tbl>
      <w:tblPr>
        <w:tblStyle w:val="TableGrid"/>
        <w:tblW w:w="9637" w:type="dxa"/>
        <w:tblLayout w:type="fixed"/>
        <w:tblCellMar>
          <w:left w:w="0" w:type="dxa"/>
          <w:right w:w="0" w:type="dxa"/>
        </w:tblCellMar>
        <w:tblLook w:val="04A0" w:firstRow="1" w:lastRow="0" w:firstColumn="1" w:lastColumn="0" w:noHBand="0" w:noVBand="1"/>
      </w:tblPr>
      <w:tblGrid>
        <w:gridCol w:w="4705"/>
        <w:gridCol w:w="227"/>
        <w:gridCol w:w="4705"/>
      </w:tblGrid>
      <w:tr w:rsidR="00091AD6" w:rsidRPr="003A3374" w14:paraId="462EE440" w14:textId="77777777" w:rsidTr="00ED0772">
        <w:trPr>
          <w:cantSplit/>
          <w:tblHeader/>
        </w:trPr>
        <w:tc>
          <w:tcPr>
            <w:tcW w:w="4706" w:type="dxa"/>
            <w:tcBorders>
              <w:bottom w:val="single" w:sz="8" w:space="0" w:color="000000" w:themeColor="text1"/>
            </w:tcBorders>
            <w:vAlign w:val="bottom"/>
          </w:tcPr>
          <w:p w14:paraId="7C810C12" w14:textId="5D8DEAC4" w:rsidR="00091AD6" w:rsidRPr="003A3374" w:rsidRDefault="00091AD6" w:rsidP="00ED0772">
            <w:pPr>
              <w:pStyle w:val="TableTitle"/>
            </w:pPr>
            <w:r w:rsidRPr="003A3374">
              <w:t xml:space="preserve">Fig </w:t>
            </w:r>
            <w:bookmarkStart w:id="109" w:name="LINK_077281"/>
            <w:r w:rsidRPr="003A3374">
              <w:fldChar w:fldCharType="begin"/>
            </w:r>
            <w:r w:rsidRPr="003A3374">
              <w:instrText xml:space="preserve"> SEQ Fig </w:instrText>
            </w:r>
            <w:r w:rsidRPr="003A3374">
              <w:fldChar w:fldCharType="separate"/>
            </w:r>
            <w:r w:rsidR="006A4635" w:rsidRPr="003A3374">
              <w:rPr>
                <w:noProof/>
              </w:rPr>
              <w:t>54</w:t>
            </w:r>
            <w:r w:rsidRPr="003A3374">
              <w:fldChar w:fldCharType="end"/>
            </w:r>
            <w:bookmarkEnd w:id="109"/>
            <w:r w:rsidRPr="003A3374">
              <w:t xml:space="preserve">: </w:t>
            </w:r>
            <w:r w:rsidR="00333A2A" w:rsidRPr="003A3374">
              <w:t>Back in the target range</w:t>
            </w:r>
          </w:p>
        </w:tc>
        <w:tc>
          <w:tcPr>
            <w:tcW w:w="227" w:type="dxa"/>
            <w:vAlign w:val="bottom"/>
          </w:tcPr>
          <w:p w14:paraId="7DB90FF0" w14:textId="77777777" w:rsidR="00091AD6" w:rsidRPr="003A3374" w:rsidRDefault="00091AD6" w:rsidP="00ED0772">
            <w:pPr>
              <w:pStyle w:val="Normal0"/>
            </w:pPr>
          </w:p>
        </w:tc>
        <w:tc>
          <w:tcPr>
            <w:tcW w:w="4706" w:type="dxa"/>
            <w:tcBorders>
              <w:bottom w:val="single" w:sz="8" w:space="0" w:color="000000" w:themeColor="text1"/>
            </w:tcBorders>
            <w:vAlign w:val="bottom"/>
          </w:tcPr>
          <w:p w14:paraId="3FA55EB4" w14:textId="5130A713" w:rsidR="00091AD6" w:rsidRPr="003A3374" w:rsidRDefault="00091AD6" w:rsidP="00ED0772">
            <w:pPr>
              <w:pStyle w:val="TableTitle"/>
            </w:pPr>
            <w:r w:rsidRPr="003A3374">
              <w:t xml:space="preserve">Fig </w:t>
            </w:r>
            <w:bookmarkStart w:id="110" w:name="LINK_099281"/>
            <w:r w:rsidRPr="003A3374">
              <w:fldChar w:fldCharType="begin"/>
            </w:r>
            <w:r w:rsidRPr="003A3374">
              <w:instrText xml:space="preserve"> SEQ Fig </w:instrText>
            </w:r>
            <w:r w:rsidRPr="003A3374">
              <w:fldChar w:fldCharType="separate"/>
            </w:r>
            <w:r w:rsidR="006A4635" w:rsidRPr="003A3374">
              <w:rPr>
                <w:noProof/>
              </w:rPr>
              <w:t>55</w:t>
            </w:r>
            <w:r w:rsidRPr="003A3374">
              <w:fldChar w:fldCharType="end"/>
            </w:r>
            <w:bookmarkEnd w:id="110"/>
            <w:r w:rsidRPr="003A3374">
              <w:t xml:space="preserve">: </w:t>
            </w:r>
            <w:r w:rsidR="00333A2A" w:rsidRPr="003A3374">
              <w:t>Scope for ongoing €2bn pa buybacks</w:t>
            </w:r>
          </w:p>
        </w:tc>
      </w:tr>
      <w:tr w:rsidR="00091AD6" w:rsidRPr="003A3374" w14:paraId="5FE8F58C" w14:textId="77777777" w:rsidTr="00ED0772">
        <w:trPr>
          <w:cantSplit/>
        </w:trPr>
        <w:tc>
          <w:tcPr>
            <w:tcW w:w="4706" w:type="dxa"/>
            <w:tcBorders>
              <w:top w:val="single" w:sz="8" w:space="0" w:color="000000" w:themeColor="text1"/>
              <w:bottom w:val="single" w:sz="8" w:space="0" w:color="000000" w:themeColor="text1"/>
            </w:tcBorders>
          </w:tcPr>
          <w:p w14:paraId="0FF74252" w14:textId="791B390E" w:rsidR="00091AD6" w:rsidRPr="003A3374" w:rsidRDefault="004F12B9" w:rsidP="00ED0772">
            <w:pPr>
              <w:pStyle w:val="Tableplaceholder"/>
            </w:pPr>
            <w:r w:rsidRPr="003A3374">
              <w:rPr>
                <w:noProof/>
              </w:rPr>
              <w:drawing>
                <wp:inline distT="0" distB="0" distL="0" distR="0" wp14:anchorId="590C3710" wp14:editId="728BD299">
                  <wp:extent cx="2987675" cy="1807210"/>
                  <wp:effectExtent l="0" t="0" r="3175" b="2540"/>
                  <wp:docPr id="8439986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987675" cy="1807210"/>
                          </a:xfrm>
                          <a:prstGeom prst="rect">
                            <a:avLst/>
                          </a:prstGeom>
                          <a:noFill/>
                          <a:ln>
                            <a:noFill/>
                          </a:ln>
                        </pic:spPr>
                      </pic:pic>
                    </a:graphicData>
                  </a:graphic>
                </wp:inline>
              </w:drawing>
            </w:r>
          </w:p>
        </w:tc>
        <w:tc>
          <w:tcPr>
            <w:tcW w:w="227" w:type="dxa"/>
          </w:tcPr>
          <w:p w14:paraId="1BB7F9D1" w14:textId="77777777" w:rsidR="00091AD6" w:rsidRPr="003A3374" w:rsidRDefault="00091AD6" w:rsidP="00ED0772">
            <w:pPr>
              <w:pStyle w:val="Normal0"/>
            </w:pPr>
          </w:p>
        </w:tc>
        <w:tc>
          <w:tcPr>
            <w:tcW w:w="4706" w:type="dxa"/>
            <w:tcBorders>
              <w:top w:val="single" w:sz="8" w:space="0" w:color="000000" w:themeColor="text1"/>
              <w:bottom w:val="single" w:sz="8" w:space="0" w:color="000000" w:themeColor="text1"/>
            </w:tcBorders>
          </w:tcPr>
          <w:p w14:paraId="7BF778F9" w14:textId="0A98F68B" w:rsidR="00091AD6" w:rsidRPr="003A3374" w:rsidRDefault="00091AD6" w:rsidP="00ED0772">
            <w:pPr>
              <w:pStyle w:val="Tableplaceholder"/>
            </w:pPr>
            <w:r w:rsidRPr="003A3374">
              <w:rPr>
                <w:noProof/>
              </w:rPr>
              <w:drawing>
                <wp:inline distT="0" distB="0" distL="0" distR="0" wp14:anchorId="59DAA4A9" wp14:editId="6E6DEFE4">
                  <wp:extent cx="2987675" cy="1795780"/>
                  <wp:effectExtent l="0" t="0" r="3175" b="0"/>
                  <wp:docPr id="5842105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987675" cy="1795780"/>
                          </a:xfrm>
                          <a:prstGeom prst="rect">
                            <a:avLst/>
                          </a:prstGeom>
                          <a:noFill/>
                          <a:ln>
                            <a:noFill/>
                          </a:ln>
                        </pic:spPr>
                      </pic:pic>
                    </a:graphicData>
                  </a:graphic>
                </wp:inline>
              </w:drawing>
            </w:r>
          </w:p>
        </w:tc>
      </w:tr>
      <w:tr w:rsidR="00091AD6" w:rsidRPr="003A3374" w14:paraId="5C134357" w14:textId="77777777" w:rsidTr="00ED0772">
        <w:trPr>
          <w:cantSplit/>
        </w:trPr>
        <w:tc>
          <w:tcPr>
            <w:tcW w:w="4706" w:type="dxa"/>
            <w:tcBorders>
              <w:top w:val="single" w:sz="8" w:space="0" w:color="000000" w:themeColor="text1"/>
            </w:tcBorders>
          </w:tcPr>
          <w:p w14:paraId="0720D6E7" w14:textId="77777777" w:rsidR="00091AD6" w:rsidRPr="003A3374" w:rsidRDefault="00091AD6" w:rsidP="00ED0772">
            <w:pPr>
              <w:pStyle w:val="TableSource"/>
            </w:pPr>
            <w:r w:rsidRPr="003A3374">
              <w:t>Source: Rothschild &amp; Co Redburn, company</w:t>
            </w:r>
          </w:p>
        </w:tc>
        <w:tc>
          <w:tcPr>
            <w:tcW w:w="227" w:type="dxa"/>
          </w:tcPr>
          <w:p w14:paraId="11E103A2" w14:textId="77777777" w:rsidR="00091AD6" w:rsidRPr="003A3374" w:rsidRDefault="00091AD6" w:rsidP="00ED0772">
            <w:pPr>
              <w:pStyle w:val="Normal0"/>
            </w:pPr>
          </w:p>
        </w:tc>
        <w:tc>
          <w:tcPr>
            <w:tcW w:w="4706" w:type="dxa"/>
            <w:tcBorders>
              <w:top w:val="single" w:sz="8" w:space="0" w:color="000000" w:themeColor="text1"/>
            </w:tcBorders>
          </w:tcPr>
          <w:p w14:paraId="00551BAC" w14:textId="77777777" w:rsidR="00091AD6" w:rsidRPr="003A3374" w:rsidRDefault="00091AD6" w:rsidP="00ED0772">
            <w:pPr>
              <w:pStyle w:val="TableSource"/>
            </w:pPr>
            <w:r w:rsidRPr="003A3374">
              <w:t>Source: Rothschild &amp; Co Redburn, company</w:t>
            </w:r>
          </w:p>
        </w:tc>
      </w:tr>
    </w:tbl>
    <w:p w14:paraId="35CEEB5C" w14:textId="61D0C79B" w:rsidR="007A4609" w:rsidRPr="003A3374" w:rsidRDefault="00E55F09" w:rsidP="00C3036B">
      <w:pPr>
        <w:pStyle w:val="Heading20"/>
      </w:pPr>
      <w:bookmarkStart w:id="111" w:name="_Toc214545146"/>
      <w:r w:rsidRPr="003A3374">
        <w:t>Changes to forecasts</w:t>
      </w:r>
      <w:bookmarkEnd w:id="111"/>
    </w:p>
    <w:p w14:paraId="686FDD54" w14:textId="223F5837" w:rsidR="00623146" w:rsidRPr="003A3374" w:rsidRDefault="00E55F09" w:rsidP="00E55F09">
      <w:pPr>
        <w:pStyle w:val="BodyText"/>
      </w:pPr>
      <w:r w:rsidRPr="003A3374">
        <w:t xml:space="preserve">Our CCEP forecasts are broadly unchanged following the site visit </w:t>
      </w:r>
      <w:r w:rsidR="00623146" w:rsidRPr="003A3374">
        <w:t>(Fig </w:t>
      </w:r>
      <w:r w:rsidR="00623146" w:rsidRPr="003A3374">
        <w:fldChar w:fldCharType="begin"/>
      </w:r>
      <w:r w:rsidR="00623146" w:rsidRPr="003A3374">
        <w:instrText xml:space="preserve"> REF LINK_081026 \h </w:instrText>
      </w:r>
      <w:r w:rsidR="00623146" w:rsidRPr="003A3374">
        <w:fldChar w:fldCharType="separate"/>
      </w:r>
      <w:r w:rsidR="006A4635" w:rsidRPr="003A3374">
        <w:rPr>
          <w:noProof/>
        </w:rPr>
        <w:t>56</w:t>
      </w:r>
      <w:r w:rsidR="00623146" w:rsidRPr="003A3374">
        <w:fldChar w:fldCharType="end"/>
      </w:r>
      <w:r w:rsidR="00623146" w:rsidRPr="003A3374">
        <w:t>).</w:t>
      </w:r>
    </w:p>
    <w:tbl>
      <w:tblPr>
        <w:tblStyle w:val="TableGrid"/>
        <w:tblW w:w="9637" w:type="dxa"/>
        <w:tblLayout w:type="fixed"/>
        <w:tblCellMar>
          <w:left w:w="0" w:type="dxa"/>
          <w:right w:w="0" w:type="dxa"/>
        </w:tblCellMar>
        <w:tblLook w:val="04A0" w:firstRow="1" w:lastRow="0" w:firstColumn="1" w:lastColumn="0" w:noHBand="0" w:noVBand="1"/>
      </w:tblPr>
      <w:tblGrid>
        <w:gridCol w:w="9637"/>
      </w:tblGrid>
      <w:tr w:rsidR="00623146" w:rsidRPr="003A3374" w14:paraId="38F1C4CD" w14:textId="77777777" w:rsidTr="005F1035">
        <w:trPr>
          <w:cantSplit/>
          <w:tblHeader/>
        </w:trPr>
        <w:tc>
          <w:tcPr>
            <w:tcW w:w="9637" w:type="dxa"/>
            <w:tcBorders>
              <w:bottom w:val="single" w:sz="8" w:space="0" w:color="000000" w:themeColor="text1"/>
            </w:tcBorders>
          </w:tcPr>
          <w:p w14:paraId="268AE14B" w14:textId="3A3BE0F3" w:rsidR="00623146" w:rsidRPr="003A3374" w:rsidRDefault="00623146" w:rsidP="005F1035">
            <w:pPr>
              <w:pStyle w:val="TableTitle"/>
            </w:pPr>
            <w:r w:rsidRPr="003A3374">
              <w:lastRenderedPageBreak/>
              <w:t xml:space="preserve">Fig </w:t>
            </w:r>
            <w:bookmarkStart w:id="112" w:name="LINK_081026"/>
            <w:r w:rsidRPr="003A3374">
              <w:fldChar w:fldCharType="begin"/>
            </w:r>
            <w:r w:rsidRPr="003A3374">
              <w:instrText xml:space="preserve"> SEQ Fig </w:instrText>
            </w:r>
            <w:r w:rsidRPr="003A3374">
              <w:fldChar w:fldCharType="separate"/>
            </w:r>
            <w:r w:rsidR="006A4635" w:rsidRPr="003A3374">
              <w:rPr>
                <w:noProof/>
              </w:rPr>
              <w:t>56</w:t>
            </w:r>
            <w:r w:rsidRPr="003A3374">
              <w:fldChar w:fldCharType="end"/>
            </w:r>
            <w:bookmarkEnd w:id="112"/>
            <w:r w:rsidRPr="003A3374">
              <w:t>: Rothschild &amp; Co Redburn CCEP estimates changes</w:t>
            </w:r>
          </w:p>
        </w:tc>
      </w:tr>
      <w:tr w:rsidR="00623146" w:rsidRPr="003A3374" w14:paraId="13C0A416" w14:textId="77777777" w:rsidTr="005F1035">
        <w:trPr>
          <w:cantSplit/>
        </w:trPr>
        <w:tc>
          <w:tcPr>
            <w:tcW w:w="9637" w:type="dxa"/>
            <w:tcBorders>
              <w:top w:val="single" w:sz="8" w:space="0" w:color="000000" w:themeColor="text1"/>
              <w:bottom w:val="single" w:sz="8" w:space="0" w:color="000000" w:themeColor="text1"/>
            </w:tcBorders>
          </w:tcPr>
          <w:tbl>
            <w:tblPr>
              <w:tblStyle w:val="Dataholder"/>
              <w:tblW w:w="9639" w:type="dxa"/>
              <w:tblLayout w:type="fixed"/>
              <w:tblLook w:val="06A0" w:firstRow="1" w:lastRow="0" w:firstColumn="1" w:lastColumn="0" w:noHBand="1" w:noVBand="1"/>
            </w:tblPr>
            <w:tblGrid>
              <w:gridCol w:w="1985"/>
              <w:gridCol w:w="1064"/>
              <w:gridCol w:w="871"/>
              <w:gridCol w:w="672"/>
              <w:gridCol w:w="243"/>
              <w:gridCol w:w="725"/>
              <w:gridCol w:w="871"/>
              <w:gridCol w:w="580"/>
              <w:gridCol w:w="241"/>
              <w:gridCol w:w="795"/>
              <w:gridCol w:w="796"/>
              <w:gridCol w:w="796"/>
            </w:tblGrid>
            <w:tr w:rsidR="00623146" w:rsidRPr="003A3374" w14:paraId="66BB90E5" w14:textId="77777777" w:rsidTr="005F1035">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985" w:type="dxa"/>
                  <w:tcBorders>
                    <w:bottom w:val="none" w:sz="0" w:space="0" w:color="auto"/>
                  </w:tcBorders>
                </w:tcPr>
                <w:p w14:paraId="2E17BC0C" w14:textId="77777777" w:rsidR="00623146" w:rsidRPr="003A3374" w:rsidRDefault="00623146" w:rsidP="005F1035">
                  <w:pPr>
                    <w:pStyle w:val="TableText0"/>
                  </w:pPr>
                </w:p>
              </w:tc>
              <w:tc>
                <w:tcPr>
                  <w:tcW w:w="2607" w:type="dxa"/>
                  <w:gridSpan w:val="3"/>
                  <w:tcBorders>
                    <w:bottom w:val="none" w:sz="0" w:space="0" w:color="auto"/>
                  </w:tcBorders>
                  <w:shd w:val="clear" w:color="auto" w:fill="E6E3DF" w:themeFill="accent4"/>
                </w:tcPr>
                <w:p w14:paraId="5F95EE73" w14:textId="77777777" w:rsidR="00623146" w:rsidRPr="003A3374" w:rsidRDefault="00623146" w:rsidP="005F1035">
                  <w:pPr>
                    <w:pStyle w:val="TableText0"/>
                    <w:cnfStyle w:val="100000000000" w:firstRow="1" w:lastRow="0" w:firstColumn="0" w:lastColumn="0" w:oddVBand="0" w:evenVBand="0" w:oddHBand="0" w:evenHBand="0" w:firstRowFirstColumn="0" w:firstRowLastColumn="0" w:lastRowFirstColumn="0" w:lastRowLastColumn="0"/>
                  </w:pPr>
                  <w:r w:rsidRPr="003A3374">
                    <w:t>------------ 2025E ------------</w:t>
                  </w:r>
                </w:p>
              </w:tc>
              <w:tc>
                <w:tcPr>
                  <w:tcW w:w="243" w:type="dxa"/>
                  <w:tcBorders>
                    <w:bottom w:val="none" w:sz="0" w:space="0" w:color="auto"/>
                  </w:tcBorders>
                </w:tcPr>
                <w:p w14:paraId="15E9A6AB" w14:textId="77777777" w:rsidR="00623146" w:rsidRPr="003A3374" w:rsidRDefault="00623146" w:rsidP="005F1035">
                  <w:pPr>
                    <w:pStyle w:val="TableText0"/>
                    <w:cnfStyle w:val="100000000000" w:firstRow="1" w:lastRow="0" w:firstColumn="0" w:lastColumn="0" w:oddVBand="0" w:evenVBand="0" w:oddHBand="0" w:evenHBand="0" w:firstRowFirstColumn="0" w:firstRowLastColumn="0" w:lastRowFirstColumn="0" w:lastRowLastColumn="0"/>
                  </w:pPr>
                </w:p>
              </w:tc>
              <w:tc>
                <w:tcPr>
                  <w:tcW w:w="2176" w:type="dxa"/>
                  <w:gridSpan w:val="3"/>
                  <w:tcBorders>
                    <w:bottom w:val="none" w:sz="0" w:space="0" w:color="auto"/>
                  </w:tcBorders>
                </w:tcPr>
                <w:p w14:paraId="3FABAF62" w14:textId="77777777" w:rsidR="00623146" w:rsidRPr="003A3374" w:rsidRDefault="00623146" w:rsidP="005F1035">
                  <w:pPr>
                    <w:pStyle w:val="TableText0"/>
                    <w:cnfStyle w:val="100000000000" w:firstRow="1" w:lastRow="0" w:firstColumn="0" w:lastColumn="0" w:oddVBand="0" w:evenVBand="0" w:oddHBand="0" w:evenHBand="0" w:firstRowFirstColumn="0" w:firstRowLastColumn="0" w:lastRowFirstColumn="0" w:lastRowLastColumn="0"/>
                  </w:pPr>
                  <w:r w:rsidRPr="003A3374">
                    <w:t>------------ 2026E ------------</w:t>
                  </w:r>
                </w:p>
              </w:tc>
              <w:tc>
                <w:tcPr>
                  <w:tcW w:w="241" w:type="dxa"/>
                  <w:tcBorders>
                    <w:bottom w:val="none" w:sz="0" w:space="0" w:color="auto"/>
                  </w:tcBorders>
                </w:tcPr>
                <w:p w14:paraId="38742475" w14:textId="77777777" w:rsidR="00623146" w:rsidRPr="003A3374" w:rsidRDefault="00623146" w:rsidP="005F1035">
                  <w:pPr>
                    <w:pStyle w:val="TableText0"/>
                    <w:cnfStyle w:val="100000000000" w:firstRow="1" w:lastRow="0" w:firstColumn="0" w:lastColumn="0" w:oddVBand="0" w:evenVBand="0" w:oddHBand="0" w:evenHBand="0" w:firstRowFirstColumn="0" w:firstRowLastColumn="0" w:lastRowFirstColumn="0" w:lastRowLastColumn="0"/>
                  </w:pPr>
                </w:p>
              </w:tc>
              <w:tc>
                <w:tcPr>
                  <w:tcW w:w="2387" w:type="dxa"/>
                  <w:gridSpan w:val="3"/>
                  <w:tcBorders>
                    <w:bottom w:val="none" w:sz="0" w:space="0" w:color="auto"/>
                  </w:tcBorders>
                  <w:shd w:val="clear" w:color="auto" w:fill="E6E3DF" w:themeFill="accent4"/>
                </w:tcPr>
                <w:p w14:paraId="5AA77EE2" w14:textId="77777777" w:rsidR="00623146" w:rsidRPr="003A3374" w:rsidRDefault="00623146" w:rsidP="005F1035">
                  <w:pPr>
                    <w:pStyle w:val="TableText0"/>
                    <w:cnfStyle w:val="100000000000" w:firstRow="1" w:lastRow="0" w:firstColumn="0" w:lastColumn="0" w:oddVBand="0" w:evenVBand="0" w:oddHBand="0" w:evenHBand="0" w:firstRowFirstColumn="0" w:firstRowLastColumn="0" w:lastRowFirstColumn="0" w:lastRowLastColumn="0"/>
                  </w:pPr>
                  <w:r w:rsidRPr="003A3374">
                    <w:t>------------ 2027E ------------</w:t>
                  </w:r>
                </w:p>
              </w:tc>
            </w:tr>
            <w:tr w:rsidR="00623146" w:rsidRPr="003A3374" w14:paraId="1744F920" w14:textId="77777777" w:rsidTr="005F1035">
              <w:trPr>
                <w:trHeight w:val="287"/>
              </w:trPr>
              <w:tc>
                <w:tcPr>
                  <w:cnfStyle w:val="001000000000" w:firstRow="0" w:lastRow="0" w:firstColumn="1" w:lastColumn="0" w:oddVBand="0" w:evenVBand="0" w:oddHBand="0" w:evenHBand="0" w:firstRowFirstColumn="0" w:firstRowLastColumn="0" w:lastRowFirstColumn="0" w:lastRowLastColumn="0"/>
                  <w:tcW w:w="1985" w:type="dxa"/>
                  <w:tcBorders>
                    <w:bottom w:val="single" w:sz="4" w:space="0" w:color="auto"/>
                  </w:tcBorders>
                </w:tcPr>
                <w:p w14:paraId="44B29781" w14:textId="77777777" w:rsidR="00623146" w:rsidRPr="003A3374" w:rsidRDefault="00623146" w:rsidP="005F1035">
                  <w:pPr>
                    <w:pStyle w:val="TableText0"/>
                    <w:rPr>
                      <w:b/>
                    </w:rPr>
                  </w:pPr>
                  <w:r w:rsidRPr="003A3374">
                    <w:rPr>
                      <w:b/>
                      <w:bCs/>
                    </w:rPr>
                    <w:t>Y/E December (€m)</w:t>
                  </w:r>
                </w:p>
              </w:tc>
              <w:tc>
                <w:tcPr>
                  <w:tcW w:w="1064" w:type="dxa"/>
                  <w:tcBorders>
                    <w:bottom w:val="single" w:sz="4" w:space="0" w:color="auto"/>
                  </w:tcBorders>
                  <w:shd w:val="clear" w:color="auto" w:fill="E6E3DF" w:themeFill="accent4"/>
                </w:tcPr>
                <w:p w14:paraId="126B0270"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Old</w:t>
                  </w:r>
                </w:p>
              </w:tc>
              <w:tc>
                <w:tcPr>
                  <w:tcW w:w="871" w:type="dxa"/>
                  <w:tcBorders>
                    <w:bottom w:val="single" w:sz="4" w:space="0" w:color="auto"/>
                  </w:tcBorders>
                  <w:shd w:val="clear" w:color="auto" w:fill="E6E3DF" w:themeFill="accent4"/>
                </w:tcPr>
                <w:p w14:paraId="2E493C9C"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New</w:t>
                  </w:r>
                </w:p>
              </w:tc>
              <w:tc>
                <w:tcPr>
                  <w:tcW w:w="672" w:type="dxa"/>
                  <w:tcBorders>
                    <w:bottom w:val="single" w:sz="4" w:space="0" w:color="auto"/>
                  </w:tcBorders>
                  <w:shd w:val="clear" w:color="auto" w:fill="E6E3DF" w:themeFill="accent4"/>
                </w:tcPr>
                <w:p w14:paraId="4AA6EFCF"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Diff</w:t>
                  </w:r>
                </w:p>
              </w:tc>
              <w:tc>
                <w:tcPr>
                  <w:tcW w:w="243" w:type="dxa"/>
                  <w:tcBorders>
                    <w:bottom w:val="single" w:sz="4" w:space="0" w:color="auto"/>
                  </w:tcBorders>
                </w:tcPr>
                <w:p w14:paraId="014AA874"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rPr>
                      <w:b/>
                    </w:rPr>
                  </w:pPr>
                </w:p>
              </w:tc>
              <w:tc>
                <w:tcPr>
                  <w:tcW w:w="725" w:type="dxa"/>
                  <w:tcBorders>
                    <w:bottom w:val="single" w:sz="4" w:space="0" w:color="auto"/>
                  </w:tcBorders>
                </w:tcPr>
                <w:p w14:paraId="282D0BDC"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Old</w:t>
                  </w:r>
                </w:p>
              </w:tc>
              <w:tc>
                <w:tcPr>
                  <w:tcW w:w="871" w:type="dxa"/>
                  <w:tcBorders>
                    <w:bottom w:val="single" w:sz="4" w:space="0" w:color="auto"/>
                  </w:tcBorders>
                </w:tcPr>
                <w:p w14:paraId="632CC6B8"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New</w:t>
                  </w:r>
                </w:p>
              </w:tc>
              <w:tc>
                <w:tcPr>
                  <w:tcW w:w="580" w:type="dxa"/>
                  <w:tcBorders>
                    <w:bottom w:val="single" w:sz="4" w:space="0" w:color="auto"/>
                  </w:tcBorders>
                </w:tcPr>
                <w:p w14:paraId="47D07758"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Diff</w:t>
                  </w:r>
                </w:p>
              </w:tc>
              <w:tc>
                <w:tcPr>
                  <w:tcW w:w="241" w:type="dxa"/>
                  <w:tcBorders>
                    <w:bottom w:val="single" w:sz="4" w:space="0" w:color="auto"/>
                  </w:tcBorders>
                </w:tcPr>
                <w:p w14:paraId="237F3BBE"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rPr>
                      <w:b/>
                    </w:rPr>
                  </w:pPr>
                </w:p>
              </w:tc>
              <w:tc>
                <w:tcPr>
                  <w:tcW w:w="795" w:type="dxa"/>
                  <w:tcBorders>
                    <w:bottom w:val="single" w:sz="4" w:space="0" w:color="auto"/>
                  </w:tcBorders>
                  <w:shd w:val="clear" w:color="auto" w:fill="E6E3DF" w:themeFill="accent4"/>
                </w:tcPr>
                <w:p w14:paraId="6323BA85"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Old</w:t>
                  </w:r>
                </w:p>
              </w:tc>
              <w:tc>
                <w:tcPr>
                  <w:tcW w:w="796" w:type="dxa"/>
                  <w:tcBorders>
                    <w:bottom w:val="single" w:sz="4" w:space="0" w:color="auto"/>
                  </w:tcBorders>
                  <w:shd w:val="clear" w:color="auto" w:fill="E6E3DF" w:themeFill="accent4"/>
                </w:tcPr>
                <w:p w14:paraId="6CB759A1"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New</w:t>
                  </w:r>
                </w:p>
              </w:tc>
              <w:tc>
                <w:tcPr>
                  <w:tcW w:w="796" w:type="dxa"/>
                  <w:tcBorders>
                    <w:bottom w:val="single" w:sz="4" w:space="0" w:color="auto"/>
                  </w:tcBorders>
                  <w:shd w:val="clear" w:color="auto" w:fill="E6E3DF" w:themeFill="accent4"/>
                </w:tcPr>
                <w:p w14:paraId="50F6631C"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Diff</w:t>
                  </w:r>
                </w:p>
              </w:tc>
            </w:tr>
            <w:tr w:rsidR="00623146" w:rsidRPr="003A3374" w14:paraId="295352EA" w14:textId="77777777" w:rsidTr="005F1035">
              <w:trPr>
                <w:trHeight w:val="279"/>
              </w:trPr>
              <w:tc>
                <w:tcPr>
                  <w:cnfStyle w:val="001000000000" w:firstRow="0" w:lastRow="0" w:firstColumn="1" w:lastColumn="0" w:oddVBand="0" w:evenVBand="0" w:oddHBand="0" w:evenHBand="0" w:firstRowFirstColumn="0" w:firstRowLastColumn="0" w:lastRowFirstColumn="0" w:lastRowLastColumn="0"/>
                  <w:tcW w:w="1985" w:type="dxa"/>
                  <w:tcBorders>
                    <w:top w:val="single" w:sz="4" w:space="0" w:color="auto"/>
                  </w:tcBorders>
                </w:tcPr>
                <w:p w14:paraId="4C15ECD5" w14:textId="77777777" w:rsidR="00623146" w:rsidRPr="003A3374" w:rsidRDefault="00623146" w:rsidP="005F1035">
                  <w:pPr>
                    <w:pStyle w:val="TableText0"/>
                  </w:pPr>
                  <w:r w:rsidRPr="003A3374">
                    <w:t>Net sales</w:t>
                  </w:r>
                </w:p>
              </w:tc>
              <w:tc>
                <w:tcPr>
                  <w:tcW w:w="1064" w:type="dxa"/>
                  <w:tcBorders>
                    <w:top w:val="single" w:sz="4" w:space="0" w:color="auto"/>
                  </w:tcBorders>
                  <w:shd w:val="clear" w:color="auto" w:fill="E6E3DF" w:themeFill="accent4"/>
                </w:tcPr>
                <w:p w14:paraId="002B87AA" w14:textId="1A59093C"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20,891</w:t>
                  </w:r>
                </w:p>
              </w:tc>
              <w:tc>
                <w:tcPr>
                  <w:tcW w:w="871" w:type="dxa"/>
                  <w:tcBorders>
                    <w:top w:val="single" w:sz="4" w:space="0" w:color="auto"/>
                  </w:tcBorders>
                  <w:shd w:val="clear" w:color="auto" w:fill="E6E3DF" w:themeFill="accent4"/>
                </w:tcPr>
                <w:p w14:paraId="210047E5" w14:textId="51019C9B"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20,910</w:t>
                  </w:r>
                </w:p>
              </w:tc>
              <w:tc>
                <w:tcPr>
                  <w:tcW w:w="672" w:type="dxa"/>
                  <w:tcBorders>
                    <w:top w:val="single" w:sz="4" w:space="0" w:color="auto"/>
                  </w:tcBorders>
                  <w:shd w:val="clear" w:color="auto" w:fill="E6E3DF" w:themeFill="accent4"/>
                </w:tcPr>
                <w:p w14:paraId="22D2EC71" w14:textId="7EE33700"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0.1%</w:t>
                  </w:r>
                </w:p>
              </w:tc>
              <w:tc>
                <w:tcPr>
                  <w:tcW w:w="243" w:type="dxa"/>
                  <w:tcBorders>
                    <w:top w:val="single" w:sz="4" w:space="0" w:color="auto"/>
                  </w:tcBorders>
                </w:tcPr>
                <w:p w14:paraId="10C58185" w14:textId="3F0079DF"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pPr>
                </w:p>
              </w:tc>
              <w:tc>
                <w:tcPr>
                  <w:tcW w:w="725" w:type="dxa"/>
                  <w:tcBorders>
                    <w:top w:val="single" w:sz="4" w:space="0" w:color="auto"/>
                  </w:tcBorders>
                </w:tcPr>
                <w:p w14:paraId="04069653" w14:textId="47025DE0"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21,317</w:t>
                  </w:r>
                </w:p>
              </w:tc>
              <w:tc>
                <w:tcPr>
                  <w:tcW w:w="871" w:type="dxa"/>
                  <w:tcBorders>
                    <w:top w:val="single" w:sz="4" w:space="0" w:color="auto"/>
                  </w:tcBorders>
                </w:tcPr>
                <w:p w14:paraId="0BC19AD0" w14:textId="4088FCF7"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21,307</w:t>
                  </w:r>
                </w:p>
              </w:tc>
              <w:tc>
                <w:tcPr>
                  <w:tcW w:w="580" w:type="dxa"/>
                  <w:tcBorders>
                    <w:top w:val="single" w:sz="4" w:space="0" w:color="auto"/>
                  </w:tcBorders>
                </w:tcPr>
                <w:p w14:paraId="1D5CDAEE" w14:textId="330FAA14"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-0.1%</w:t>
                  </w:r>
                </w:p>
              </w:tc>
              <w:tc>
                <w:tcPr>
                  <w:tcW w:w="241" w:type="dxa"/>
                  <w:tcBorders>
                    <w:top w:val="single" w:sz="4" w:space="0" w:color="auto"/>
                  </w:tcBorders>
                </w:tcPr>
                <w:p w14:paraId="0E47AD3D" w14:textId="31F57C91"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pPr>
                </w:p>
              </w:tc>
              <w:tc>
                <w:tcPr>
                  <w:tcW w:w="795" w:type="dxa"/>
                  <w:tcBorders>
                    <w:top w:val="single" w:sz="4" w:space="0" w:color="auto"/>
                  </w:tcBorders>
                  <w:shd w:val="clear" w:color="auto" w:fill="E6E3DF" w:themeFill="accent4"/>
                </w:tcPr>
                <w:p w14:paraId="6ECDA94A" w14:textId="437BDEA9"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22,083</w:t>
                  </w:r>
                </w:p>
              </w:tc>
              <w:tc>
                <w:tcPr>
                  <w:tcW w:w="796" w:type="dxa"/>
                  <w:tcBorders>
                    <w:top w:val="single" w:sz="4" w:space="0" w:color="auto"/>
                  </w:tcBorders>
                  <w:shd w:val="clear" w:color="auto" w:fill="E6E3DF" w:themeFill="accent4"/>
                </w:tcPr>
                <w:p w14:paraId="62E47B8F" w14:textId="31E68C32"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22,093</w:t>
                  </w:r>
                </w:p>
              </w:tc>
              <w:tc>
                <w:tcPr>
                  <w:tcW w:w="796" w:type="dxa"/>
                  <w:tcBorders>
                    <w:top w:val="single" w:sz="4" w:space="0" w:color="auto"/>
                  </w:tcBorders>
                  <w:shd w:val="clear" w:color="auto" w:fill="E6E3DF" w:themeFill="accent4"/>
                </w:tcPr>
                <w:p w14:paraId="72650A91" w14:textId="4E14B0B6"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0.0%</w:t>
                  </w:r>
                </w:p>
              </w:tc>
            </w:tr>
            <w:tr w:rsidR="00623146" w:rsidRPr="003A3374" w14:paraId="3346136D" w14:textId="77777777" w:rsidTr="005F1035">
              <w:trPr>
                <w:trHeight w:val="271"/>
              </w:trPr>
              <w:tc>
                <w:tcPr>
                  <w:cnfStyle w:val="001000000000" w:firstRow="0" w:lastRow="0" w:firstColumn="1" w:lastColumn="0" w:oddVBand="0" w:evenVBand="0" w:oddHBand="0" w:evenHBand="0" w:firstRowFirstColumn="0" w:firstRowLastColumn="0" w:lastRowFirstColumn="0" w:lastRowLastColumn="0"/>
                  <w:tcW w:w="1985" w:type="dxa"/>
                </w:tcPr>
                <w:p w14:paraId="7CA0A6C2" w14:textId="77777777" w:rsidR="00623146" w:rsidRPr="003A3374" w:rsidRDefault="00623146" w:rsidP="005F1035">
                  <w:pPr>
                    <w:pStyle w:val="TableText0"/>
                  </w:pPr>
                  <w:r w:rsidRPr="003A3374">
                    <w:t>Organic sales growth (%)</w:t>
                  </w:r>
                </w:p>
              </w:tc>
              <w:tc>
                <w:tcPr>
                  <w:tcW w:w="1064" w:type="dxa"/>
                  <w:shd w:val="clear" w:color="auto" w:fill="E6E3DF" w:themeFill="accent4"/>
                </w:tcPr>
                <w:p w14:paraId="3A2A52D1" w14:textId="50848793"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3.9%</w:t>
                  </w:r>
                </w:p>
              </w:tc>
              <w:tc>
                <w:tcPr>
                  <w:tcW w:w="871" w:type="dxa"/>
                  <w:shd w:val="clear" w:color="auto" w:fill="E6E3DF" w:themeFill="accent4"/>
                </w:tcPr>
                <w:p w14:paraId="04B7FCF6" w14:textId="6C2320BA"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3.9%</w:t>
                  </w:r>
                </w:p>
              </w:tc>
              <w:tc>
                <w:tcPr>
                  <w:tcW w:w="672" w:type="dxa"/>
                  <w:shd w:val="clear" w:color="auto" w:fill="E6E3DF" w:themeFill="accent4"/>
                </w:tcPr>
                <w:p w14:paraId="21702576" w14:textId="40C49B81"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0bps</w:t>
                  </w:r>
                </w:p>
              </w:tc>
              <w:tc>
                <w:tcPr>
                  <w:tcW w:w="243" w:type="dxa"/>
                </w:tcPr>
                <w:p w14:paraId="6659ED44" w14:textId="437A3D19"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pPr>
                </w:p>
              </w:tc>
              <w:tc>
                <w:tcPr>
                  <w:tcW w:w="725" w:type="dxa"/>
                </w:tcPr>
                <w:p w14:paraId="22F03BE5" w14:textId="61BE5C78"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4.0%</w:t>
                  </w:r>
                </w:p>
              </w:tc>
              <w:tc>
                <w:tcPr>
                  <w:tcW w:w="871" w:type="dxa"/>
                </w:tcPr>
                <w:p w14:paraId="75369322" w14:textId="7525F2EF"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4.1%</w:t>
                  </w:r>
                </w:p>
              </w:tc>
              <w:tc>
                <w:tcPr>
                  <w:tcW w:w="580" w:type="dxa"/>
                </w:tcPr>
                <w:p w14:paraId="49B7827A" w14:textId="44F787E0"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3bps</w:t>
                  </w:r>
                </w:p>
              </w:tc>
              <w:tc>
                <w:tcPr>
                  <w:tcW w:w="241" w:type="dxa"/>
                </w:tcPr>
                <w:p w14:paraId="2015575E" w14:textId="4891C7C5"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pPr>
                </w:p>
              </w:tc>
              <w:tc>
                <w:tcPr>
                  <w:tcW w:w="795" w:type="dxa"/>
                  <w:shd w:val="clear" w:color="auto" w:fill="E6E3DF" w:themeFill="accent4"/>
                </w:tcPr>
                <w:p w14:paraId="6DC56AD7" w14:textId="7EFCF4F3"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3.8%</w:t>
                  </w:r>
                </w:p>
              </w:tc>
              <w:tc>
                <w:tcPr>
                  <w:tcW w:w="796" w:type="dxa"/>
                  <w:shd w:val="clear" w:color="auto" w:fill="E6E3DF" w:themeFill="accent4"/>
                </w:tcPr>
                <w:p w14:paraId="49A0B510" w14:textId="4F835967"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3.8%</w:t>
                  </w:r>
                </w:p>
              </w:tc>
              <w:tc>
                <w:tcPr>
                  <w:tcW w:w="796" w:type="dxa"/>
                  <w:shd w:val="clear" w:color="auto" w:fill="E6E3DF" w:themeFill="accent4"/>
                </w:tcPr>
                <w:p w14:paraId="354F0380" w14:textId="759BB50D"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10bps</w:t>
                  </w:r>
                </w:p>
              </w:tc>
            </w:tr>
            <w:tr w:rsidR="00623146" w:rsidRPr="003A3374" w14:paraId="2E8BC3B5" w14:textId="77777777" w:rsidTr="005F1035">
              <w:trPr>
                <w:trHeight w:val="279"/>
              </w:trPr>
              <w:tc>
                <w:tcPr>
                  <w:cnfStyle w:val="001000000000" w:firstRow="0" w:lastRow="0" w:firstColumn="1" w:lastColumn="0" w:oddVBand="0" w:evenVBand="0" w:oddHBand="0" w:evenHBand="0" w:firstRowFirstColumn="0" w:firstRowLastColumn="0" w:lastRowFirstColumn="0" w:lastRowLastColumn="0"/>
                  <w:tcW w:w="1985" w:type="dxa"/>
                </w:tcPr>
                <w:p w14:paraId="226412D8" w14:textId="77777777" w:rsidR="00623146" w:rsidRPr="003A3374" w:rsidRDefault="00623146" w:rsidP="005F1035">
                  <w:pPr>
                    <w:pStyle w:val="TableText0"/>
                  </w:pPr>
                  <w:r w:rsidRPr="003A3374">
                    <w:t>Operating income</w:t>
                  </w:r>
                </w:p>
              </w:tc>
              <w:tc>
                <w:tcPr>
                  <w:tcW w:w="1064" w:type="dxa"/>
                  <w:shd w:val="clear" w:color="auto" w:fill="E6E3DF" w:themeFill="accent4"/>
                </w:tcPr>
                <w:p w14:paraId="74339E90" w14:textId="7B9DBD2C"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2,800</w:t>
                  </w:r>
                </w:p>
              </w:tc>
              <w:tc>
                <w:tcPr>
                  <w:tcW w:w="871" w:type="dxa"/>
                  <w:shd w:val="clear" w:color="auto" w:fill="E6E3DF" w:themeFill="accent4"/>
                </w:tcPr>
                <w:p w14:paraId="7B57000E" w14:textId="604CDE5F"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2,803</w:t>
                  </w:r>
                </w:p>
              </w:tc>
              <w:tc>
                <w:tcPr>
                  <w:tcW w:w="672" w:type="dxa"/>
                  <w:shd w:val="clear" w:color="auto" w:fill="E6E3DF" w:themeFill="accent4"/>
                </w:tcPr>
                <w:p w14:paraId="53AA2221" w14:textId="7B4CAE22"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0.1%</w:t>
                  </w:r>
                </w:p>
              </w:tc>
              <w:tc>
                <w:tcPr>
                  <w:tcW w:w="243" w:type="dxa"/>
                </w:tcPr>
                <w:p w14:paraId="40EC2E5F" w14:textId="3D4A18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pPr>
                </w:p>
              </w:tc>
              <w:tc>
                <w:tcPr>
                  <w:tcW w:w="725" w:type="dxa"/>
                </w:tcPr>
                <w:p w14:paraId="3FBBB8F2" w14:textId="5F5F5EC7"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2,968</w:t>
                  </w:r>
                </w:p>
              </w:tc>
              <w:tc>
                <w:tcPr>
                  <w:tcW w:w="871" w:type="dxa"/>
                </w:tcPr>
                <w:p w14:paraId="1FB2EBDD" w14:textId="3DCB3838"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2,962</w:t>
                  </w:r>
                </w:p>
              </w:tc>
              <w:tc>
                <w:tcPr>
                  <w:tcW w:w="580" w:type="dxa"/>
                </w:tcPr>
                <w:p w14:paraId="2E0F4FDC" w14:textId="6D4841DB"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-0.2%</w:t>
                  </w:r>
                </w:p>
              </w:tc>
              <w:tc>
                <w:tcPr>
                  <w:tcW w:w="241" w:type="dxa"/>
                </w:tcPr>
                <w:p w14:paraId="1C7764D8" w14:textId="22FCCE6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pPr>
                </w:p>
              </w:tc>
              <w:tc>
                <w:tcPr>
                  <w:tcW w:w="795" w:type="dxa"/>
                  <w:shd w:val="clear" w:color="auto" w:fill="E6E3DF" w:themeFill="accent4"/>
                </w:tcPr>
                <w:p w14:paraId="2B64759B" w14:textId="6BF4A783"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3,167</w:t>
                  </w:r>
                </w:p>
              </w:tc>
              <w:tc>
                <w:tcPr>
                  <w:tcW w:w="796" w:type="dxa"/>
                  <w:shd w:val="clear" w:color="auto" w:fill="E6E3DF" w:themeFill="accent4"/>
                </w:tcPr>
                <w:p w14:paraId="48008B8E" w14:textId="498FF698"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3,164</w:t>
                  </w:r>
                </w:p>
              </w:tc>
              <w:tc>
                <w:tcPr>
                  <w:tcW w:w="796" w:type="dxa"/>
                  <w:shd w:val="clear" w:color="auto" w:fill="E6E3DF" w:themeFill="accent4"/>
                </w:tcPr>
                <w:p w14:paraId="57F6B507" w14:textId="54DD5C02"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-0.1%</w:t>
                  </w:r>
                </w:p>
              </w:tc>
            </w:tr>
            <w:tr w:rsidR="00623146" w:rsidRPr="003A3374" w14:paraId="2EEED07E" w14:textId="77777777" w:rsidTr="005F1035">
              <w:trPr>
                <w:trHeight w:val="279"/>
              </w:trPr>
              <w:tc>
                <w:tcPr>
                  <w:cnfStyle w:val="001000000000" w:firstRow="0" w:lastRow="0" w:firstColumn="1" w:lastColumn="0" w:oddVBand="0" w:evenVBand="0" w:oddHBand="0" w:evenHBand="0" w:firstRowFirstColumn="0" w:firstRowLastColumn="0" w:lastRowFirstColumn="0" w:lastRowLastColumn="0"/>
                  <w:tcW w:w="1985" w:type="dxa"/>
                </w:tcPr>
                <w:p w14:paraId="42DFBB63" w14:textId="77777777" w:rsidR="00623146" w:rsidRPr="003A3374" w:rsidRDefault="00623146" w:rsidP="005F1035">
                  <w:pPr>
                    <w:pStyle w:val="TableText0"/>
                  </w:pPr>
                  <w:r w:rsidRPr="003A3374">
                    <w:t>Operating margin (%)</w:t>
                  </w:r>
                </w:p>
              </w:tc>
              <w:tc>
                <w:tcPr>
                  <w:tcW w:w="1064" w:type="dxa"/>
                  <w:shd w:val="clear" w:color="auto" w:fill="E6E3DF" w:themeFill="accent4"/>
                </w:tcPr>
                <w:p w14:paraId="1C24AD7E" w14:textId="1862D287"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13.4%</w:t>
                  </w:r>
                </w:p>
              </w:tc>
              <w:tc>
                <w:tcPr>
                  <w:tcW w:w="871" w:type="dxa"/>
                  <w:shd w:val="clear" w:color="auto" w:fill="E6E3DF" w:themeFill="accent4"/>
                </w:tcPr>
                <w:p w14:paraId="46207D29" w14:textId="2362289A"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13.4%</w:t>
                  </w:r>
                </w:p>
              </w:tc>
              <w:tc>
                <w:tcPr>
                  <w:tcW w:w="672" w:type="dxa"/>
                  <w:shd w:val="clear" w:color="auto" w:fill="E6E3DF" w:themeFill="accent4"/>
                </w:tcPr>
                <w:p w14:paraId="676E652F" w14:textId="5F6D8653"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1bps</w:t>
                  </w:r>
                </w:p>
              </w:tc>
              <w:tc>
                <w:tcPr>
                  <w:tcW w:w="243" w:type="dxa"/>
                </w:tcPr>
                <w:p w14:paraId="112CAD5E" w14:textId="47DF4308"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pPr>
                </w:p>
              </w:tc>
              <w:tc>
                <w:tcPr>
                  <w:tcW w:w="725" w:type="dxa"/>
                </w:tcPr>
                <w:p w14:paraId="7A03BB33" w14:textId="7B380DFF"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13.9%</w:t>
                  </w:r>
                </w:p>
              </w:tc>
              <w:tc>
                <w:tcPr>
                  <w:tcW w:w="871" w:type="dxa"/>
                </w:tcPr>
                <w:p w14:paraId="7C317B60" w14:textId="6A5E3D2A"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13.9%</w:t>
                  </w:r>
                </w:p>
              </w:tc>
              <w:tc>
                <w:tcPr>
                  <w:tcW w:w="580" w:type="dxa"/>
                </w:tcPr>
                <w:p w14:paraId="115708CA" w14:textId="6452F230"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-2bps</w:t>
                  </w:r>
                </w:p>
              </w:tc>
              <w:tc>
                <w:tcPr>
                  <w:tcW w:w="241" w:type="dxa"/>
                </w:tcPr>
                <w:p w14:paraId="52F8EB0C" w14:textId="58FCFDEE"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pPr>
                </w:p>
              </w:tc>
              <w:tc>
                <w:tcPr>
                  <w:tcW w:w="795" w:type="dxa"/>
                  <w:shd w:val="clear" w:color="auto" w:fill="E6E3DF" w:themeFill="accent4"/>
                </w:tcPr>
                <w:p w14:paraId="325E1802" w14:textId="00041A55"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14.3%</w:t>
                  </w:r>
                </w:p>
              </w:tc>
              <w:tc>
                <w:tcPr>
                  <w:tcW w:w="796" w:type="dxa"/>
                  <w:shd w:val="clear" w:color="auto" w:fill="E6E3DF" w:themeFill="accent4"/>
                </w:tcPr>
                <w:p w14:paraId="5ECBC6BD" w14:textId="2A992C47"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14.3%</w:t>
                  </w:r>
                </w:p>
              </w:tc>
              <w:tc>
                <w:tcPr>
                  <w:tcW w:w="796" w:type="dxa"/>
                  <w:shd w:val="clear" w:color="auto" w:fill="E6E3DF" w:themeFill="accent4"/>
                </w:tcPr>
                <w:p w14:paraId="4A941B79" w14:textId="47017B4E"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-2bps</w:t>
                  </w:r>
                </w:p>
              </w:tc>
            </w:tr>
            <w:tr w:rsidR="00623146" w:rsidRPr="003A3374" w14:paraId="2BA3FF76" w14:textId="77777777" w:rsidTr="005F1035">
              <w:trPr>
                <w:trHeight w:val="271"/>
              </w:trPr>
              <w:tc>
                <w:tcPr>
                  <w:cnfStyle w:val="001000000000" w:firstRow="0" w:lastRow="0" w:firstColumn="1" w:lastColumn="0" w:oddVBand="0" w:evenVBand="0" w:oddHBand="0" w:evenHBand="0" w:firstRowFirstColumn="0" w:firstRowLastColumn="0" w:lastRowFirstColumn="0" w:lastRowLastColumn="0"/>
                  <w:tcW w:w="1985" w:type="dxa"/>
                </w:tcPr>
                <w:p w14:paraId="1AC13BF4" w14:textId="77777777" w:rsidR="00623146" w:rsidRPr="003A3374" w:rsidRDefault="00623146" w:rsidP="005F1035">
                  <w:pPr>
                    <w:pStyle w:val="TableText0"/>
                  </w:pPr>
                  <w:r w:rsidRPr="003A3374">
                    <w:t>Adjusted, diluted EPS (€)</w:t>
                  </w:r>
                </w:p>
              </w:tc>
              <w:tc>
                <w:tcPr>
                  <w:tcW w:w="1064" w:type="dxa"/>
                  <w:shd w:val="clear" w:color="auto" w:fill="E6E3DF" w:themeFill="accent4"/>
                </w:tcPr>
                <w:p w14:paraId="0225D2BD" w14:textId="348943FC"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4.12</w:t>
                  </w:r>
                </w:p>
              </w:tc>
              <w:tc>
                <w:tcPr>
                  <w:tcW w:w="871" w:type="dxa"/>
                  <w:shd w:val="clear" w:color="auto" w:fill="E6E3DF" w:themeFill="accent4"/>
                </w:tcPr>
                <w:p w14:paraId="00126100" w14:textId="13C7031B"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4.12</w:t>
                  </w:r>
                </w:p>
              </w:tc>
              <w:tc>
                <w:tcPr>
                  <w:tcW w:w="672" w:type="dxa"/>
                  <w:shd w:val="clear" w:color="auto" w:fill="E6E3DF" w:themeFill="accent4"/>
                </w:tcPr>
                <w:p w14:paraId="5C1FE34A" w14:textId="1D6A06EB"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0.1%</w:t>
                  </w:r>
                </w:p>
              </w:tc>
              <w:tc>
                <w:tcPr>
                  <w:tcW w:w="243" w:type="dxa"/>
                </w:tcPr>
                <w:p w14:paraId="4E5F77C0" w14:textId="51F96915"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pPr>
                </w:p>
              </w:tc>
              <w:tc>
                <w:tcPr>
                  <w:tcW w:w="725" w:type="dxa"/>
                </w:tcPr>
                <w:p w14:paraId="3F81E2E8" w14:textId="744B287B"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4.50</w:t>
                  </w:r>
                </w:p>
              </w:tc>
              <w:tc>
                <w:tcPr>
                  <w:tcW w:w="871" w:type="dxa"/>
                </w:tcPr>
                <w:p w14:paraId="74EAB62B" w14:textId="400E5B87"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4.49</w:t>
                  </w:r>
                </w:p>
              </w:tc>
              <w:tc>
                <w:tcPr>
                  <w:tcW w:w="580" w:type="dxa"/>
                </w:tcPr>
                <w:p w14:paraId="6B5B924B" w14:textId="279FA94A"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-0.2%</w:t>
                  </w:r>
                </w:p>
              </w:tc>
              <w:tc>
                <w:tcPr>
                  <w:tcW w:w="241" w:type="dxa"/>
                </w:tcPr>
                <w:p w14:paraId="33083F0F" w14:textId="154B9A21"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pPr>
                </w:p>
              </w:tc>
              <w:tc>
                <w:tcPr>
                  <w:tcW w:w="795" w:type="dxa"/>
                  <w:shd w:val="clear" w:color="auto" w:fill="E6E3DF" w:themeFill="accent4"/>
                </w:tcPr>
                <w:p w14:paraId="5E67E702" w14:textId="0FA7B068"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4.94</w:t>
                  </w:r>
                </w:p>
              </w:tc>
              <w:tc>
                <w:tcPr>
                  <w:tcW w:w="796" w:type="dxa"/>
                  <w:shd w:val="clear" w:color="auto" w:fill="E6E3DF" w:themeFill="accent4"/>
                </w:tcPr>
                <w:p w14:paraId="53161948" w14:textId="120B2547"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4.94</w:t>
                  </w:r>
                </w:p>
              </w:tc>
              <w:tc>
                <w:tcPr>
                  <w:tcW w:w="796" w:type="dxa"/>
                  <w:shd w:val="clear" w:color="auto" w:fill="E6E3DF" w:themeFill="accent4"/>
                </w:tcPr>
                <w:p w14:paraId="11D4CC08" w14:textId="6939747D" w:rsidR="00623146" w:rsidRPr="003A3374" w:rsidRDefault="009F2515" w:rsidP="005F1035">
                  <w:pPr>
                    <w:pStyle w:val="TableText0"/>
                    <w:cnfStyle w:val="000000000000" w:firstRow="0" w:lastRow="0" w:firstColumn="0" w:lastColumn="0" w:oddVBand="0" w:evenVBand="0" w:oddHBand="0" w:evenHBand="0" w:firstRowFirstColumn="0" w:firstRowLastColumn="0" w:lastRowFirstColumn="0" w:lastRowLastColumn="0"/>
                  </w:pPr>
                  <w:r w:rsidRPr="003A3374">
                    <w:t>-0.1%</w:t>
                  </w:r>
                </w:p>
              </w:tc>
            </w:tr>
          </w:tbl>
          <w:p w14:paraId="4D8C2051" w14:textId="77777777" w:rsidR="00623146" w:rsidRPr="003A3374" w:rsidRDefault="00623146" w:rsidP="005F1035">
            <w:pPr>
              <w:pStyle w:val="Tableplaceholder"/>
            </w:pPr>
          </w:p>
        </w:tc>
      </w:tr>
      <w:tr w:rsidR="00623146" w:rsidRPr="003A3374" w14:paraId="68EEDF50" w14:textId="77777777" w:rsidTr="005F1035">
        <w:trPr>
          <w:cantSplit/>
        </w:trPr>
        <w:tc>
          <w:tcPr>
            <w:tcW w:w="9637" w:type="dxa"/>
            <w:tcBorders>
              <w:top w:val="single" w:sz="8" w:space="0" w:color="000000" w:themeColor="text1"/>
            </w:tcBorders>
          </w:tcPr>
          <w:p w14:paraId="60639F9B" w14:textId="77777777" w:rsidR="00623146" w:rsidRPr="003A3374" w:rsidRDefault="00623146" w:rsidP="005F1035">
            <w:pPr>
              <w:pStyle w:val="TableSource"/>
            </w:pPr>
            <w:r w:rsidRPr="003A3374">
              <w:t>Source: Rothschild &amp; Co Redburn, company</w:t>
            </w:r>
          </w:p>
        </w:tc>
      </w:tr>
    </w:tbl>
    <w:p w14:paraId="2FD719DB" w14:textId="084A0D96" w:rsidR="00B97367" w:rsidRPr="003A3374" w:rsidRDefault="00623146" w:rsidP="00BE4800">
      <w:pPr>
        <w:pStyle w:val="Bullet"/>
        <w:numPr>
          <w:ilvl w:val="0"/>
          <w:numId w:val="0"/>
        </w:numPr>
      </w:pPr>
      <w:r w:rsidRPr="003A3374">
        <w:t xml:space="preserve">A summary of our estimates versus consensus are shown below (Fig </w:t>
      </w:r>
      <w:r w:rsidRPr="003A3374">
        <w:fldChar w:fldCharType="begin"/>
      </w:r>
      <w:r w:rsidRPr="003A3374">
        <w:instrText xml:space="preserve"> REF LINK_043368 \h </w:instrText>
      </w:r>
      <w:r w:rsidRPr="003A3374">
        <w:fldChar w:fldCharType="separate"/>
      </w:r>
      <w:r w:rsidR="006A4635" w:rsidRPr="003A3374">
        <w:rPr>
          <w:noProof/>
        </w:rPr>
        <w:t>57</w:t>
      </w:r>
      <w:r w:rsidRPr="003A3374">
        <w:fldChar w:fldCharType="end"/>
      </w:r>
      <w:r w:rsidRPr="003A3374">
        <w:t>).</w:t>
      </w:r>
      <w:r w:rsidR="0042047D" w:rsidRPr="003A3374">
        <w:t xml:space="preserve"> </w:t>
      </w:r>
      <w:r w:rsidRPr="003A3374">
        <w:t xml:space="preserve">We </w:t>
      </w:r>
      <w:r w:rsidR="00E55F09" w:rsidRPr="003A3374">
        <w:t>remain</w:t>
      </w:r>
      <w:r w:rsidRPr="003A3374">
        <w:t xml:space="preserve"> ahead on organic sales growth </w:t>
      </w:r>
      <w:r w:rsidR="0042047D" w:rsidRPr="003A3374">
        <w:t xml:space="preserve">because </w:t>
      </w:r>
      <w:r w:rsidRPr="003A3374">
        <w:t xml:space="preserve">we </w:t>
      </w:r>
      <w:r w:rsidR="003E31BE" w:rsidRPr="003A3374">
        <w:t>strip out</w:t>
      </w:r>
      <w:r w:rsidRPr="003A3374">
        <w:t xml:space="preserve"> the Beam Suntory spirits discontinuation</w:t>
      </w:r>
      <w:r w:rsidR="0042047D" w:rsidRPr="003A3374">
        <w:t xml:space="preserve"> in Australia</w:t>
      </w:r>
      <w:r w:rsidR="002E651D" w:rsidRPr="003A3374">
        <w:t xml:space="preserve"> from </w:t>
      </w:r>
      <w:r w:rsidR="00B56A34" w:rsidRPr="003A3374">
        <w:t>July</w:t>
      </w:r>
      <w:r w:rsidR="002E651D" w:rsidRPr="003A3374">
        <w:t xml:space="preserve"> 2025 and in New Zealand from </w:t>
      </w:r>
      <w:r w:rsidR="00B56A34" w:rsidRPr="003A3374">
        <w:t>January</w:t>
      </w:r>
      <w:r w:rsidR="002E651D" w:rsidRPr="003A3374">
        <w:t xml:space="preserve"> 2026.</w:t>
      </w:r>
    </w:p>
    <w:p w14:paraId="7EBD4571" w14:textId="4598244C" w:rsidR="00623146" w:rsidRPr="003A3374" w:rsidRDefault="0042047D" w:rsidP="00BE4800">
      <w:pPr>
        <w:pStyle w:val="Bullet"/>
        <w:numPr>
          <w:ilvl w:val="0"/>
          <w:numId w:val="0"/>
        </w:numPr>
      </w:pPr>
      <w:r w:rsidRPr="003A3374">
        <w:t xml:space="preserve">If we were to include this, then our 2025 organic sales growth </w:t>
      </w:r>
      <w:r w:rsidR="00B56A34" w:rsidRPr="003A3374">
        <w:t xml:space="preserve">forecast </w:t>
      </w:r>
      <w:r w:rsidRPr="003A3374">
        <w:t xml:space="preserve">would drop </w:t>
      </w:r>
      <w:r w:rsidR="000011B4" w:rsidRPr="003A3374">
        <w:t>100bp</w:t>
      </w:r>
      <w:r w:rsidRPr="003A3374">
        <w:t xml:space="preserve"> to 2.9%</w:t>
      </w:r>
      <w:r w:rsidR="00B80C87" w:rsidRPr="003A3374">
        <w:t xml:space="preserve"> and our 2026 organic sales growth </w:t>
      </w:r>
      <w:r w:rsidR="00B56A34" w:rsidRPr="003A3374">
        <w:t xml:space="preserve">forecast </w:t>
      </w:r>
      <w:r w:rsidR="00B80C87" w:rsidRPr="003A3374">
        <w:t xml:space="preserve">would drop </w:t>
      </w:r>
      <w:r w:rsidR="000011B4" w:rsidRPr="003A3374">
        <w:t>70bp</w:t>
      </w:r>
      <w:r w:rsidR="00B80C87" w:rsidRPr="003A3374">
        <w:t xml:space="preserve"> to 3.4%</w:t>
      </w:r>
      <w:r w:rsidRPr="003A3374">
        <w:t>.</w:t>
      </w:r>
      <w:r w:rsidR="00B97367" w:rsidRPr="003A3374">
        <w:t xml:space="preserve"> </w:t>
      </w:r>
      <w:r w:rsidR="00623146" w:rsidRPr="003A3374">
        <w:t xml:space="preserve">We are modestly ahead on operating margin </w:t>
      </w:r>
      <w:r w:rsidR="0078246A" w:rsidRPr="003A3374">
        <w:t>from 2026,</w:t>
      </w:r>
      <w:r w:rsidR="00623146" w:rsidRPr="003A3374">
        <w:t xml:space="preserve"> helped by a gross margin recovery as European sugar cost pressures ease</w:t>
      </w:r>
      <w:r w:rsidR="0078246A" w:rsidRPr="003A3374">
        <w:t xml:space="preserve"> and hedges rollover</w:t>
      </w:r>
      <w:r w:rsidR="00623146" w:rsidRPr="003A3374">
        <w:t>.</w:t>
      </w:r>
    </w:p>
    <w:tbl>
      <w:tblPr>
        <w:tblStyle w:val="TableGrid"/>
        <w:tblW w:w="9637" w:type="dxa"/>
        <w:tblLayout w:type="fixed"/>
        <w:tblCellMar>
          <w:left w:w="0" w:type="dxa"/>
          <w:right w:w="0" w:type="dxa"/>
        </w:tblCellMar>
        <w:tblLook w:val="04A0" w:firstRow="1" w:lastRow="0" w:firstColumn="1" w:lastColumn="0" w:noHBand="0" w:noVBand="1"/>
      </w:tblPr>
      <w:tblGrid>
        <w:gridCol w:w="9637"/>
      </w:tblGrid>
      <w:tr w:rsidR="00623146" w:rsidRPr="003A3374" w14:paraId="1DD787FD" w14:textId="77777777" w:rsidTr="005F1035">
        <w:trPr>
          <w:cantSplit/>
          <w:tblHeader/>
        </w:trPr>
        <w:tc>
          <w:tcPr>
            <w:tcW w:w="9637" w:type="dxa"/>
            <w:tcBorders>
              <w:bottom w:val="single" w:sz="8" w:space="0" w:color="000000" w:themeColor="text1"/>
            </w:tcBorders>
          </w:tcPr>
          <w:p w14:paraId="3E1DF1F1" w14:textId="68FA8FAF" w:rsidR="00623146" w:rsidRPr="003A3374" w:rsidRDefault="00623146" w:rsidP="005F1035">
            <w:pPr>
              <w:pStyle w:val="TableTitle"/>
            </w:pPr>
            <w:bookmarkStart w:id="113" w:name="PH_1_8_1_013075"/>
            <w:r w:rsidRPr="003A3374">
              <w:t xml:space="preserve">Fig </w:t>
            </w:r>
            <w:bookmarkStart w:id="114" w:name="LINK_043368"/>
            <w:r w:rsidRPr="003A3374">
              <w:fldChar w:fldCharType="begin"/>
            </w:r>
            <w:r w:rsidRPr="003A3374">
              <w:instrText xml:space="preserve"> SEQ Fig </w:instrText>
            </w:r>
            <w:r w:rsidRPr="003A3374">
              <w:fldChar w:fldCharType="separate"/>
            </w:r>
            <w:r w:rsidR="006A4635" w:rsidRPr="003A3374">
              <w:rPr>
                <w:noProof/>
              </w:rPr>
              <w:t>57</w:t>
            </w:r>
            <w:r w:rsidRPr="003A3374">
              <w:fldChar w:fldCharType="end"/>
            </w:r>
            <w:bookmarkEnd w:id="114"/>
            <w:r w:rsidRPr="003A3374">
              <w:t>: Rothschild &amp; Co Redburn CCEP estimates vs consensus</w:t>
            </w:r>
          </w:p>
        </w:tc>
      </w:tr>
      <w:tr w:rsidR="00623146" w:rsidRPr="003A3374" w14:paraId="01D8DB52" w14:textId="77777777" w:rsidTr="005F1035">
        <w:trPr>
          <w:cantSplit/>
        </w:trPr>
        <w:tc>
          <w:tcPr>
            <w:tcW w:w="9637" w:type="dxa"/>
            <w:tcBorders>
              <w:top w:val="single" w:sz="8" w:space="0" w:color="000000" w:themeColor="text1"/>
              <w:bottom w:val="single" w:sz="8" w:space="0" w:color="000000" w:themeColor="text1"/>
            </w:tcBorders>
          </w:tcPr>
          <w:tbl>
            <w:tblPr>
              <w:tblStyle w:val="Dataholder"/>
              <w:tblW w:w="9639" w:type="dxa"/>
              <w:tblLayout w:type="fixed"/>
              <w:tblLook w:val="06A0" w:firstRow="1" w:lastRow="0" w:firstColumn="1" w:lastColumn="0" w:noHBand="1" w:noVBand="1"/>
            </w:tblPr>
            <w:tblGrid>
              <w:gridCol w:w="1985"/>
              <w:gridCol w:w="1064"/>
              <w:gridCol w:w="871"/>
              <w:gridCol w:w="672"/>
              <w:gridCol w:w="243"/>
              <w:gridCol w:w="725"/>
              <w:gridCol w:w="871"/>
              <w:gridCol w:w="580"/>
              <w:gridCol w:w="241"/>
              <w:gridCol w:w="795"/>
              <w:gridCol w:w="796"/>
              <w:gridCol w:w="796"/>
            </w:tblGrid>
            <w:tr w:rsidR="00623146" w:rsidRPr="003A3374" w14:paraId="1E0A294A" w14:textId="77777777" w:rsidTr="005F1035">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985" w:type="dxa"/>
                  <w:tcBorders>
                    <w:bottom w:val="none" w:sz="0" w:space="0" w:color="auto"/>
                  </w:tcBorders>
                </w:tcPr>
                <w:p w14:paraId="7088BBCA" w14:textId="77777777" w:rsidR="00623146" w:rsidRPr="003A3374" w:rsidRDefault="00623146" w:rsidP="005F1035">
                  <w:pPr>
                    <w:pStyle w:val="TableText0"/>
                  </w:pPr>
                </w:p>
              </w:tc>
              <w:tc>
                <w:tcPr>
                  <w:tcW w:w="2607" w:type="dxa"/>
                  <w:gridSpan w:val="3"/>
                  <w:tcBorders>
                    <w:bottom w:val="none" w:sz="0" w:space="0" w:color="auto"/>
                  </w:tcBorders>
                  <w:shd w:val="clear" w:color="auto" w:fill="E6E3DF" w:themeFill="accent4"/>
                </w:tcPr>
                <w:p w14:paraId="48992E24" w14:textId="77777777" w:rsidR="00623146" w:rsidRPr="003A3374" w:rsidRDefault="00623146" w:rsidP="005F1035">
                  <w:pPr>
                    <w:pStyle w:val="TableText0"/>
                    <w:cnfStyle w:val="100000000000" w:firstRow="1" w:lastRow="0" w:firstColumn="0" w:lastColumn="0" w:oddVBand="0" w:evenVBand="0" w:oddHBand="0" w:evenHBand="0" w:firstRowFirstColumn="0" w:firstRowLastColumn="0" w:lastRowFirstColumn="0" w:lastRowLastColumn="0"/>
                  </w:pPr>
                  <w:r w:rsidRPr="003A3374">
                    <w:t>------------ 2025E ------------</w:t>
                  </w:r>
                </w:p>
              </w:tc>
              <w:tc>
                <w:tcPr>
                  <w:tcW w:w="243" w:type="dxa"/>
                  <w:tcBorders>
                    <w:bottom w:val="none" w:sz="0" w:space="0" w:color="auto"/>
                  </w:tcBorders>
                </w:tcPr>
                <w:p w14:paraId="378BFB5D" w14:textId="77777777" w:rsidR="00623146" w:rsidRPr="003A3374" w:rsidRDefault="00623146" w:rsidP="005F1035">
                  <w:pPr>
                    <w:pStyle w:val="TableText0"/>
                    <w:cnfStyle w:val="100000000000" w:firstRow="1" w:lastRow="0" w:firstColumn="0" w:lastColumn="0" w:oddVBand="0" w:evenVBand="0" w:oddHBand="0" w:evenHBand="0" w:firstRowFirstColumn="0" w:firstRowLastColumn="0" w:lastRowFirstColumn="0" w:lastRowLastColumn="0"/>
                  </w:pPr>
                </w:p>
              </w:tc>
              <w:tc>
                <w:tcPr>
                  <w:tcW w:w="2176" w:type="dxa"/>
                  <w:gridSpan w:val="3"/>
                  <w:tcBorders>
                    <w:bottom w:val="none" w:sz="0" w:space="0" w:color="auto"/>
                  </w:tcBorders>
                </w:tcPr>
                <w:p w14:paraId="1036E1ED" w14:textId="77777777" w:rsidR="00623146" w:rsidRPr="003A3374" w:rsidRDefault="00623146" w:rsidP="005F1035">
                  <w:pPr>
                    <w:pStyle w:val="TableText0"/>
                    <w:cnfStyle w:val="100000000000" w:firstRow="1" w:lastRow="0" w:firstColumn="0" w:lastColumn="0" w:oddVBand="0" w:evenVBand="0" w:oddHBand="0" w:evenHBand="0" w:firstRowFirstColumn="0" w:firstRowLastColumn="0" w:lastRowFirstColumn="0" w:lastRowLastColumn="0"/>
                  </w:pPr>
                  <w:r w:rsidRPr="003A3374">
                    <w:t>------------ 2026E ------------</w:t>
                  </w:r>
                </w:p>
              </w:tc>
              <w:tc>
                <w:tcPr>
                  <w:tcW w:w="241" w:type="dxa"/>
                  <w:tcBorders>
                    <w:bottom w:val="none" w:sz="0" w:space="0" w:color="auto"/>
                  </w:tcBorders>
                </w:tcPr>
                <w:p w14:paraId="2485EAFC" w14:textId="77777777" w:rsidR="00623146" w:rsidRPr="003A3374" w:rsidRDefault="00623146" w:rsidP="005F1035">
                  <w:pPr>
                    <w:pStyle w:val="TableText0"/>
                    <w:cnfStyle w:val="100000000000" w:firstRow="1" w:lastRow="0" w:firstColumn="0" w:lastColumn="0" w:oddVBand="0" w:evenVBand="0" w:oddHBand="0" w:evenHBand="0" w:firstRowFirstColumn="0" w:firstRowLastColumn="0" w:lastRowFirstColumn="0" w:lastRowLastColumn="0"/>
                  </w:pPr>
                </w:p>
              </w:tc>
              <w:tc>
                <w:tcPr>
                  <w:tcW w:w="2387" w:type="dxa"/>
                  <w:gridSpan w:val="3"/>
                  <w:tcBorders>
                    <w:bottom w:val="none" w:sz="0" w:space="0" w:color="auto"/>
                  </w:tcBorders>
                  <w:shd w:val="clear" w:color="auto" w:fill="E6E3DF" w:themeFill="accent4"/>
                </w:tcPr>
                <w:p w14:paraId="40948DA1" w14:textId="77777777" w:rsidR="00623146" w:rsidRPr="003A3374" w:rsidRDefault="00623146" w:rsidP="005F1035">
                  <w:pPr>
                    <w:pStyle w:val="TableText0"/>
                    <w:cnfStyle w:val="100000000000" w:firstRow="1" w:lastRow="0" w:firstColumn="0" w:lastColumn="0" w:oddVBand="0" w:evenVBand="0" w:oddHBand="0" w:evenHBand="0" w:firstRowFirstColumn="0" w:firstRowLastColumn="0" w:lastRowFirstColumn="0" w:lastRowLastColumn="0"/>
                  </w:pPr>
                  <w:r w:rsidRPr="003A3374">
                    <w:t>------------ 2027E ------------</w:t>
                  </w:r>
                </w:p>
              </w:tc>
            </w:tr>
            <w:tr w:rsidR="00623146" w:rsidRPr="003A3374" w14:paraId="40C85908" w14:textId="77777777" w:rsidTr="005F1035">
              <w:trPr>
                <w:trHeight w:val="287"/>
              </w:trPr>
              <w:tc>
                <w:tcPr>
                  <w:cnfStyle w:val="001000000000" w:firstRow="0" w:lastRow="0" w:firstColumn="1" w:lastColumn="0" w:oddVBand="0" w:evenVBand="0" w:oddHBand="0" w:evenHBand="0" w:firstRowFirstColumn="0" w:firstRowLastColumn="0" w:lastRowFirstColumn="0" w:lastRowLastColumn="0"/>
                  <w:tcW w:w="1985" w:type="dxa"/>
                  <w:tcBorders>
                    <w:bottom w:val="single" w:sz="4" w:space="0" w:color="auto"/>
                  </w:tcBorders>
                </w:tcPr>
                <w:p w14:paraId="06DEC085" w14:textId="77777777" w:rsidR="00623146" w:rsidRPr="003A3374" w:rsidRDefault="00623146" w:rsidP="005F1035">
                  <w:pPr>
                    <w:pStyle w:val="TableText0"/>
                    <w:rPr>
                      <w:b/>
                    </w:rPr>
                  </w:pPr>
                  <w:r w:rsidRPr="003A3374">
                    <w:rPr>
                      <w:b/>
                      <w:bCs/>
                    </w:rPr>
                    <w:t>Y/E December (€m)</w:t>
                  </w:r>
                </w:p>
              </w:tc>
              <w:tc>
                <w:tcPr>
                  <w:tcW w:w="1064" w:type="dxa"/>
                  <w:tcBorders>
                    <w:bottom w:val="single" w:sz="4" w:space="0" w:color="auto"/>
                  </w:tcBorders>
                  <w:shd w:val="clear" w:color="auto" w:fill="E6E3DF" w:themeFill="accent4"/>
                </w:tcPr>
                <w:p w14:paraId="2A8C707B"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RDBN</w:t>
                  </w:r>
                </w:p>
              </w:tc>
              <w:tc>
                <w:tcPr>
                  <w:tcW w:w="871" w:type="dxa"/>
                  <w:tcBorders>
                    <w:bottom w:val="single" w:sz="4" w:space="0" w:color="auto"/>
                  </w:tcBorders>
                  <w:shd w:val="clear" w:color="auto" w:fill="E6E3DF" w:themeFill="accent4"/>
                </w:tcPr>
                <w:p w14:paraId="68C3E111"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Cons</w:t>
                  </w:r>
                </w:p>
              </w:tc>
              <w:tc>
                <w:tcPr>
                  <w:tcW w:w="672" w:type="dxa"/>
                  <w:tcBorders>
                    <w:bottom w:val="single" w:sz="4" w:space="0" w:color="auto"/>
                  </w:tcBorders>
                  <w:shd w:val="clear" w:color="auto" w:fill="E6E3DF" w:themeFill="accent4"/>
                </w:tcPr>
                <w:p w14:paraId="3D9E46D5"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Diff</w:t>
                  </w:r>
                </w:p>
              </w:tc>
              <w:tc>
                <w:tcPr>
                  <w:tcW w:w="243" w:type="dxa"/>
                  <w:tcBorders>
                    <w:bottom w:val="single" w:sz="4" w:space="0" w:color="auto"/>
                  </w:tcBorders>
                </w:tcPr>
                <w:p w14:paraId="7C10244E"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rPr>
                      <w:b/>
                    </w:rPr>
                  </w:pPr>
                </w:p>
              </w:tc>
              <w:tc>
                <w:tcPr>
                  <w:tcW w:w="725" w:type="dxa"/>
                  <w:tcBorders>
                    <w:bottom w:val="single" w:sz="4" w:space="0" w:color="auto"/>
                  </w:tcBorders>
                </w:tcPr>
                <w:p w14:paraId="124DB6C1"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RDBN</w:t>
                  </w:r>
                </w:p>
              </w:tc>
              <w:tc>
                <w:tcPr>
                  <w:tcW w:w="871" w:type="dxa"/>
                  <w:tcBorders>
                    <w:bottom w:val="single" w:sz="4" w:space="0" w:color="auto"/>
                  </w:tcBorders>
                </w:tcPr>
                <w:p w14:paraId="4A68CBAD"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Cons</w:t>
                  </w:r>
                </w:p>
              </w:tc>
              <w:tc>
                <w:tcPr>
                  <w:tcW w:w="580" w:type="dxa"/>
                  <w:tcBorders>
                    <w:bottom w:val="single" w:sz="4" w:space="0" w:color="auto"/>
                  </w:tcBorders>
                </w:tcPr>
                <w:p w14:paraId="315A8337"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Diff</w:t>
                  </w:r>
                </w:p>
              </w:tc>
              <w:tc>
                <w:tcPr>
                  <w:tcW w:w="241" w:type="dxa"/>
                  <w:tcBorders>
                    <w:bottom w:val="single" w:sz="4" w:space="0" w:color="auto"/>
                  </w:tcBorders>
                </w:tcPr>
                <w:p w14:paraId="7868A6E0"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rPr>
                      <w:b/>
                    </w:rPr>
                  </w:pPr>
                </w:p>
              </w:tc>
              <w:tc>
                <w:tcPr>
                  <w:tcW w:w="795" w:type="dxa"/>
                  <w:tcBorders>
                    <w:bottom w:val="single" w:sz="4" w:space="0" w:color="auto"/>
                  </w:tcBorders>
                  <w:shd w:val="clear" w:color="auto" w:fill="E6E3DF" w:themeFill="accent4"/>
                </w:tcPr>
                <w:p w14:paraId="61D6CDAB"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RDBN</w:t>
                  </w:r>
                </w:p>
              </w:tc>
              <w:tc>
                <w:tcPr>
                  <w:tcW w:w="796" w:type="dxa"/>
                  <w:tcBorders>
                    <w:bottom w:val="single" w:sz="4" w:space="0" w:color="auto"/>
                  </w:tcBorders>
                  <w:shd w:val="clear" w:color="auto" w:fill="E6E3DF" w:themeFill="accent4"/>
                </w:tcPr>
                <w:p w14:paraId="089D015A"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Cons</w:t>
                  </w:r>
                </w:p>
              </w:tc>
              <w:tc>
                <w:tcPr>
                  <w:tcW w:w="796" w:type="dxa"/>
                  <w:tcBorders>
                    <w:bottom w:val="single" w:sz="4" w:space="0" w:color="auto"/>
                  </w:tcBorders>
                  <w:shd w:val="clear" w:color="auto" w:fill="E6E3DF" w:themeFill="accent4"/>
                </w:tcPr>
                <w:p w14:paraId="0A498036"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Diff</w:t>
                  </w:r>
                </w:p>
              </w:tc>
            </w:tr>
            <w:tr w:rsidR="00623146" w:rsidRPr="003A3374" w14:paraId="7D895299" w14:textId="77777777" w:rsidTr="005F1035">
              <w:trPr>
                <w:trHeight w:val="279"/>
              </w:trPr>
              <w:tc>
                <w:tcPr>
                  <w:cnfStyle w:val="001000000000" w:firstRow="0" w:lastRow="0" w:firstColumn="1" w:lastColumn="0" w:oddVBand="0" w:evenVBand="0" w:oddHBand="0" w:evenHBand="0" w:firstRowFirstColumn="0" w:firstRowLastColumn="0" w:lastRowFirstColumn="0" w:lastRowLastColumn="0"/>
                  <w:tcW w:w="1985" w:type="dxa"/>
                  <w:tcBorders>
                    <w:top w:val="single" w:sz="4" w:space="0" w:color="auto"/>
                  </w:tcBorders>
                </w:tcPr>
                <w:p w14:paraId="610C5156" w14:textId="77777777" w:rsidR="00623146" w:rsidRPr="003A3374" w:rsidRDefault="00623146" w:rsidP="005F1035">
                  <w:pPr>
                    <w:pStyle w:val="TableText0"/>
                  </w:pPr>
                  <w:r w:rsidRPr="003A3374">
                    <w:t>Net sales</w:t>
                  </w:r>
                </w:p>
              </w:tc>
              <w:tc>
                <w:tcPr>
                  <w:tcW w:w="1064" w:type="dxa"/>
                  <w:tcBorders>
                    <w:top w:val="single" w:sz="4" w:space="0" w:color="auto"/>
                  </w:tcBorders>
                  <w:shd w:val="clear" w:color="auto" w:fill="E6E3DF" w:themeFill="accent4"/>
                </w:tcPr>
                <w:p w14:paraId="30992A62" w14:textId="33D9CA33"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20,910</w:t>
                  </w:r>
                </w:p>
              </w:tc>
              <w:tc>
                <w:tcPr>
                  <w:tcW w:w="871" w:type="dxa"/>
                  <w:tcBorders>
                    <w:top w:val="single" w:sz="4" w:space="0" w:color="auto"/>
                  </w:tcBorders>
                  <w:shd w:val="clear" w:color="auto" w:fill="E6E3DF" w:themeFill="accent4"/>
                </w:tcPr>
                <w:p w14:paraId="7EFBB8C8" w14:textId="33289EE6"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20,951</w:t>
                  </w:r>
                </w:p>
              </w:tc>
              <w:tc>
                <w:tcPr>
                  <w:tcW w:w="672" w:type="dxa"/>
                  <w:tcBorders>
                    <w:top w:val="single" w:sz="4" w:space="0" w:color="auto"/>
                  </w:tcBorders>
                  <w:shd w:val="clear" w:color="auto" w:fill="E6E3DF" w:themeFill="accent4"/>
                </w:tcPr>
                <w:p w14:paraId="19ECBFED" w14:textId="086CAB6E"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-0.2%</w:t>
                  </w:r>
                </w:p>
              </w:tc>
              <w:tc>
                <w:tcPr>
                  <w:tcW w:w="243" w:type="dxa"/>
                  <w:tcBorders>
                    <w:top w:val="single" w:sz="4" w:space="0" w:color="auto"/>
                  </w:tcBorders>
                </w:tcPr>
                <w:p w14:paraId="2A8BB6E6"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pPr>
                </w:p>
              </w:tc>
              <w:tc>
                <w:tcPr>
                  <w:tcW w:w="725" w:type="dxa"/>
                  <w:tcBorders>
                    <w:top w:val="single" w:sz="4" w:space="0" w:color="auto"/>
                  </w:tcBorders>
                </w:tcPr>
                <w:p w14:paraId="4CF45A30" w14:textId="37FABC93"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21,307</w:t>
                  </w:r>
                </w:p>
              </w:tc>
              <w:tc>
                <w:tcPr>
                  <w:tcW w:w="871" w:type="dxa"/>
                  <w:tcBorders>
                    <w:top w:val="single" w:sz="4" w:space="0" w:color="auto"/>
                  </w:tcBorders>
                </w:tcPr>
                <w:p w14:paraId="5534CBF6" w14:textId="763F32CF"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21,481</w:t>
                  </w:r>
                </w:p>
              </w:tc>
              <w:tc>
                <w:tcPr>
                  <w:tcW w:w="580" w:type="dxa"/>
                  <w:tcBorders>
                    <w:top w:val="single" w:sz="4" w:space="0" w:color="auto"/>
                  </w:tcBorders>
                </w:tcPr>
                <w:p w14:paraId="6581851D" w14:textId="4E01CF61"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-0.8%</w:t>
                  </w:r>
                </w:p>
              </w:tc>
              <w:tc>
                <w:tcPr>
                  <w:tcW w:w="241" w:type="dxa"/>
                  <w:tcBorders>
                    <w:top w:val="single" w:sz="4" w:space="0" w:color="auto"/>
                  </w:tcBorders>
                </w:tcPr>
                <w:p w14:paraId="34DCA731"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pPr>
                </w:p>
              </w:tc>
              <w:tc>
                <w:tcPr>
                  <w:tcW w:w="795" w:type="dxa"/>
                  <w:tcBorders>
                    <w:top w:val="single" w:sz="4" w:space="0" w:color="auto"/>
                  </w:tcBorders>
                  <w:shd w:val="clear" w:color="auto" w:fill="E6E3DF" w:themeFill="accent4"/>
                </w:tcPr>
                <w:p w14:paraId="1006CDBB" w14:textId="08F965B4"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22,093</w:t>
                  </w:r>
                </w:p>
              </w:tc>
              <w:tc>
                <w:tcPr>
                  <w:tcW w:w="796" w:type="dxa"/>
                  <w:tcBorders>
                    <w:top w:val="single" w:sz="4" w:space="0" w:color="auto"/>
                  </w:tcBorders>
                  <w:shd w:val="clear" w:color="auto" w:fill="E6E3DF" w:themeFill="accent4"/>
                </w:tcPr>
                <w:p w14:paraId="700F4AFC" w14:textId="61E5A64D"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22,282</w:t>
                  </w:r>
                </w:p>
              </w:tc>
              <w:tc>
                <w:tcPr>
                  <w:tcW w:w="796" w:type="dxa"/>
                  <w:tcBorders>
                    <w:top w:val="single" w:sz="4" w:space="0" w:color="auto"/>
                  </w:tcBorders>
                  <w:shd w:val="clear" w:color="auto" w:fill="E6E3DF" w:themeFill="accent4"/>
                </w:tcPr>
                <w:p w14:paraId="15BC8D67" w14:textId="592095FC"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-0.8%</w:t>
                  </w:r>
                </w:p>
              </w:tc>
            </w:tr>
            <w:tr w:rsidR="00623146" w:rsidRPr="003A3374" w14:paraId="75ADB51F" w14:textId="77777777" w:rsidTr="005F1035">
              <w:trPr>
                <w:trHeight w:val="271"/>
              </w:trPr>
              <w:tc>
                <w:tcPr>
                  <w:cnfStyle w:val="001000000000" w:firstRow="0" w:lastRow="0" w:firstColumn="1" w:lastColumn="0" w:oddVBand="0" w:evenVBand="0" w:oddHBand="0" w:evenHBand="0" w:firstRowFirstColumn="0" w:firstRowLastColumn="0" w:lastRowFirstColumn="0" w:lastRowLastColumn="0"/>
                  <w:tcW w:w="1985" w:type="dxa"/>
                </w:tcPr>
                <w:p w14:paraId="1832C1E7" w14:textId="77777777" w:rsidR="00623146" w:rsidRPr="003A3374" w:rsidRDefault="00623146" w:rsidP="005F1035">
                  <w:pPr>
                    <w:pStyle w:val="TableText0"/>
                  </w:pPr>
                  <w:r w:rsidRPr="003A3374">
                    <w:t>Organic sales growth (%)</w:t>
                  </w:r>
                </w:p>
              </w:tc>
              <w:tc>
                <w:tcPr>
                  <w:tcW w:w="1064" w:type="dxa"/>
                  <w:shd w:val="clear" w:color="auto" w:fill="E6E3DF" w:themeFill="accent4"/>
                </w:tcPr>
                <w:p w14:paraId="6E457A61" w14:textId="36C6C695"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3.9%</w:t>
                  </w:r>
                </w:p>
              </w:tc>
              <w:tc>
                <w:tcPr>
                  <w:tcW w:w="871" w:type="dxa"/>
                  <w:shd w:val="clear" w:color="auto" w:fill="E6E3DF" w:themeFill="accent4"/>
                </w:tcPr>
                <w:p w14:paraId="7A74D5AB" w14:textId="294BE8C5"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3.0%</w:t>
                  </w:r>
                </w:p>
              </w:tc>
              <w:tc>
                <w:tcPr>
                  <w:tcW w:w="672" w:type="dxa"/>
                  <w:shd w:val="clear" w:color="auto" w:fill="E6E3DF" w:themeFill="accent4"/>
                </w:tcPr>
                <w:p w14:paraId="6F35F9D4" w14:textId="51F7EF67"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85bps</w:t>
                  </w:r>
                </w:p>
              </w:tc>
              <w:tc>
                <w:tcPr>
                  <w:tcW w:w="243" w:type="dxa"/>
                </w:tcPr>
                <w:p w14:paraId="04BE2BD6"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pPr>
                </w:p>
              </w:tc>
              <w:tc>
                <w:tcPr>
                  <w:tcW w:w="725" w:type="dxa"/>
                </w:tcPr>
                <w:p w14:paraId="0EA460ED" w14:textId="634D53BC"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4.1%</w:t>
                  </w:r>
                </w:p>
              </w:tc>
              <w:tc>
                <w:tcPr>
                  <w:tcW w:w="871" w:type="dxa"/>
                </w:tcPr>
                <w:p w14:paraId="53270FB5" w14:textId="0FC290E0"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3.3%</w:t>
                  </w:r>
                </w:p>
              </w:tc>
              <w:tc>
                <w:tcPr>
                  <w:tcW w:w="580" w:type="dxa"/>
                </w:tcPr>
                <w:p w14:paraId="1C9261A8" w14:textId="4D695DE4"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78bps</w:t>
                  </w:r>
                </w:p>
              </w:tc>
              <w:tc>
                <w:tcPr>
                  <w:tcW w:w="241" w:type="dxa"/>
                </w:tcPr>
                <w:p w14:paraId="36B927C6"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pPr>
                </w:p>
              </w:tc>
              <w:tc>
                <w:tcPr>
                  <w:tcW w:w="795" w:type="dxa"/>
                  <w:shd w:val="clear" w:color="auto" w:fill="E6E3DF" w:themeFill="accent4"/>
                </w:tcPr>
                <w:p w14:paraId="7837A42D" w14:textId="6D2FA885"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3.8%</w:t>
                  </w:r>
                </w:p>
              </w:tc>
              <w:tc>
                <w:tcPr>
                  <w:tcW w:w="796" w:type="dxa"/>
                  <w:shd w:val="clear" w:color="auto" w:fill="E6E3DF" w:themeFill="accent4"/>
                </w:tcPr>
                <w:p w14:paraId="09A25CF8" w14:textId="181DDDD3"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3.9%</w:t>
                  </w:r>
                </w:p>
              </w:tc>
              <w:tc>
                <w:tcPr>
                  <w:tcW w:w="796" w:type="dxa"/>
                  <w:shd w:val="clear" w:color="auto" w:fill="E6E3DF" w:themeFill="accent4"/>
                </w:tcPr>
                <w:p w14:paraId="34D54B12" w14:textId="70CD064C"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-5bps</w:t>
                  </w:r>
                </w:p>
              </w:tc>
            </w:tr>
            <w:tr w:rsidR="00623146" w:rsidRPr="003A3374" w14:paraId="4411957D" w14:textId="77777777" w:rsidTr="005F1035">
              <w:trPr>
                <w:trHeight w:val="279"/>
              </w:trPr>
              <w:tc>
                <w:tcPr>
                  <w:cnfStyle w:val="001000000000" w:firstRow="0" w:lastRow="0" w:firstColumn="1" w:lastColumn="0" w:oddVBand="0" w:evenVBand="0" w:oddHBand="0" w:evenHBand="0" w:firstRowFirstColumn="0" w:firstRowLastColumn="0" w:lastRowFirstColumn="0" w:lastRowLastColumn="0"/>
                  <w:tcW w:w="1985" w:type="dxa"/>
                </w:tcPr>
                <w:p w14:paraId="240A6052" w14:textId="77777777" w:rsidR="00623146" w:rsidRPr="003A3374" w:rsidRDefault="00623146" w:rsidP="005F1035">
                  <w:pPr>
                    <w:pStyle w:val="TableText0"/>
                  </w:pPr>
                  <w:r w:rsidRPr="003A3374">
                    <w:t>Operating income</w:t>
                  </w:r>
                </w:p>
              </w:tc>
              <w:tc>
                <w:tcPr>
                  <w:tcW w:w="1064" w:type="dxa"/>
                  <w:shd w:val="clear" w:color="auto" w:fill="E6E3DF" w:themeFill="accent4"/>
                </w:tcPr>
                <w:p w14:paraId="3D1DFF95" w14:textId="7AF380CA"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2,803</w:t>
                  </w:r>
                </w:p>
              </w:tc>
              <w:tc>
                <w:tcPr>
                  <w:tcW w:w="871" w:type="dxa"/>
                  <w:shd w:val="clear" w:color="auto" w:fill="E6E3DF" w:themeFill="accent4"/>
                </w:tcPr>
                <w:p w14:paraId="42E2D025" w14:textId="35A0739E"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2,807</w:t>
                  </w:r>
                </w:p>
              </w:tc>
              <w:tc>
                <w:tcPr>
                  <w:tcW w:w="672" w:type="dxa"/>
                  <w:shd w:val="clear" w:color="auto" w:fill="E6E3DF" w:themeFill="accent4"/>
                </w:tcPr>
                <w:p w14:paraId="1257ED31" w14:textId="3C389A85"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-0.1%</w:t>
                  </w:r>
                </w:p>
              </w:tc>
              <w:tc>
                <w:tcPr>
                  <w:tcW w:w="243" w:type="dxa"/>
                </w:tcPr>
                <w:p w14:paraId="52332ACB"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pPr>
                </w:p>
              </w:tc>
              <w:tc>
                <w:tcPr>
                  <w:tcW w:w="725" w:type="dxa"/>
                </w:tcPr>
                <w:p w14:paraId="0FFD9E37" w14:textId="4A785198"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2,962</w:t>
                  </w:r>
                </w:p>
              </w:tc>
              <w:tc>
                <w:tcPr>
                  <w:tcW w:w="871" w:type="dxa"/>
                </w:tcPr>
                <w:p w14:paraId="0FAB701C" w14:textId="7ADAD640"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2,972</w:t>
                  </w:r>
                </w:p>
              </w:tc>
              <w:tc>
                <w:tcPr>
                  <w:tcW w:w="580" w:type="dxa"/>
                </w:tcPr>
                <w:p w14:paraId="3EF8AAA1" w14:textId="7A00922B"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-0.3%</w:t>
                  </w:r>
                </w:p>
              </w:tc>
              <w:tc>
                <w:tcPr>
                  <w:tcW w:w="241" w:type="dxa"/>
                </w:tcPr>
                <w:p w14:paraId="64B6AEC3"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pPr>
                </w:p>
              </w:tc>
              <w:tc>
                <w:tcPr>
                  <w:tcW w:w="795" w:type="dxa"/>
                  <w:shd w:val="clear" w:color="auto" w:fill="E6E3DF" w:themeFill="accent4"/>
                </w:tcPr>
                <w:p w14:paraId="4F5B6B98" w14:textId="74A468FC"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3,164</w:t>
                  </w:r>
                </w:p>
              </w:tc>
              <w:tc>
                <w:tcPr>
                  <w:tcW w:w="796" w:type="dxa"/>
                  <w:shd w:val="clear" w:color="auto" w:fill="E6E3DF" w:themeFill="accent4"/>
                </w:tcPr>
                <w:p w14:paraId="013B909F" w14:textId="1275D87F"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3,175</w:t>
                  </w:r>
                </w:p>
              </w:tc>
              <w:tc>
                <w:tcPr>
                  <w:tcW w:w="796" w:type="dxa"/>
                  <w:shd w:val="clear" w:color="auto" w:fill="E6E3DF" w:themeFill="accent4"/>
                </w:tcPr>
                <w:p w14:paraId="6527D48A" w14:textId="52CABB70"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-0.3%</w:t>
                  </w:r>
                </w:p>
              </w:tc>
            </w:tr>
            <w:tr w:rsidR="00623146" w:rsidRPr="003A3374" w14:paraId="7810AEED" w14:textId="77777777" w:rsidTr="005F1035">
              <w:trPr>
                <w:trHeight w:val="279"/>
              </w:trPr>
              <w:tc>
                <w:tcPr>
                  <w:cnfStyle w:val="001000000000" w:firstRow="0" w:lastRow="0" w:firstColumn="1" w:lastColumn="0" w:oddVBand="0" w:evenVBand="0" w:oddHBand="0" w:evenHBand="0" w:firstRowFirstColumn="0" w:firstRowLastColumn="0" w:lastRowFirstColumn="0" w:lastRowLastColumn="0"/>
                  <w:tcW w:w="1985" w:type="dxa"/>
                </w:tcPr>
                <w:p w14:paraId="71A0BC2A" w14:textId="77777777" w:rsidR="00623146" w:rsidRPr="003A3374" w:rsidRDefault="00623146" w:rsidP="005F1035">
                  <w:pPr>
                    <w:pStyle w:val="TableText0"/>
                  </w:pPr>
                  <w:r w:rsidRPr="003A3374">
                    <w:t>Operating margin (%)</w:t>
                  </w:r>
                </w:p>
              </w:tc>
              <w:tc>
                <w:tcPr>
                  <w:tcW w:w="1064" w:type="dxa"/>
                  <w:shd w:val="clear" w:color="auto" w:fill="E6E3DF" w:themeFill="accent4"/>
                </w:tcPr>
                <w:p w14:paraId="3E5F9CB5" w14:textId="0FB93C5C"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13.4%</w:t>
                  </w:r>
                </w:p>
              </w:tc>
              <w:tc>
                <w:tcPr>
                  <w:tcW w:w="871" w:type="dxa"/>
                  <w:shd w:val="clear" w:color="auto" w:fill="E6E3DF" w:themeFill="accent4"/>
                </w:tcPr>
                <w:p w14:paraId="750B928F" w14:textId="436AA944"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13.4%</w:t>
                  </w:r>
                </w:p>
              </w:tc>
              <w:tc>
                <w:tcPr>
                  <w:tcW w:w="672" w:type="dxa"/>
                  <w:shd w:val="clear" w:color="auto" w:fill="E6E3DF" w:themeFill="accent4"/>
                </w:tcPr>
                <w:p w14:paraId="58026ABD" w14:textId="215226C0"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1bps</w:t>
                  </w:r>
                </w:p>
              </w:tc>
              <w:tc>
                <w:tcPr>
                  <w:tcW w:w="243" w:type="dxa"/>
                </w:tcPr>
                <w:p w14:paraId="6FC5B8FD"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pPr>
                </w:p>
              </w:tc>
              <w:tc>
                <w:tcPr>
                  <w:tcW w:w="725" w:type="dxa"/>
                </w:tcPr>
                <w:p w14:paraId="0F56A412" w14:textId="4C36FBE5"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13.9%</w:t>
                  </w:r>
                </w:p>
              </w:tc>
              <w:tc>
                <w:tcPr>
                  <w:tcW w:w="871" w:type="dxa"/>
                </w:tcPr>
                <w:p w14:paraId="09E0F838" w14:textId="2FFE2BB7"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13.8%</w:t>
                  </w:r>
                </w:p>
              </w:tc>
              <w:tc>
                <w:tcPr>
                  <w:tcW w:w="580" w:type="dxa"/>
                </w:tcPr>
                <w:p w14:paraId="169F403B" w14:textId="5C3F4E87"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7bps</w:t>
                  </w:r>
                </w:p>
              </w:tc>
              <w:tc>
                <w:tcPr>
                  <w:tcW w:w="241" w:type="dxa"/>
                </w:tcPr>
                <w:p w14:paraId="766FE0A3"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pPr>
                </w:p>
              </w:tc>
              <w:tc>
                <w:tcPr>
                  <w:tcW w:w="795" w:type="dxa"/>
                  <w:shd w:val="clear" w:color="auto" w:fill="E6E3DF" w:themeFill="accent4"/>
                </w:tcPr>
                <w:p w14:paraId="3D09B8D0" w14:textId="3F85C2F5"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14.3%</w:t>
                  </w:r>
                </w:p>
              </w:tc>
              <w:tc>
                <w:tcPr>
                  <w:tcW w:w="796" w:type="dxa"/>
                  <w:shd w:val="clear" w:color="auto" w:fill="E6E3DF" w:themeFill="accent4"/>
                </w:tcPr>
                <w:p w14:paraId="3903D71C" w14:textId="36634B6B"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14.3%</w:t>
                  </w:r>
                </w:p>
              </w:tc>
              <w:tc>
                <w:tcPr>
                  <w:tcW w:w="796" w:type="dxa"/>
                  <w:shd w:val="clear" w:color="auto" w:fill="E6E3DF" w:themeFill="accent4"/>
                </w:tcPr>
                <w:p w14:paraId="636014F4" w14:textId="32177C5D"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7bps</w:t>
                  </w:r>
                </w:p>
              </w:tc>
            </w:tr>
            <w:tr w:rsidR="00623146" w:rsidRPr="003A3374" w14:paraId="57C51067" w14:textId="77777777" w:rsidTr="005F1035">
              <w:trPr>
                <w:trHeight w:val="271"/>
              </w:trPr>
              <w:tc>
                <w:tcPr>
                  <w:cnfStyle w:val="001000000000" w:firstRow="0" w:lastRow="0" w:firstColumn="1" w:lastColumn="0" w:oddVBand="0" w:evenVBand="0" w:oddHBand="0" w:evenHBand="0" w:firstRowFirstColumn="0" w:firstRowLastColumn="0" w:lastRowFirstColumn="0" w:lastRowLastColumn="0"/>
                  <w:tcW w:w="1985" w:type="dxa"/>
                </w:tcPr>
                <w:p w14:paraId="3313B595" w14:textId="77777777" w:rsidR="00623146" w:rsidRPr="003A3374" w:rsidRDefault="00623146" w:rsidP="005F1035">
                  <w:pPr>
                    <w:pStyle w:val="TableText0"/>
                  </w:pPr>
                  <w:r w:rsidRPr="003A3374">
                    <w:t>Adjusted, diluted EPS (€)</w:t>
                  </w:r>
                </w:p>
              </w:tc>
              <w:tc>
                <w:tcPr>
                  <w:tcW w:w="1064" w:type="dxa"/>
                  <w:shd w:val="clear" w:color="auto" w:fill="E6E3DF" w:themeFill="accent4"/>
                </w:tcPr>
                <w:p w14:paraId="1629D5CB" w14:textId="1BE3361C"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4.12</w:t>
                  </w:r>
                </w:p>
              </w:tc>
              <w:tc>
                <w:tcPr>
                  <w:tcW w:w="871" w:type="dxa"/>
                  <w:shd w:val="clear" w:color="auto" w:fill="E6E3DF" w:themeFill="accent4"/>
                </w:tcPr>
                <w:p w14:paraId="5DFB9D38" w14:textId="64B1D920"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4.09</w:t>
                  </w:r>
                </w:p>
              </w:tc>
              <w:tc>
                <w:tcPr>
                  <w:tcW w:w="672" w:type="dxa"/>
                  <w:shd w:val="clear" w:color="auto" w:fill="E6E3DF" w:themeFill="accent4"/>
                </w:tcPr>
                <w:p w14:paraId="18CB4A55" w14:textId="544268DD"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0.7%</w:t>
                  </w:r>
                </w:p>
              </w:tc>
              <w:tc>
                <w:tcPr>
                  <w:tcW w:w="243" w:type="dxa"/>
                </w:tcPr>
                <w:p w14:paraId="49EF6250"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pPr>
                </w:p>
              </w:tc>
              <w:tc>
                <w:tcPr>
                  <w:tcW w:w="725" w:type="dxa"/>
                </w:tcPr>
                <w:p w14:paraId="7F9B832E" w14:textId="18577112"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4.49</w:t>
                  </w:r>
                </w:p>
              </w:tc>
              <w:tc>
                <w:tcPr>
                  <w:tcW w:w="871" w:type="dxa"/>
                </w:tcPr>
                <w:p w14:paraId="0C04800A" w14:textId="344E2193"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4.45</w:t>
                  </w:r>
                </w:p>
              </w:tc>
              <w:tc>
                <w:tcPr>
                  <w:tcW w:w="580" w:type="dxa"/>
                </w:tcPr>
                <w:p w14:paraId="23B0AAB8" w14:textId="7E81745F"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0.8%</w:t>
                  </w:r>
                </w:p>
              </w:tc>
              <w:tc>
                <w:tcPr>
                  <w:tcW w:w="241" w:type="dxa"/>
                </w:tcPr>
                <w:p w14:paraId="4B921954" w14:textId="77777777" w:rsidR="00623146" w:rsidRPr="003A3374" w:rsidRDefault="00623146" w:rsidP="005F1035">
                  <w:pPr>
                    <w:pStyle w:val="TableText0"/>
                    <w:cnfStyle w:val="000000000000" w:firstRow="0" w:lastRow="0" w:firstColumn="0" w:lastColumn="0" w:oddVBand="0" w:evenVBand="0" w:oddHBand="0" w:evenHBand="0" w:firstRowFirstColumn="0" w:firstRowLastColumn="0" w:lastRowFirstColumn="0" w:lastRowLastColumn="0"/>
                  </w:pPr>
                </w:p>
              </w:tc>
              <w:tc>
                <w:tcPr>
                  <w:tcW w:w="795" w:type="dxa"/>
                  <w:shd w:val="clear" w:color="auto" w:fill="E6E3DF" w:themeFill="accent4"/>
                </w:tcPr>
                <w:p w14:paraId="3EE2861B" w14:textId="6F547436"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4.94</w:t>
                  </w:r>
                </w:p>
              </w:tc>
              <w:tc>
                <w:tcPr>
                  <w:tcW w:w="796" w:type="dxa"/>
                  <w:shd w:val="clear" w:color="auto" w:fill="E6E3DF" w:themeFill="accent4"/>
                </w:tcPr>
                <w:p w14:paraId="133F8471" w14:textId="5EEE3E98"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4.87</w:t>
                  </w:r>
                </w:p>
              </w:tc>
              <w:tc>
                <w:tcPr>
                  <w:tcW w:w="796" w:type="dxa"/>
                  <w:shd w:val="clear" w:color="auto" w:fill="E6E3DF" w:themeFill="accent4"/>
                </w:tcPr>
                <w:p w14:paraId="06C8933C" w14:textId="71284BB2" w:rsidR="00623146" w:rsidRPr="003A3374" w:rsidRDefault="00425B8B" w:rsidP="005F1035">
                  <w:pPr>
                    <w:pStyle w:val="TableText0"/>
                    <w:cnfStyle w:val="000000000000" w:firstRow="0" w:lastRow="0" w:firstColumn="0" w:lastColumn="0" w:oddVBand="0" w:evenVBand="0" w:oddHBand="0" w:evenHBand="0" w:firstRowFirstColumn="0" w:firstRowLastColumn="0" w:lastRowFirstColumn="0" w:lastRowLastColumn="0"/>
                  </w:pPr>
                  <w:r w:rsidRPr="003A3374">
                    <w:t>1.5%</w:t>
                  </w:r>
                </w:p>
              </w:tc>
            </w:tr>
          </w:tbl>
          <w:p w14:paraId="3E1334AE" w14:textId="77777777" w:rsidR="00623146" w:rsidRPr="003A3374" w:rsidRDefault="00623146" w:rsidP="005F1035">
            <w:pPr>
              <w:pStyle w:val="Tableplaceholder"/>
            </w:pPr>
          </w:p>
        </w:tc>
      </w:tr>
      <w:tr w:rsidR="00623146" w:rsidRPr="003A3374" w14:paraId="18C8F41B" w14:textId="77777777" w:rsidTr="005F1035">
        <w:trPr>
          <w:cantSplit/>
        </w:trPr>
        <w:tc>
          <w:tcPr>
            <w:tcW w:w="9637" w:type="dxa"/>
            <w:tcBorders>
              <w:top w:val="single" w:sz="8" w:space="0" w:color="000000" w:themeColor="text1"/>
            </w:tcBorders>
          </w:tcPr>
          <w:p w14:paraId="77627FAC" w14:textId="77777777" w:rsidR="00623146" w:rsidRPr="003A3374" w:rsidRDefault="00623146" w:rsidP="005F1035">
            <w:pPr>
              <w:pStyle w:val="TableSource"/>
            </w:pPr>
            <w:r w:rsidRPr="003A3374">
              <w:t>Source: Rothschild &amp; Co Redburn, company, Visible Alpha</w:t>
            </w:r>
          </w:p>
        </w:tc>
      </w:tr>
    </w:tbl>
    <w:p w14:paraId="70497BB5" w14:textId="77777777" w:rsidR="00623146" w:rsidRPr="003A3374" w:rsidRDefault="00623146" w:rsidP="00747CB8">
      <w:pPr>
        <w:pStyle w:val="Heading10"/>
      </w:pPr>
      <w:bookmarkStart w:id="115" w:name="_Toc202446005"/>
      <w:bookmarkStart w:id="116" w:name="_Toc202446186"/>
      <w:bookmarkStart w:id="117" w:name="_Toc214545147"/>
      <w:bookmarkEnd w:id="113"/>
      <w:r w:rsidRPr="003A3374">
        <w:t>Valuation</w:t>
      </w:r>
      <w:bookmarkEnd w:id="115"/>
      <w:bookmarkEnd w:id="116"/>
      <w:bookmarkEnd w:id="117"/>
    </w:p>
    <w:p w14:paraId="4E1BCF08" w14:textId="1B67F39E" w:rsidR="00623146" w:rsidRPr="003A3374" w:rsidRDefault="00623146" w:rsidP="00546BB0">
      <w:pPr>
        <w:pStyle w:val="BodyText"/>
      </w:pPr>
      <w:r w:rsidRPr="003A3374">
        <w:t xml:space="preserve">On FactSet consensus estimates CCEP trades on </w:t>
      </w:r>
      <w:r w:rsidR="00F91D1D" w:rsidRPr="003A3374">
        <w:t>17.6</w:t>
      </w:r>
      <w:r w:rsidRPr="003A3374">
        <w:t xml:space="preserve">x one-year forward P/E, </w:t>
      </w:r>
      <w:r w:rsidR="00081224" w:rsidRPr="003A3374">
        <w:t>an</w:t>
      </w:r>
      <w:r w:rsidRPr="003A3374">
        <w:t xml:space="preserve"> </w:t>
      </w:r>
      <w:r w:rsidR="00F91D1D" w:rsidRPr="003A3374">
        <w:t>8</w:t>
      </w:r>
      <w:r w:rsidRPr="003A3374">
        <w:t>% premium to the historical average of 16.</w:t>
      </w:r>
      <w:r w:rsidR="00F91D1D" w:rsidRPr="003A3374">
        <w:t>3</w:t>
      </w:r>
      <w:r w:rsidRPr="003A3374">
        <w:t xml:space="preserve">x, but </w:t>
      </w:r>
      <w:r w:rsidR="00F91D1D" w:rsidRPr="003A3374">
        <w:t xml:space="preserve">a 5% discount to </w:t>
      </w:r>
      <w:r w:rsidRPr="003A3374">
        <w:t xml:space="preserve">the company’s pre-pandemic rating of 18.5x (Fig </w:t>
      </w:r>
      <w:r w:rsidRPr="003A3374">
        <w:fldChar w:fldCharType="begin"/>
      </w:r>
      <w:r w:rsidRPr="003A3374">
        <w:instrText xml:space="preserve"> REF LINK_090392 \h </w:instrText>
      </w:r>
      <w:r w:rsidRPr="003A3374">
        <w:fldChar w:fldCharType="separate"/>
      </w:r>
      <w:r w:rsidR="006A4635" w:rsidRPr="003A3374">
        <w:rPr>
          <w:noProof/>
        </w:rPr>
        <w:t>58</w:t>
      </w:r>
      <w:r w:rsidRPr="003A3374">
        <w:fldChar w:fldCharType="end"/>
      </w:r>
      <w:r w:rsidRPr="003A3374">
        <w:t>).</w:t>
      </w:r>
      <w:r w:rsidR="00546BB0" w:rsidRPr="003A3374">
        <w:t xml:space="preserve"> </w:t>
      </w:r>
      <w:r w:rsidR="00FA0A08" w:rsidRPr="003A3374">
        <w:t>T</w:t>
      </w:r>
      <w:r w:rsidR="00546BB0" w:rsidRPr="003A3374">
        <w:t xml:space="preserve">his </w:t>
      </w:r>
      <w:r w:rsidR="00FA0A08" w:rsidRPr="003A3374">
        <w:t xml:space="preserve">is an </w:t>
      </w:r>
      <w:r w:rsidR="00546BB0" w:rsidRPr="003A3374">
        <w:t>attractive</w:t>
      </w:r>
      <w:r w:rsidR="00FA0A08" w:rsidRPr="003A3374">
        <w:t xml:space="preserve"> entry point given CCEP offers faster top- and bottom-line growth today compared to pre-pandemic (c4% “and more” organic sales growth</w:t>
      </w:r>
      <w:r w:rsidR="00FB23B5" w:rsidRPr="003A3374">
        <w:t xml:space="preserve"> pa today</w:t>
      </w:r>
      <w:r w:rsidR="00FA0A08" w:rsidRPr="003A3374">
        <w:t xml:space="preserve"> versus </w:t>
      </w:r>
      <w:r w:rsidR="00FB23B5" w:rsidRPr="003A3374">
        <w:t>c</w:t>
      </w:r>
      <w:r w:rsidR="00613C09" w:rsidRPr="003A3374">
        <w:t>3</w:t>
      </w:r>
      <w:r w:rsidR="00FB23B5" w:rsidRPr="003A3374">
        <w:t xml:space="preserve">% pa pre-pandemic, and c7% organic profit growth pa versus c5% pa pre-pandemic) along with </w:t>
      </w:r>
      <w:r w:rsidR="00F0430D" w:rsidRPr="003A3374">
        <w:t xml:space="preserve">high free cash flows (at least €1.7bn pa today versus </w:t>
      </w:r>
      <w:r w:rsidR="00290BC5" w:rsidRPr="003A3374">
        <w:t xml:space="preserve">at least </w:t>
      </w:r>
      <w:r w:rsidR="00F0430D" w:rsidRPr="003A3374">
        <w:t>€1.</w:t>
      </w:r>
      <w:r w:rsidR="00290BC5" w:rsidRPr="003A3374">
        <w:t>2</w:t>
      </w:r>
      <w:r w:rsidR="00F0430D" w:rsidRPr="003A3374">
        <w:t>5bn pa pre-pandemic).</w:t>
      </w:r>
    </w:p>
    <w:p w14:paraId="1BE23E8D" w14:textId="78D168DB" w:rsidR="00623146" w:rsidRPr="003A3374" w:rsidRDefault="00623146" w:rsidP="00623146">
      <w:pPr>
        <w:pStyle w:val="BodyText"/>
      </w:pPr>
      <w:r w:rsidRPr="003A3374">
        <w:t>On our above-consensus estimates, CCEP trades on 17.</w:t>
      </w:r>
      <w:r w:rsidR="00AC4303" w:rsidRPr="003A3374">
        <w:t>3</w:t>
      </w:r>
      <w:r w:rsidRPr="003A3374">
        <w:t>x one-year forward P/E and offers a</w:t>
      </w:r>
      <w:r w:rsidR="00F91D1D" w:rsidRPr="003A3374">
        <w:t xml:space="preserve"> 10</w:t>
      </w:r>
      <w:r w:rsidRPr="003A3374">
        <w:t>% EPS CAGR over the next three years, with a c3% dividend yield.</w:t>
      </w:r>
    </w:p>
    <w:p w14:paraId="51865621" w14:textId="456AB8ED" w:rsidR="00623146" w:rsidRPr="003A3374" w:rsidRDefault="00623146" w:rsidP="00623146">
      <w:pPr>
        <w:pStyle w:val="BodyText"/>
      </w:pPr>
      <w:r w:rsidRPr="003A3374">
        <w:t>Historically, the Coca-Cola bottlers traded at a 10-20% discount to the consumer staples sector on one-year forward P/E, largely due to the perceived risk that TCCC could one day decide not to renew their bottling agreements, and due to the bottlers’ lower return on invested capital (ROIC) versus peers. As discussed in ‘</w:t>
      </w:r>
      <w:hyperlink r:id="rId86" w:history="1">
        <w:r w:rsidRPr="003A3374">
          <w:rPr>
            <w:rStyle w:val="Hyperlink"/>
          </w:rPr>
          <w:t>Super System</w:t>
        </w:r>
      </w:hyperlink>
      <w:r w:rsidRPr="003A3374">
        <w:t xml:space="preserve">’ (8 September 2023), in reality the risk that TCCC would not renew the bottling agreement for CCEP – its largest bottler globally by sales and the largest contributor to TCCC’s operating income – is in our view remote. Likewise, </w:t>
      </w:r>
      <w:r w:rsidRPr="003A3374">
        <w:lastRenderedPageBreak/>
        <w:t>CCEP’s 10.8% ROIC in 2024 is hampered relative to consumer staples peers by the accounting treatment of its franchise intangible assets.</w:t>
      </w:r>
    </w:p>
    <w:p w14:paraId="6D0DAF15" w14:textId="6111E2E1" w:rsidR="00623146" w:rsidRPr="003A3374" w:rsidRDefault="00623146" w:rsidP="001F559B">
      <w:pPr>
        <w:pStyle w:val="BodyText"/>
      </w:pPr>
      <w:r w:rsidRPr="003A3374">
        <w:t xml:space="preserve">Today, CCEP trades at a </w:t>
      </w:r>
      <w:r w:rsidR="00187ABD" w:rsidRPr="003A3374">
        <w:t>9</w:t>
      </w:r>
      <w:r w:rsidRPr="003A3374">
        <w:t xml:space="preserve">% premium to the sector on one-year forward P/E (Fig </w:t>
      </w:r>
      <w:r w:rsidRPr="003A3374">
        <w:fldChar w:fldCharType="begin"/>
      </w:r>
      <w:r w:rsidRPr="003A3374">
        <w:instrText xml:space="preserve"> REF LINK_010781 \h </w:instrText>
      </w:r>
      <w:r w:rsidRPr="003A3374">
        <w:fldChar w:fldCharType="separate"/>
      </w:r>
      <w:r w:rsidR="006A4635" w:rsidRPr="003A3374">
        <w:rPr>
          <w:noProof/>
        </w:rPr>
        <w:t>59</w:t>
      </w:r>
      <w:r w:rsidRPr="003A3374">
        <w:fldChar w:fldCharType="end"/>
      </w:r>
      <w:r w:rsidRPr="003A3374">
        <w:t>). We argue this premium is justified by CCEP’s</w:t>
      </w:r>
      <w:r w:rsidR="00E71266" w:rsidRPr="003A3374">
        <w:t xml:space="preserve"> faster EPS growth and</w:t>
      </w:r>
      <w:r w:rsidRPr="003A3374">
        <w:t xml:space="preserve"> relatively more favourable risk/reward profile versus the broader sector: it is not exposed to the potential headwinds facing the US consumer staples stocks, such as the near-term operational risks from tariffs and the longer-term threat of GLP-1 agonists on terminal growth rates.</w:t>
      </w:r>
      <w:r w:rsidR="001F559B" w:rsidRPr="003A3374">
        <w:t xml:space="preserve"> </w:t>
      </w:r>
      <w:r w:rsidRPr="003A3374">
        <w:t xml:space="preserve">Moreover, in the near term CCEP has gross margin support in 2026 from easing European sugar </w:t>
      </w:r>
      <w:r w:rsidR="001B66F1" w:rsidRPr="003A3374">
        <w:t xml:space="preserve">and PET </w:t>
      </w:r>
      <w:r w:rsidRPr="003A3374">
        <w:t>costs that we argue is not adequately reflected in consensus estimates</w:t>
      </w:r>
      <w:r w:rsidR="00817690" w:rsidRPr="003A3374">
        <w:t>, as well as longer-term margin upside if the AFH channel recovers to pre-pandemic levels</w:t>
      </w:r>
      <w:r w:rsidRPr="003A3374">
        <w:t>.</w:t>
      </w:r>
    </w:p>
    <w:tbl>
      <w:tblPr>
        <w:tblStyle w:val="TableGrid"/>
        <w:tblW w:w="9637" w:type="dxa"/>
        <w:tblLayout w:type="fixed"/>
        <w:tblCellMar>
          <w:left w:w="0" w:type="dxa"/>
          <w:right w:w="0" w:type="dxa"/>
        </w:tblCellMar>
        <w:tblLook w:val="04A0" w:firstRow="1" w:lastRow="0" w:firstColumn="1" w:lastColumn="0" w:noHBand="0" w:noVBand="1"/>
      </w:tblPr>
      <w:tblGrid>
        <w:gridCol w:w="4705"/>
        <w:gridCol w:w="227"/>
        <w:gridCol w:w="4705"/>
      </w:tblGrid>
      <w:tr w:rsidR="00623146" w:rsidRPr="003A3374" w14:paraId="28F6F432" w14:textId="77777777" w:rsidTr="005F1035">
        <w:trPr>
          <w:cantSplit/>
          <w:tblHeader/>
        </w:trPr>
        <w:tc>
          <w:tcPr>
            <w:tcW w:w="4705" w:type="dxa"/>
            <w:tcBorders>
              <w:bottom w:val="single" w:sz="8" w:space="0" w:color="000000" w:themeColor="text1"/>
            </w:tcBorders>
          </w:tcPr>
          <w:p w14:paraId="4102BCBA" w14:textId="6E8ECF92" w:rsidR="00623146" w:rsidRPr="003A3374" w:rsidRDefault="00623146" w:rsidP="005F1035">
            <w:pPr>
              <w:pStyle w:val="TableTitle"/>
            </w:pPr>
            <w:bookmarkStart w:id="118" w:name="PH_2_8_1_031729"/>
            <w:r w:rsidRPr="003A3374">
              <w:t xml:space="preserve">Fig </w:t>
            </w:r>
            <w:bookmarkStart w:id="119" w:name="LINK_090392"/>
            <w:r w:rsidRPr="003A3374">
              <w:fldChar w:fldCharType="begin"/>
            </w:r>
            <w:r w:rsidRPr="003A3374">
              <w:instrText xml:space="preserve"> SEQ Fig </w:instrText>
            </w:r>
            <w:r w:rsidRPr="003A3374">
              <w:fldChar w:fldCharType="separate"/>
            </w:r>
            <w:r w:rsidR="006A4635" w:rsidRPr="003A3374">
              <w:rPr>
                <w:noProof/>
              </w:rPr>
              <w:t>58</w:t>
            </w:r>
            <w:r w:rsidRPr="003A3374">
              <w:fldChar w:fldCharType="end"/>
            </w:r>
            <w:bookmarkEnd w:id="119"/>
            <w:r w:rsidRPr="003A3374">
              <w:t xml:space="preserve">: </w:t>
            </w:r>
            <w:r w:rsidR="00916330" w:rsidRPr="003A3374">
              <w:t>Discount</w:t>
            </w:r>
            <w:r w:rsidRPr="003A3374">
              <w:t xml:space="preserve"> to the pre-pandemic multiple</w:t>
            </w:r>
          </w:p>
        </w:tc>
        <w:tc>
          <w:tcPr>
            <w:tcW w:w="227" w:type="dxa"/>
          </w:tcPr>
          <w:p w14:paraId="210F0E67" w14:textId="77777777" w:rsidR="00623146" w:rsidRPr="003A3374" w:rsidRDefault="00623146" w:rsidP="005F1035">
            <w:pPr>
              <w:pStyle w:val="Normal0"/>
            </w:pPr>
          </w:p>
        </w:tc>
        <w:tc>
          <w:tcPr>
            <w:tcW w:w="4705" w:type="dxa"/>
            <w:tcBorders>
              <w:bottom w:val="single" w:sz="8" w:space="0" w:color="000000" w:themeColor="text1"/>
            </w:tcBorders>
            <w:vAlign w:val="bottom"/>
          </w:tcPr>
          <w:p w14:paraId="59A84F4C" w14:textId="2A5CFB69" w:rsidR="00623146" w:rsidRPr="003A3374" w:rsidRDefault="00623146" w:rsidP="005F1035">
            <w:pPr>
              <w:pStyle w:val="TableTitle"/>
            </w:pPr>
            <w:r w:rsidRPr="003A3374">
              <w:t xml:space="preserve">Fig </w:t>
            </w:r>
            <w:bookmarkStart w:id="120" w:name="LINK_010781"/>
            <w:r w:rsidRPr="003A3374">
              <w:fldChar w:fldCharType="begin"/>
            </w:r>
            <w:r w:rsidRPr="003A3374">
              <w:instrText xml:space="preserve"> SEQ Fig </w:instrText>
            </w:r>
            <w:r w:rsidRPr="003A3374">
              <w:fldChar w:fldCharType="separate"/>
            </w:r>
            <w:r w:rsidR="006A4635" w:rsidRPr="003A3374">
              <w:rPr>
                <w:noProof/>
              </w:rPr>
              <w:t>59</w:t>
            </w:r>
            <w:r w:rsidRPr="003A3374">
              <w:fldChar w:fldCharType="end"/>
            </w:r>
            <w:bookmarkEnd w:id="120"/>
            <w:r w:rsidRPr="003A3374">
              <w:t>: Trading at a justified premium</w:t>
            </w:r>
          </w:p>
        </w:tc>
      </w:tr>
      <w:tr w:rsidR="00623146" w:rsidRPr="003A3374" w14:paraId="47F6F22F" w14:textId="77777777" w:rsidTr="005F1035">
        <w:trPr>
          <w:cantSplit/>
        </w:trPr>
        <w:tc>
          <w:tcPr>
            <w:tcW w:w="4705" w:type="dxa"/>
            <w:tcBorders>
              <w:top w:val="single" w:sz="8" w:space="0" w:color="000000" w:themeColor="text1"/>
              <w:bottom w:val="single" w:sz="8" w:space="0" w:color="000000" w:themeColor="text1"/>
            </w:tcBorders>
          </w:tcPr>
          <w:p w14:paraId="2502F6FC" w14:textId="73EEF018" w:rsidR="00623146" w:rsidRPr="003A3374" w:rsidRDefault="001B66F1" w:rsidP="005F1035">
            <w:pPr>
              <w:pStyle w:val="Tableplaceholder"/>
            </w:pPr>
            <w:r w:rsidRPr="003A3374">
              <w:rPr>
                <w:noProof/>
              </w:rPr>
              <w:drawing>
                <wp:inline distT="0" distB="0" distL="0" distR="0" wp14:anchorId="409FE4F9" wp14:editId="60B3FC9D">
                  <wp:extent cx="2987675" cy="1796415"/>
                  <wp:effectExtent l="0" t="0" r="3175" b="0"/>
                  <wp:docPr id="371001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987675" cy="1796415"/>
                          </a:xfrm>
                          <a:prstGeom prst="rect">
                            <a:avLst/>
                          </a:prstGeom>
                          <a:noFill/>
                          <a:ln>
                            <a:noFill/>
                          </a:ln>
                        </pic:spPr>
                      </pic:pic>
                    </a:graphicData>
                  </a:graphic>
                </wp:inline>
              </w:drawing>
            </w:r>
          </w:p>
        </w:tc>
        <w:tc>
          <w:tcPr>
            <w:tcW w:w="227" w:type="dxa"/>
          </w:tcPr>
          <w:p w14:paraId="7DC9ECB2" w14:textId="77777777" w:rsidR="00623146" w:rsidRPr="003A3374" w:rsidRDefault="00623146" w:rsidP="005F1035">
            <w:pPr>
              <w:pStyle w:val="Normal0"/>
            </w:pPr>
          </w:p>
        </w:tc>
        <w:tc>
          <w:tcPr>
            <w:tcW w:w="4705" w:type="dxa"/>
            <w:tcBorders>
              <w:top w:val="single" w:sz="8" w:space="0" w:color="000000" w:themeColor="text1"/>
              <w:bottom w:val="single" w:sz="8" w:space="0" w:color="000000" w:themeColor="text1"/>
            </w:tcBorders>
          </w:tcPr>
          <w:p w14:paraId="468A6FFC" w14:textId="597D2B7F" w:rsidR="00623146" w:rsidRPr="003A3374" w:rsidRDefault="001B66F1" w:rsidP="005F1035">
            <w:pPr>
              <w:pStyle w:val="Tableplaceholder"/>
            </w:pPr>
            <w:r w:rsidRPr="003A3374">
              <w:rPr>
                <w:noProof/>
              </w:rPr>
              <w:drawing>
                <wp:inline distT="0" distB="0" distL="0" distR="0" wp14:anchorId="264F604E" wp14:editId="2B258572">
                  <wp:extent cx="2987675" cy="1796415"/>
                  <wp:effectExtent l="0" t="0" r="3175" b="0"/>
                  <wp:docPr id="78142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987675" cy="1796415"/>
                          </a:xfrm>
                          <a:prstGeom prst="rect">
                            <a:avLst/>
                          </a:prstGeom>
                          <a:noFill/>
                          <a:ln>
                            <a:noFill/>
                          </a:ln>
                        </pic:spPr>
                      </pic:pic>
                    </a:graphicData>
                  </a:graphic>
                </wp:inline>
              </w:drawing>
            </w:r>
          </w:p>
        </w:tc>
      </w:tr>
      <w:tr w:rsidR="00623146" w:rsidRPr="003A3374" w14:paraId="609A9560" w14:textId="77777777" w:rsidTr="005F1035">
        <w:trPr>
          <w:cantSplit/>
        </w:trPr>
        <w:tc>
          <w:tcPr>
            <w:tcW w:w="4705" w:type="dxa"/>
            <w:tcBorders>
              <w:top w:val="single" w:sz="8" w:space="0" w:color="000000" w:themeColor="text1"/>
            </w:tcBorders>
          </w:tcPr>
          <w:p w14:paraId="67B5D488" w14:textId="77777777" w:rsidR="00623146" w:rsidRPr="003A3374" w:rsidRDefault="00623146" w:rsidP="005F1035">
            <w:pPr>
              <w:pStyle w:val="TableSource"/>
            </w:pPr>
            <w:r w:rsidRPr="003A3374">
              <w:t>Source: Rothschild &amp; Co Redburn, FactSet</w:t>
            </w:r>
          </w:p>
        </w:tc>
        <w:tc>
          <w:tcPr>
            <w:tcW w:w="227" w:type="dxa"/>
          </w:tcPr>
          <w:p w14:paraId="45A74EFB" w14:textId="77777777" w:rsidR="00623146" w:rsidRPr="003A3374" w:rsidRDefault="00623146" w:rsidP="005F1035">
            <w:pPr>
              <w:pStyle w:val="Normal0"/>
            </w:pPr>
          </w:p>
        </w:tc>
        <w:tc>
          <w:tcPr>
            <w:tcW w:w="4705" w:type="dxa"/>
            <w:tcBorders>
              <w:top w:val="single" w:sz="8" w:space="0" w:color="000000" w:themeColor="text1"/>
            </w:tcBorders>
          </w:tcPr>
          <w:p w14:paraId="3E8DCA67" w14:textId="77777777" w:rsidR="00623146" w:rsidRPr="003A3374" w:rsidRDefault="00623146" w:rsidP="005F1035">
            <w:pPr>
              <w:pStyle w:val="TableSource"/>
            </w:pPr>
            <w:r w:rsidRPr="003A3374">
              <w:t>Source: Rothschild &amp; Co Redburn, FactSet</w:t>
            </w:r>
          </w:p>
        </w:tc>
      </w:tr>
    </w:tbl>
    <w:bookmarkEnd w:id="118"/>
    <w:p w14:paraId="25617A6A" w14:textId="1F12CF64" w:rsidR="00623146" w:rsidRPr="003A3374" w:rsidRDefault="001B66F1" w:rsidP="00623146">
      <w:pPr>
        <w:pStyle w:val="BodyText"/>
      </w:pPr>
      <w:r w:rsidRPr="003A3374">
        <w:t>Our</w:t>
      </w:r>
      <w:r w:rsidR="00623146" w:rsidRPr="003A3374">
        <w:t xml:space="preserve"> 12-month price target </w:t>
      </w:r>
      <w:r w:rsidRPr="003A3374">
        <w:t xml:space="preserve">is unchanged at </w:t>
      </w:r>
      <w:r w:rsidR="00623146" w:rsidRPr="003A3374">
        <w:t>$1</w:t>
      </w:r>
      <w:r w:rsidRPr="003A3374">
        <w:t>02</w:t>
      </w:r>
      <w:r w:rsidR="00623146" w:rsidRPr="003A3374">
        <w:t xml:space="preserve"> per share, which is based on a ten-year DCF model that assumes a 7.7% WACC, 4% post-currency sales growth, a 16.1% operating margin in year ten and a ROIC of c16.5%, with long-term growth of 2.8% pa. This equates to 20.</w:t>
      </w:r>
      <w:r w:rsidRPr="003A3374">
        <w:t>4</w:t>
      </w:r>
      <w:r w:rsidR="00623146" w:rsidRPr="003A3374">
        <w:t>x forward P/E and, with a c3% dividend yield, offers a potential total shareholder return of 1</w:t>
      </w:r>
      <w:r w:rsidRPr="003A3374">
        <w:t>7</w:t>
      </w:r>
      <w:r w:rsidR="00623146" w:rsidRPr="003A3374">
        <w:t>%. We maintain our Buy rating.</w:t>
      </w:r>
    </w:p>
    <w:p w14:paraId="27A1F59F" w14:textId="4CD3E797" w:rsidR="00623146" w:rsidRPr="003A3374" w:rsidRDefault="00623146" w:rsidP="00623146">
      <w:pPr>
        <w:pStyle w:val="BodyText"/>
      </w:pPr>
      <w:r w:rsidRPr="003A3374">
        <w:t>Downside risks to our forecasts include the implementation of additional government levies, a weaker-than-expected consumer environment, lower-for-longer volumes in Indonesia and integration issues that could arise from the ERP system consolidation. Upside risks to our forecasts include stronger profit growth following greater-than-expected cost savings realisation, faster-than-expected volume growth in the European AFH channel in 202</w:t>
      </w:r>
      <w:r w:rsidR="001B66F1" w:rsidRPr="003A3374">
        <w:t>6</w:t>
      </w:r>
      <w:r w:rsidRPr="003A3374">
        <w:t xml:space="preserve"> and faster-than-expected volume growth in the Philippines.</w:t>
      </w:r>
    </w:p>
    <w:p w14:paraId="06410EBF" w14:textId="77777777" w:rsidR="007116D4" w:rsidRPr="003A3374" w:rsidRDefault="007116D4" w:rsidP="00623146">
      <w:pPr>
        <w:pStyle w:val="BodyText"/>
      </w:pPr>
    </w:p>
    <w:tbl>
      <w:tblPr>
        <w:tblStyle w:val="TableGrid"/>
        <w:tblW w:w="9637" w:type="dxa"/>
        <w:tblLayout w:type="fixed"/>
        <w:tblCellMar>
          <w:left w:w="0" w:type="dxa"/>
          <w:right w:w="0" w:type="dxa"/>
        </w:tblCellMar>
        <w:tblLook w:val="04A0" w:firstRow="1" w:lastRow="0" w:firstColumn="1" w:lastColumn="0" w:noHBand="0" w:noVBand="1"/>
      </w:tblPr>
      <w:tblGrid>
        <w:gridCol w:w="9637"/>
      </w:tblGrid>
      <w:tr w:rsidR="00864882" w:rsidRPr="003A3374" w14:paraId="73001649" w14:textId="77777777" w:rsidTr="006D2966">
        <w:trPr>
          <w:cantSplit/>
          <w:tblHeader/>
        </w:trPr>
        <w:tc>
          <w:tcPr>
            <w:tcW w:w="9637" w:type="dxa"/>
            <w:tcBorders>
              <w:bottom w:val="single" w:sz="8" w:space="0" w:color="000000" w:themeColor="text1"/>
            </w:tcBorders>
          </w:tcPr>
          <w:p w14:paraId="3CCBD6E6" w14:textId="1318145A" w:rsidR="00864882" w:rsidRPr="003A3374" w:rsidRDefault="00864882" w:rsidP="006D2966">
            <w:pPr>
              <w:pStyle w:val="TableTitle"/>
            </w:pPr>
            <w:bookmarkStart w:id="121" w:name="PH_1_8_1_052602"/>
            <w:r w:rsidRPr="003A3374">
              <w:lastRenderedPageBreak/>
              <w:t xml:space="preserve">Fig </w:t>
            </w:r>
            <w:r w:rsidRPr="003A3374">
              <w:fldChar w:fldCharType="begin"/>
            </w:r>
            <w:r w:rsidRPr="003A3374">
              <w:instrText xml:space="preserve"> SEQ Fig </w:instrText>
            </w:r>
            <w:r w:rsidRPr="003A3374">
              <w:fldChar w:fldCharType="separate"/>
            </w:r>
            <w:r w:rsidR="006A4635" w:rsidRPr="003A3374">
              <w:rPr>
                <w:noProof/>
              </w:rPr>
              <w:t>60</w:t>
            </w:r>
            <w:r w:rsidRPr="003A3374">
              <w:fldChar w:fldCharType="end"/>
            </w:r>
            <w:r w:rsidRPr="003A3374">
              <w:t>: Beverages valuation</w:t>
            </w:r>
          </w:p>
        </w:tc>
      </w:tr>
      <w:tr w:rsidR="00864882" w:rsidRPr="003A3374" w14:paraId="76979439" w14:textId="77777777" w:rsidTr="006D2966">
        <w:trPr>
          <w:cantSplit/>
        </w:trPr>
        <w:tc>
          <w:tcPr>
            <w:tcW w:w="9637" w:type="dxa"/>
            <w:tcBorders>
              <w:top w:val="single" w:sz="8" w:space="0" w:color="000000" w:themeColor="text1"/>
              <w:bottom w:val="single" w:sz="8" w:space="0" w:color="000000" w:themeColor="text1"/>
            </w:tcBorders>
          </w:tcPr>
          <w:tbl>
            <w:tblPr>
              <w:tblStyle w:val="Dataholder"/>
              <w:tblW w:w="0" w:type="auto"/>
              <w:tblLayout w:type="fixed"/>
              <w:tblLook w:val="06A0" w:firstRow="1" w:lastRow="0" w:firstColumn="1" w:lastColumn="0" w:noHBand="1" w:noVBand="1"/>
            </w:tblPr>
            <w:tblGrid>
              <w:gridCol w:w="1626"/>
              <w:gridCol w:w="760"/>
              <w:gridCol w:w="746"/>
              <w:gridCol w:w="542"/>
              <w:gridCol w:w="542"/>
              <w:gridCol w:w="542"/>
              <w:gridCol w:w="542"/>
              <w:gridCol w:w="542"/>
              <w:gridCol w:w="537"/>
              <w:gridCol w:w="547"/>
              <w:gridCol w:w="542"/>
              <w:gridCol w:w="542"/>
              <w:gridCol w:w="542"/>
              <w:gridCol w:w="542"/>
              <w:gridCol w:w="543"/>
            </w:tblGrid>
            <w:tr w:rsidR="00864882" w:rsidRPr="003A3374" w14:paraId="1ABAC0A8" w14:textId="77777777" w:rsidTr="006D29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tcBorders>
                    <w:bottom w:val="none" w:sz="0" w:space="0" w:color="auto"/>
                  </w:tcBorders>
                </w:tcPr>
                <w:p w14:paraId="6563DB77" w14:textId="77777777" w:rsidR="00864882" w:rsidRPr="003A3374" w:rsidRDefault="00864882" w:rsidP="006D2966">
                  <w:pPr>
                    <w:pStyle w:val="TableText0"/>
                  </w:pPr>
                </w:p>
              </w:tc>
              <w:tc>
                <w:tcPr>
                  <w:tcW w:w="760" w:type="dxa"/>
                  <w:tcBorders>
                    <w:bottom w:val="none" w:sz="0" w:space="0" w:color="auto"/>
                  </w:tcBorders>
                </w:tcPr>
                <w:p w14:paraId="42E74244" w14:textId="77777777" w:rsidR="00864882" w:rsidRPr="003A3374" w:rsidRDefault="00864882" w:rsidP="006D2966">
                  <w:pPr>
                    <w:pStyle w:val="TableText0"/>
                    <w:jc w:val="left"/>
                    <w:cnfStyle w:val="100000000000" w:firstRow="1" w:lastRow="0" w:firstColumn="0" w:lastColumn="0" w:oddVBand="0" w:evenVBand="0" w:oddHBand="0" w:evenHBand="0" w:firstRowFirstColumn="0" w:firstRowLastColumn="0" w:lastRowFirstColumn="0" w:lastRowLastColumn="0"/>
                  </w:pPr>
                  <w:r w:rsidRPr="003A3374">
                    <w:t>RDBN</w:t>
                  </w:r>
                </w:p>
              </w:tc>
              <w:tc>
                <w:tcPr>
                  <w:tcW w:w="746" w:type="dxa"/>
                  <w:tcBorders>
                    <w:bottom w:val="none" w:sz="0" w:space="0" w:color="auto"/>
                  </w:tcBorders>
                </w:tcPr>
                <w:p w14:paraId="3CE602F8" w14:textId="77777777" w:rsidR="00864882" w:rsidRPr="003A3374" w:rsidRDefault="00864882" w:rsidP="006D2966">
                  <w:pPr>
                    <w:pStyle w:val="TableText0"/>
                    <w:cnfStyle w:val="100000000000" w:firstRow="1" w:lastRow="0" w:firstColumn="0" w:lastColumn="0" w:oddVBand="0" w:evenVBand="0" w:oddHBand="0" w:evenHBand="0" w:firstRowFirstColumn="0" w:firstRowLastColumn="0" w:lastRowFirstColumn="0" w:lastRowLastColumn="0"/>
                  </w:pPr>
                  <w:r w:rsidRPr="003A3374">
                    <w:t>Price</w:t>
                  </w:r>
                </w:p>
              </w:tc>
              <w:tc>
                <w:tcPr>
                  <w:tcW w:w="1626" w:type="dxa"/>
                  <w:gridSpan w:val="3"/>
                  <w:tcBorders>
                    <w:bottom w:val="none" w:sz="0" w:space="0" w:color="auto"/>
                  </w:tcBorders>
                </w:tcPr>
                <w:p w14:paraId="5F0CBCE2" w14:textId="77777777" w:rsidR="00864882" w:rsidRPr="003A3374" w:rsidRDefault="00864882" w:rsidP="006D2966">
                  <w:pPr>
                    <w:pStyle w:val="TableText0"/>
                    <w:cnfStyle w:val="100000000000" w:firstRow="1" w:lastRow="0" w:firstColumn="0" w:lastColumn="0" w:oddVBand="0" w:evenVBand="0" w:oddHBand="0" w:evenHBand="0" w:firstRowFirstColumn="0" w:firstRowLastColumn="0" w:lastRowFirstColumn="0" w:lastRowLastColumn="0"/>
                  </w:pPr>
                  <w:r w:rsidRPr="003A3374">
                    <w:t xml:space="preserve">-------- P/E (x) -------   </w:t>
                  </w:r>
                </w:p>
              </w:tc>
              <w:tc>
                <w:tcPr>
                  <w:tcW w:w="1621" w:type="dxa"/>
                  <w:gridSpan w:val="3"/>
                  <w:tcBorders>
                    <w:bottom w:val="none" w:sz="0" w:space="0" w:color="auto"/>
                  </w:tcBorders>
                </w:tcPr>
                <w:p w14:paraId="06B70D4F" w14:textId="77777777" w:rsidR="00864882" w:rsidRPr="003A3374" w:rsidRDefault="00864882" w:rsidP="006D2966">
                  <w:pPr>
                    <w:pStyle w:val="TableText0"/>
                    <w:cnfStyle w:val="100000000000" w:firstRow="1" w:lastRow="0" w:firstColumn="0" w:lastColumn="0" w:oddVBand="0" w:evenVBand="0" w:oddHBand="0" w:evenHBand="0" w:firstRowFirstColumn="0" w:firstRowLastColumn="0" w:lastRowFirstColumn="0" w:lastRowLastColumn="0"/>
                  </w:pPr>
                  <w:r w:rsidRPr="003A3374">
                    <w:t>--- Dividend yield ---</w:t>
                  </w:r>
                </w:p>
              </w:tc>
              <w:tc>
                <w:tcPr>
                  <w:tcW w:w="1631" w:type="dxa"/>
                  <w:gridSpan w:val="3"/>
                  <w:tcBorders>
                    <w:bottom w:val="none" w:sz="0" w:space="0" w:color="auto"/>
                  </w:tcBorders>
                </w:tcPr>
                <w:p w14:paraId="3786560F" w14:textId="77777777" w:rsidR="00864882" w:rsidRPr="003A3374" w:rsidRDefault="00864882" w:rsidP="006D2966">
                  <w:pPr>
                    <w:pStyle w:val="TableText0"/>
                    <w:cnfStyle w:val="100000000000" w:firstRow="1" w:lastRow="0" w:firstColumn="0" w:lastColumn="0" w:oddVBand="0" w:evenVBand="0" w:oddHBand="0" w:evenHBand="0" w:firstRowFirstColumn="0" w:firstRowLastColumn="0" w:lastRowFirstColumn="0" w:lastRowLastColumn="0"/>
                  </w:pPr>
                  <w:r w:rsidRPr="003A3374">
                    <w:t>- Equity FCF yield -</w:t>
                  </w:r>
                </w:p>
              </w:tc>
              <w:tc>
                <w:tcPr>
                  <w:tcW w:w="1627" w:type="dxa"/>
                  <w:gridSpan w:val="3"/>
                  <w:tcBorders>
                    <w:bottom w:val="none" w:sz="0" w:space="0" w:color="auto"/>
                  </w:tcBorders>
                </w:tcPr>
                <w:p w14:paraId="37A0466E" w14:textId="77777777" w:rsidR="00864882" w:rsidRPr="003A3374" w:rsidRDefault="00864882" w:rsidP="006D2966">
                  <w:pPr>
                    <w:pStyle w:val="TableText0"/>
                    <w:cnfStyle w:val="100000000000" w:firstRow="1" w:lastRow="0" w:firstColumn="0" w:lastColumn="0" w:oddVBand="0" w:evenVBand="0" w:oddHBand="0" w:evenHBand="0" w:firstRowFirstColumn="0" w:firstRowLastColumn="0" w:lastRowFirstColumn="0" w:lastRowLastColumn="0"/>
                  </w:pPr>
                  <w:r w:rsidRPr="003A3374">
                    <w:t>---- EV/EBIT (x) ----</w:t>
                  </w:r>
                </w:p>
              </w:tc>
            </w:tr>
            <w:tr w:rsidR="00864882" w:rsidRPr="003A3374" w14:paraId="66B1C2A0" w14:textId="77777777" w:rsidTr="006D2966">
              <w:tc>
                <w:tcPr>
                  <w:cnfStyle w:val="001000000000" w:firstRow="0" w:lastRow="0" w:firstColumn="1" w:lastColumn="0" w:oddVBand="0" w:evenVBand="0" w:oddHBand="0" w:evenHBand="0" w:firstRowFirstColumn="0" w:firstRowLastColumn="0" w:lastRowFirstColumn="0" w:lastRowLastColumn="0"/>
                  <w:tcW w:w="1626" w:type="dxa"/>
                  <w:tcBorders>
                    <w:bottom w:val="single" w:sz="4" w:space="0" w:color="auto"/>
                  </w:tcBorders>
                </w:tcPr>
                <w:p w14:paraId="097DA694" w14:textId="77777777" w:rsidR="00864882" w:rsidRPr="003A3374" w:rsidRDefault="00864882" w:rsidP="006D2966">
                  <w:pPr>
                    <w:pStyle w:val="TableText0"/>
                    <w:rPr>
                      <w:b/>
                      <w:bCs/>
                    </w:rPr>
                  </w:pPr>
                  <w:r w:rsidRPr="003A3374">
                    <w:rPr>
                      <w:b/>
                      <w:bCs/>
                    </w:rPr>
                    <w:t>Company</w:t>
                  </w:r>
                </w:p>
              </w:tc>
              <w:tc>
                <w:tcPr>
                  <w:tcW w:w="760" w:type="dxa"/>
                  <w:tcBorders>
                    <w:bottom w:val="single" w:sz="4" w:space="0" w:color="auto"/>
                  </w:tcBorders>
                </w:tcPr>
                <w:p w14:paraId="346C426D" w14:textId="77777777" w:rsidR="00864882" w:rsidRPr="003A3374" w:rsidRDefault="00864882" w:rsidP="006D2966">
                  <w:pPr>
                    <w:pStyle w:val="TableText0"/>
                    <w:jc w:val="left"/>
                    <w:cnfStyle w:val="000000000000" w:firstRow="0" w:lastRow="0" w:firstColumn="0" w:lastColumn="0" w:oddVBand="0" w:evenVBand="0" w:oddHBand="0" w:evenHBand="0" w:firstRowFirstColumn="0" w:firstRowLastColumn="0" w:lastRowFirstColumn="0" w:lastRowLastColumn="0"/>
                    <w:rPr>
                      <w:b/>
                    </w:rPr>
                  </w:pPr>
                  <w:r w:rsidRPr="003A3374">
                    <w:rPr>
                      <w:b/>
                    </w:rPr>
                    <w:t>rating</w:t>
                  </w:r>
                </w:p>
              </w:tc>
              <w:tc>
                <w:tcPr>
                  <w:tcW w:w="746" w:type="dxa"/>
                  <w:tcBorders>
                    <w:bottom w:val="single" w:sz="4" w:space="0" w:color="auto"/>
                  </w:tcBorders>
                </w:tcPr>
                <w:p w14:paraId="383D0E17"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(lc)</w:t>
                  </w:r>
                </w:p>
              </w:tc>
              <w:tc>
                <w:tcPr>
                  <w:tcW w:w="542" w:type="dxa"/>
                  <w:tcBorders>
                    <w:bottom w:val="single" w:sz="4" w:space="0" w:color="auto"/>
                  </w:tcBorders>
                </w:tcPr>
                <w:p w14:paraId="19524E91"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2025E</w:t>
                  </w:r>
                </w:p>
              </w:tc>
              <w:tc>
                <w:tcPr>
                  <w:tcW w:w="542" w:type="dxa"/>
                  <w:tcBorders>
                    <w:bottom w:val="single" w:sz="4" w:space="0" w:color="auto"/>
                  </w:tcBorders>
                </w:tcPr>
                <w:p w14:paraId="059CCBB9"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2026E</w:t>
                  </w:r>
                </w:p>
              </w:tc>
              <w:tc>
                <w:tcPr>
                  <w:tcW w:w="542" w:type="dxa"/>
                  <w:tcBorders>
                    <w:bottom w:val="single" w:sz="4" w:space="0" w:color="auto"/>
                  </w:tcBorders>
                </w:tcPr>
                <w:p w14:paraId="6B4030C7"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2027E</w:t>
                  </w:r>
                </w:p>
              </w:tc>
              <w:tc>
                <w:tcPr>
                  <w:tcW w:w="542" w:type="dxa"/>
                  <w:tcBorders>
                    <w:bottom w:val="single" w:sz="4" w:space="0" w:color="auto"/>
                  </w:tcBorders>
                </w:tcPr>
                <w:p w14:paraId="189C2174"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2025E</w:t>
                  </w:r>
                </w:p>
              </w:tc>
              <w:tc>
                <w:tcPr>
                  <w:tcW w:w="542" w:type="dxa"/>
                  <w:tcBorders>
                    <w:bottom w:val="single" w:sz="4" w:space="0" w:color="auto"/>
                  </w:tcBorders>
                </w:tcPr>
                <w:p w14:paraId="38BC2CFE"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2026E</w:t>
                  </w:r>
                </w:p>
              </w:tc>
              <w:tc>
                <w:tcPr>
                  <w:tcW w:w="537" w:type="dxa"/>
                  <w:tcBorders>
                    <w:bottom w:val="single" w:sz="4" w:space="0" w:color="auto"/>
                  </w:tcBorders>
                </w:tcPr>
                <w:p w14:paraId="2616DB8D"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2027E</w:t>
                  </w:r>
                </w:p>
              </w:tc>
              <w:tc>
                <w:tcPr>
                  <w:tcW w:w="547" w:type="dxa"/>
                  <w:tcBorders>
                    <w:bottom w:val="single" w:sz="4" w:space="0" w:color="auto"/>
                  </w:tcBorders>
                </w:tcPr>
                <w:p w14:paraId="55F16A71"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2025E</w:t>
                  </w:r>
                </w:p>
              </w:tc>
              <w:tc>
                <w:tcPr>
                  <w:tcW w:w="542" w:type="dxa"/>
                  <w:tcBorders>
                    <w:bottom w:val="single" w:sz="4" w:space="0" w:color="auto"/>
                  </w:tcBorders>
                </w:tcPr>
                <w:p w14:paraId="298D5010"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2026E</w:t>
                  </w:r>
                </w:p>
              </w:tc>
              <w:tc>
                <w:tcPr>
                  <w:tcW w:w="542" w:type="dxa"/>
                  <w:tcBorders>
                    <w:bottom w:val="single" w:sz="4" w:space="0" w:color="auto"/>
                  </w:tcBorders>
                </w:tcPr>
                <w:p w14:paraId="2D453594"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2027E</w:t>
                  </w:r>
                </w:p>
              </w:tc>
              <w:tc>
                <w:tcPr>
                  <w:tcW w:w="542" w:type="dxa"/>
                  <w:tcBorders>
                    <w:bottom w:val="single" w:sz="4" w:space="0" w:color="auto"/>
                  </w:tcBorders>
                </w:tcPr>
                <w:p w14:paraId="53253858"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2025E</w:t>
                  </w:r>
                </w:p>
              </w:tc>
              <w:tc>
                <w:tcPr>
                  <w:tcW w:w="542" w:type="dxa"/>
                  <w:tcBorders>
                    <w:bottom w:val="single" w:sz="4" w:space="0" w:color="auto"/>
                  </w:tcBorders>
                </w:tcPr>
                <w:p w14:paraId="55EF700B"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2026E</w:t>
                  </w:r>
                </w:p>
              </w:tc>
              <w:tc>
                <w:tcPr>
                  <w:tcW w:w="543" w:type="dxa"/>
                  <w:tcBorders>
                    <w:bottom w:val="single" w:sz="4" w:space="0" w:color="auto"/>
                  </w:tcBorders>
                </w:tcPr>
                <w:p w14:paraId="5DAA3B4C"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rPr>
                      <w:b/>
                    </w:rPr>
                  </w:pPr>
                  <w:r w:rsidRPr="003A3374">
                    <w:rPr>
                      <w:b/>
                    </w:rPr>
                    <w:t>2027E</w:t>
                  </w:r>
                </w:p>
              </w:tc>
            </w:tr>
            <w:tr w:rsidR="00864882" w:rsidRPr="003A3374" w14:paraId="01DD1623" w14:textId="77777777" w:rsidTr="006D2966">
              <w:tc>
                <w:tcPr>
                  <w:cnfStyle w:val="001000000000" w:firstRow="0" w:lastRow="0" w:firstColumn="1" w:lastColumn="0" w:oddVBand="0" w:evenVBand="0" w:oddHBand="0" w:evenHBand="0" w:firstRowFirstColumn="0" w:firstRowLastColumn="0" w:lastRowFirstColumn="0" w:lastRowLastColumn="0"/>
                  <w:tcW w:w="1626" w:type="dxa"/>
                  <w:tcBorders>
                    <w:top w:val="single" w:sz="4" w:space="0" w:color="auto"/>
                  </w:tcBorders>
                </w:tcPr>
                <w:p w14:paraId="4C84632B" w14:textId="73BE21E7" w:rsidR="00864882" w:rsidRPr="003A3374" w:rsidRDefault="00987366" w:rsidP="006D2966">
                  <w:pPr>
                    <w:pStyle w:val="TableText0"/>
                    <w:rPr>
                      <w:b/>
                      <w:bCs/>
                    </w:rPr>
                  </w:pPr>
                  <w:r w:rsidRPr="003A3374">
                    <w:t>ABInBev</w:t>
                  </w:r>
                </w:p>
              </w:tc>
              <w:tc>
                <w:tcPr>
                  <w:tcW w:w="760" w:type="dxa"/>
                  <w:tcBorders>
                    <w:top w:val="single" w:sz="4" w:space="0" w:color="auto"/>
                  </w:tcBorders>
                </w:tcPr>
                <w:p w14:paraId="0DDD49CE" w14:textId="66749440" w:rsidR="00864882" w:rsidRPr="003A3374" w:rsidRDefault="00987366" w:rsidP="006D2966">
                  <w:pPr>
                    <w:pStyle w:val="TableText0"/>
                    <w:jc w:val="left"/>
                    <w:cnfStyle w:val="000000000000" w:firstRow="0" w:lastRow="0" w:firstColumn="0" w:lastColumn="0" w:oddVBand="0" w:evenVBand="0" w:oddHBand="0" w:evenHBand="0" w:firstRowFirstColumn="0" w:firstRowLastColumn="0" w:lastRowFirstColumn="0" w:lastRowLastColumn="0"/>
                  </w:pPr>
                  <w:r w:rsidRPr="003A3374">
                    <w:t>Buy</w:t>
                  </w:r>
                </w:p>
              </w:tc>
              <w:tc>
                <w:tcPr>
                  <w:tcW w:w="746" w:type="dxa"/>
                  <w:tcBorders>
                    <w:top w:val="single" w:sz="4" w:space="0" w:color="auto"/>
                  </w:tcBorders>
                </w:tcPr>
                <w:p w14:paraId="7D652DDD" w14:textId="39D1769A"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€52.6</w:t>
                  </w:r>
                </w:p>
              </w:tc>
              <w:tc>
                <w:tcPr>
                  <w:tcW w:w="542" w:type="dxa"/>
                  <w:tcBorders>
                    <w:top w:val="single" w:sz="4" w:space="0" w:color="auto"/>
                  </w:tcBorders>
                </w:tcPr>
                <w:p w14:paraId="2D9D62CF" w14:textId="5CA9B5D7"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16.4</w:t>
                  </w:r>
                </w:p>
              </w:tc>
              <w:tc>
                <w:tcPr>
                  <w:tcW w:w="542" w:type="dxa"/>
                  <w:tcBorders>
                    <w:top w:val="single" w:sz="4" w:space="0" w:color="auto"/>
                  </w:tcBorders>
                </w:tcPr>
                <w:p w14:paraId="09E46BDB" w14:textId="45DBD2B6"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14.6</w:t>
                  </w:r>
                </w:p>
              </w:tc>
              <w:tc>
                <w:tcPr>
                  <w:tcW w:w="542" w:type="dxa"/>
                  <w:tcBorders>
                    <w:top w:val="single" w:sz="4" w:space="0" w:color="auto"/>
                  </w:tcBorders>
                </w:tcPr>
                <w:p w14:paraId="1B0A5D12" w14:textId="3D5D008F"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12.9</w:t>
                  </w:r>
                </w:p>
              </w:tc>
              <w:tc>
                <w:tcPr>
                  <w:tcW w:w="542" w:type="dxa"/>
                  <w:tcBorders>
                    <w:top w:val="single" w:sz="4" w:space="0" w:color="auto"/>
                  </w:tcBorders>
                </w:tcPr>
                <w:p w14:paraId="77A12AF7" w14:textId="624AF7C8"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1.8%</w:t>
                  </w:r>
                </w:p>
              </w:tc>
              <w:tc>
                <w:tcPr>
                  <w:tcW w:w="542" w:type="dxa"/>
                  <w:tcBorders>
                    <w:top w:val="single" w:sz="4" w:space="0" w:color="auto"/>
                  </w:tcBorders>
                </w:tcPr>
                <w:p w14:paraId="7CFA451B" w14:textId="2344D07C"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2.1%</w:t>
                  </w:r>
                </w:p>
              </w:tc>
              <w:tc>
                <w:tcPr>
                  <w:tcW w:w="537" w:type="dxa"/>
                  <w:tcBorders>
                    <w:top w:val="single" w:sz="4" w:space="0" w:color="auto"/>
                  </w:tcBorders>
                </w:tcPr>
                <w:p w14:paraId="283A14EC" w14:textId="4915DABB"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2.3%</w:t>
                  </w:r>
                </w:p>
              </w:tc>
              <w:tc>
                <w:tcPr>
                  <w:tcW w:w="547" w:type="dxa"/>
                  <w:tcBorders>
                    <w:top w:val="single" w:sz="4" w:space="0" w:color="auto"/>
                  </w:tcBorders>
                </w:tcPr>
                <w:p w14:paraId="57415BCD" w14:textId="341AEBE5"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8.0%</w:t>
                  </w:r>
                </w:p>
              </w:tc>
              <w:tc>
                <w:tcPr>
                  <w:tcW w:w="542" w:type="dxa"/>
                  <w:tcBorders>
                    <w:top w:val="single" w:sz="4" w:space="0" w:color="auto"/>
                  </w:tcBorders>
                </w:tcPr>
                <w:p w14:paraId="016BBEEA" w14:textId="19902271"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9.7%</w:t>
                  </w:r>
                </w:p>
              </w:tc>
              <w:tc>
                <w:tcPr>
                  <w:tcW w:w="542" w:type="dxa"/>
                  <w:tcBorders>
                    <w:top w:val="single" w:sz="4" w:space="0" w:color="auto"/>
                  </w:tcBorders>
                </w:tcPr>
                <w:p w14:paraId="1D87B8A7" w14:textId="3760343F"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10.6%</w:t>
                  </w:r>
                </w:p>
              </w:tc>
              <w:tc>
                <w:tcPr>
                  <w:tcW w:w="542" w:type="dxa"/>
                  <w:tcBorders>
                    <w:top w:val="single" w:sz="4" w:space="0" w:color="auto"/>
                  </w:tcBorders>
                </w:tcPr>
                <w:p w14:paraId="7AC3A77F" w14:textId="0C69FB6C"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11.7</w:t>
                  </w:r>
                </w:p>
              </w:tc>
              <w:tc>
                <w:tcPr>
                  <w:tcW w:w="542" w:type="dxa"/>
                  <w:tcBorders>
                    <w:top w:val="single" w:sz="4" w:space="0" w:color="auto"/>
                  </w:tcBorders>
                </w:tcPr>
                <w:p w14:paraId="3EFDADC2" w14:textId="7F41A119"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10.6</w:t>
                  </w:r>
                </w:p>
              </w:tc>
              <w:tc>
                <w:tcPr>
                  <w:tcW w:w="543" w:type="dxa"/>
                  <w:tcBorders>
                    <w:top w:val="single" w:sz="4" w:space="0" w:color="auto"/>
                  </w:tcBorders>
                </w:tcPr>
                <w:p w14:paraId="24FFBC07" w14:textId="6BD71839"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9.4</w:t>
                  </w:r>
                </w:p>
              </w:tc>
            </w:tr>
            <w:tr w:rsidR="00864882" w:rsidRPr="003A3374" w14:paraId="3FFC8DBC" w14:textId="77777777" w:rsidTr="006D2966">
              <w:tc>
                <w:tcPr>
                  <w:cnfStyle w:val="001000000000" w:firstRow="0" w:lastRow="0" w:firstColumn="1" w:lastColumn="0" w:oddVBand="0" w:evenVBand="0" w:oddHBand="0" w:evenHBand="0" w:firstRowFirstColumn="0" w:firstRowLastColumn="0" w:lastRowFirstColumn="0" w:lastRowLastColumn="0"/>
                  <w:tcW w:w="1626" w:type="dxa"/>
                </w:tcPr>
                <w:p w14:paraId="19A6FC08" w14:textId="04FED7A2" w:rsidR="00864882" w:rsidRPr="003A3374" w:rsidRDefault="00987366" w:rsidP="006D2966">
                  <w:pPr>
                    <w:pStyle w:val="TableText0"/>
                    <w:rPr>
                      <w:b/>
                      <w:bCs/>
                    </w:rPr>
                  </w:pPr>
                  <w:r w:rsidRPr="003A3374">
                    <w:t>Boston Beer</w:t>
                  </w:r>
                </w:p>
              </w:tc>
              <w:tc>
                <w:tcPr>
                  <w:tcW w:w="760" w:type="dxa"/>
                </w:tcPr>
                <w:p w14:paraId="361F850B" w14:textId="704A941B" w:rsidR="00864882" w:rsidRPr="003A3374" w:rsidRDefault="00987366" w:rsidP="006D2966">
                  <w:pPr>
                    <w:pStyle w:val="TableText0"/>
                    <w:jc w:val="left"/>
                    <w:cnfStyle w:val="000000000000" w:firstRow="0" w:lastRow="0" w:firstColumn="0" w:lastColumn="0" w:oddVBand="0" w:evenVBand="0" w:oddHBand="0" w:evenHBand="0" w:firstRowFirstColumn="0" w:firstRowLastColumn="0" w:lastRowFirstColumn="0" w:lastRowLastColumn="0"/>
                  </w:pPr>
                  <w:r w:rsidRPr="003A3374">
                    <w:t>Sell</w:t>
                  </w:r>
                </w:p>
              </w:tc>
              <w:tc>
                <w:tcPr>
                  <w:tcW w:w="746" w:type="dxa"/>
                </w:tcPr>
                <w:p w14:paraId="723FC212" w14:textId="1AD9574B"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$193.0</w:t>
                  </w:r>
                </w:p>
              </w:tc>
              <w:tc>
                <w:tcPr>
                  <w:tcW w:w="542" w:type="dxa"/>
                </w:tcPr>
                <w:p w14:paraId="13052CE5" w14:textId="7737DD63"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19.4</w:t>
                  </w:r>
                </w:p>
              </w:tc>
              <w:tc>
                <w:tcPr>
                  <w:tcW w:w="542" w:type="dxa"/>
                </w:tcPr>
                <w:p w14:paraId="48980683" w14:textId="522D440A"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16.5</w:t>
                  </w:r>
                </w:p>
              </w:tc>
              <w:tc>
                <w:tcPr>
                  <w:tcW w:w="542" w:type="dxa"/>
                </w:tcPr>
                <w:p w14:paraId="0B3EA7B6" w14:textId="3EA57CFB"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14.3</w:t>
                  </w:r>
                </w:p>
              </w:tc>
              <w:tc>
                <w:tcPr>
                  <w:tcW w:w="542" w:type="dxa"/>
                </w:tcPr>
                <w:p w14:paraId="7DB4959B" w14:textId="5A78EF7F"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0.0%</w:t>
                  </w:r>
                </w:p>
              </w:tc>
              <w:tc>
                <w:tcPr>
                  <w:tcW w:w="542" w:type="dxa"/>
                </w:tcPr>
                <w:p w14:paraId="13DC46C2" w14:textId="569BC993"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0.0%</w:t>
                  </w:r>
                </w:p>
              </w:tc>
              <w:tc>
                <w:tcPr>
                  <w:tcW w:w="537" w:type="dxa"/>
                </w:tcPr>
                <w:p w14:paraId="0493463D" w14:textId="1EC6AB3B"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0.0%</w:t>
                  </w:r>
                </w:p>
              </w:tc>
              <w:tc>
                <w:tcPr>
                  <w:tcW w:w="547" w:type="dxa"/>
                </w:tcPr>
                <w:p w14:paraId="20FA49C2" w14:textId="1499A931"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4.9%</w:t>
                  </w:r>
                </w:p>
              </w:tc>
              <w:tc>
                <w:tcPr>
                  <w:tcW w:w="542" w:type="dxa"/>
                </w:tcPr>
                <w:p w14:paraId="3CEC68C6" w14:textId="22888D27"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6.6%</w:t>
                  </w:r>
                </w:p>
              </w:tc>
              <w:tc>
                <w:tcPr>
                  <w:tcW w:w="542" w:type="dxa"/>
                </w:tcPr>
                <w:p w14:paraId="547C50D7" w14:textId="5662CB1B"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7.5%</w:t>
                  </w:r>
                </w:p>
              </w:tc>
              <w:tc>
                <w:tcPr>
                  <w:tcW w:w="542" w:type="dxa"/>
                </w:tcPr>
                <w:p w14:paraId="40362AF0" w14:textId="2CDF2D26"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13.2</w:t>
                  </w:r>
                </w:p>
              </w:tc>
              <w:tc>
                <w:tcPr>
                  <w:tcW w:w="542" w:type="dxa"/>
                </w:tcPr>
                <w:p w14:paraId="791A0310" w14:textId="404E49C6"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11.4</w:t>
                  </w:r>
                </w:p>
              </w:tc>
              <w:tc>
                <w:tcPr>
                  <w:tcW w:w="543" w:type="dxa"/>
                </w:tcPr>
                <w:p w14:paraId="75F480C2" w14:textId="09C278B9"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10.0</w:t>
                  </w:r>
                </w:p>
              </w:tc>
            </w:tr>
            <w:tr w:rsidR="00864882" w:rsidRPr="003A3374" w14:paraId="298D5071" w14:textId="77777777" w:rsidTr="006D2966">
              <w:tc>
                <w:tcPr>
                  <w:cnfStyle w:val="001000000000" w:firstRow="0" w:lastRow="0" w:firstColumn="1" w:lastColumn="0" w:oddVBand="0" w:evenVBand="0" w:oddHBand="0" w:evenHBand="0" w:firstRowFirstColumn="0" w:firstRowLastColumn="0" w:lastRowFirstColumn="0" w:lastRowLastColumn="0"/>
                  <w:tcW w:w="1626" w:type="dxa"/>
                </w:tcPr>
                <w:p w14:paraId="56D6377E" w14:textId="405C9A42" w:rsidR="00864882" w:rsidRPr="003A3374" w:rsidRDefault="00987366" w:rsidP="006D2966">
                  <w:pPr>
                    <w:pStyle w:val="TableText0"/>
                    <w:rPr>
                      <w:b/>
                      <w:bCs/>
                    </w:rPr>
                  </w:pPr>
                  <w:r w:rsidRPr="003A3374">
                    <w:t>Carlsberg</w:t>
                  </w:r>
                </w:p>
              </w:tc>
              <w:tc>
                <w:tcPr>
                  <w:tcW w:w="760" w:type="dxa"/>
                </w:tcPr>
                <w:p w14:paraId="731BC093" w14:textId="206AA503" w:rsidR="00864882" w:rsidRPr="003A3374" w:rsidRDefault="00987366" w:rsidP="006D2966">
                  <w:pPr>
                    <w:pStyle w:val="TableText0"/>
                    <w:jc w:val="left"/>
                    <w:cnfStyle w:val="000000000000" w:firstRow="0" w:lastRow="0" w:firstColumn="0" w:lastColumn="0" w:oddVBand="0" w:evenVBand="0" w:oddHBand="0" w:evenHBand="0" w:firstRowFirstColumn="0" w:firstRowLastColumn="0" w:lastRowFirstColumn="0" w:lastRowLastColumn="0"/>
                  </w:pPr>
                  <w:r w:rsidRPr="003A3374">
                    <w:t>Buy</w:t>
                  </w:r>
                </w:p>
              </w:tc>
              <w:tc>
                <w:tcPr>
                  <w:tcW w:w="746" w:type="dxa"/>
                </w:tcPr>
                <w:p w14:paraId="0AB7C583" w14:textId="2F478E42"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DKr764</w:t>
                  </w:r>
                </w:p>
              </w:tc>
              <w:tc>
                <w:tcPr>
                  <w:tcW w:w="542" w:type="dxa"/>
                </w:tcPr>
                <w:p w14:paraId="4720DAAD" w14:textId="385BC0C5"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13.2</w:t>
                  </w:r>
                </w:p>
              </w:tc>
              <w:tc>
                <w:tcPr>
                  <w:tcW w:w="542" w:type="dxa"/>
                </w:tcPr>
                <w:p w14:paraId="5271FF81" w14:textId="7F61F617"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12.5</w:t>
                  </w:r>
                </w:p>
              </w:tc>
              <w:tc>
                <w:tcPr>
                  <w:tcW w:w="542" w:type="dxa"/>
                </w:tcPr>
                <w:p w14:paraId="7A63DDD6" w14:textId="3F95E675"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11.3</w:t>
                  </w:r>
                </w:p>
              </w:tc>
              <w:tc>
                <w:tcPr>
                  <w:tcW w:w="542" w:type="dxa"/>
                </w:tcPr>
                <w:p w14:paraId="6442631C" w14:textId="29A22C78"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3.5%</w:t>
                  </w:r>
                </w:p>
              </w:tc>
              <w:tc>
                <w:tcPr>
                  <w:tcW w:w="542" w:type="dxa"/>
                </w:tcPr>
                <w:p w14:paraId="61E1197D" w14:textId="45FEF52C"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3.6%</w:t>
                  </w:r>
                </w:p>
              </w:tc>
              <w:tc>
                <w:tcPr>
                  <w:tcW w:w="537" w:type="dxa"/>
                </w:tcPr>
                <w:p w14:paraId="139BB4F8" w14:textId="4D9C2B23"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3.6%</w:t>
                  </w:r>
                </w:p>
              </w:tc>
              <w:tc>
                <w:tcPr>
                  <w:tcW w:w="547" w:type="dxa"/>
                </w:tcPr>
                <w:p w14:paraId="577A386D" w14:textId="705C975C"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5.1%</w:t>
                  </w:r>
                </w:p>
              </w:tc>
              <w:tc>
                <w:tcPr>
                  <w:tcW w:w="542" w:type="dxa"/>
                </w:tcPr>
                <w:p w14:paraId="06D39F7E" w14:textId="286AFC53"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6.1%</w:t>
                  </w:r>
                </w:p>
              </w:tc>
              <w:tc>
                <w:tcPr>
                  <w:tcW w:w="542" w:type="dxa"/>
                </w:tcPr>
                <w:p w14:paraId="7F9A5BD8" w14:textId="6F21F001"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6.8%</w:t>
                  </w:r>
                </w:p>
              </w:tc>
              <w:tc>
                <w:tcPr>
                  <w:tcW w:w="542" w:type="dxa"/>
                </w:tcPr>
                <w:p w14:paraId="5FC25AB6" w14:textId="41743515"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13.2</w:t>
                  </w:r>
                </w:p>
              </w:tc>
              <w:tc>
                <w:tcPr>
                  <w:tcW w:w="542" w:type="dxa"/>
                </w:tcPr>
                <w:p w14:paraId="3E1EF207" w14:textId="099A339B"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12.4</w:t>
                  </w:r>
                </w:p>
              </w:tc>
              <w:tc>
                <w:tcPr>
                  <w:tcW w:w="543" w:type="dxa"/>
                </w:tcPr>
                <w:p w14:paraId="4437BE53" w14:textId="3C91E402"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11.2</w:t>
                  </w:r>
                </w:p>
              </w:tc>
            </w:tr>
            <w:tr w:rsidR="00864882" w:rsidRPr="003A3374" w14:paraId="0B45C6D1" w14:textId="77777777" w:rsidTr="006D2966">
              <w:tc>
                <w:tcPr>
                  <w:cnfStyle w:val="001000000000" w:firstRow="0" w:lastRow="0" w:firstColumn="1" w:lastColumn="0" w:oddVBand="0" w:evenVBand="0" w:oddHBand="0" w:evenHBand="0" w:firstRowFirstColumn="0" w:firstRowLastColumn="0" w:lastRowFirstColumn="0" w:lastRowLastColumn="0"/>
                  <w:tcW w:w="1626" w:type="dxa"/>
                </w:tcPr>
                <w:p w14:paraId="2D53D42C" w14:textId="4330D58E" w:rsidR="00864882" w:rsidRPr="003A3374" w:rsidRDefault="00987366" w:rsidP="006D2966">
                  <w:pPr>
                    <w:pStyle w:val="TableText0"/>
                    <w:rPr>
                      <w:b/>
                      <w:bCs/>
                    </w:rPr>
                  </w:pPr>
                  <w:r w:rsidRPr="003A3374">
                    <w:t>Constellation Brands</w:t>
                  </w:r>
                </w:p>
              </w:tc>
              <w:tc>
                <w:tcPr>
                  <w:tcW w:w="760" w:type="dxa"/>
                </w:tcPr>
                <w:p w14:paraId="03FF5CA7" w14:textId="3F2FB638" w:rsidR="00864882" w:rsidRPr="003A3374" w:rsidRDefault="00987366" w:rsidP="006D2966">
                  <w:pPr>
                    <w:pStyle w:val="TableText0"/>
                    <w:jc w:val="left"/>
                    <w:cnfStyle w:val="000000000000" w:firstRow="0" w:lastRow="0" w:firstColumn="0" w:lastColumn="0" w:oddVBand="0" w:evenVBand="0" w:oddHBand="0" w:evenHBand="0" w:firstRowFirstColumn="0" w:firstRowLastColumn="0" w:lastRowFirstColumn="0" w:lastRowLastColumn="0"/>
                  </w:pPr>
                  <w:r w:rsidRPr="003A3374">
                    <w:t>Buy</w:t>
                  </w:r>
                </w:p>
              </w:tc>
              <w:tc>
                <w:tcPr>
                  <w:tcW w:w="746" w:type="dxa"/>
                </w:tcPr>
                <w:p w14:paraId="76921CC6" w14:textId="3B122EE2"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$129.3</w:t>
                  </w:r>
                </w:p>
              </w:tc>
              <w:tc>
                <w:tcPr>
                  <w:tcW w:w="542" w:type="dxa"/>
                </w:tcPr>
                <w:p w14:paraId="5E66DB47" w14:textId="06B56913"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8.6</w:t>
                  </w:r>
                </w:p>
              </w:tc>
              <w:tc>
                <w:tcPr>
                  <w:tcW w:w="542" w:type="dxa"/>
                </w:tcPr>
                <w:p w14:paraId="2AF71CAB" w14:textId="4A1015CE"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7.7</w:t>
                  </w:r>
                </w:p>
              </w:tc>
              <w:tc>
                <w:tcPr>
                  <w:tcW w:w="542" w:type="dxa"/>
                </w:tcPr>
                <w:p w14:paraId="651398D9" w14:textId="283516A0"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6.9</w:t>
                  </w:r>
                </w:p>
              </w:tc>
              <w:tc>
                <w:tcPr>
                  <w:tcW w:w="542" w:type="dxa"/>
                </w:tcPr>
                <w:p w14:paraId="3BDB96AC" w14:textId="19529F1E"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3.5%</w:t>
                  </w:r>
                </w:p>
              </w:tc>
              <w:tc>
                <w:tcPr>
                  <w:tcW w:w="542" w:type="dxa"/>
                </w:tcPr>
                <w:p w14:paraId="72301627" w14:textId="7F16C068"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3.9%</w:t>
                  </w:r>
                </w:p>
              </w:tc>
              <w:tc>
                <w:tcPr>
                  <w:tcW w:w="537" w:type="dxa"/>
                </w:tcPr>
                <w:p w14:paraId="39CED5EC" w14:textId="0760B585"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4.3%</w:t>
                  </w:r>
                </w:p>
              </w:tc>
              <w:tc>
                <w:tcPr>
                  <w:tcW w:w="547" w:type="dxa"/>
                </w:tcPr>
                <w:p w14:paraId="4EF18D09" w14:textId="0C8014A2"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8.5%</w:t>
                  </w:r>
                </w:p>
              </w:tc>
              <w:tc>
                <w:tcPr>
                  <w:tcW w:w="542" w:type="dxa"/>
                </w:tcPr>
                <w:p w14:paraId="23BC64FE" w14:textId="407F081C"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10.7%</w:t>
                  </w:r>
                </w:p>
              </w:tc>
              <w:tc>
                <w:tcPr>
                  <w:tcW w:w="542" w:type="dxa"/>
                </w:tcPr>
                <w:p w14:paraId="0D7B2C22" w14:textId="5C52CCC5"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13.1%</w:t>
                  </w:r>
                </w:p>
              </w:tc>
              <w:tc>
                <w:tcPr>
                  <w:tcW w:w="542" w:type="dxa"/>
                </w:tcPr>
                <w:p w14:paraId="4958CF3F" w14:textId="170DA160"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9.2</w:t>
                  </w:r>
                </w:p>
              </w:tc>
              <w:tc>
                <w:tcPr>
                  <w:tcW w:w="542" w:type="dxa"/>
                </w:tcPr>
                <w:p w14:paraId="6F1374E2" w14:textId="4488D58E"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8.2</w:t>
                  </w:r>
                </w:p>
              </w:tc>
              <w:tc>
                <w:tcPr>
                  <w:tcW w:w="543" w:type="dxa"/>
                </w:tcPr>
                <w:p w14:paraId="5877E980" w14:textId="449589B4"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7.3</w:t>
                  </w:r>
                </w:p>
              </w:tc>
            </w:tr>
            <w:tr w:rsidR="00864882" w:rsidRPr="003A3374" w14:paraId="19334AD6" w14:textId="77777777" w:rsidTr="006D2966">
              <w:tc>
                <w:tcPr>
                  <w:cnfStyle w:val="001000000000" w:firstRow="0" w:lastRow="0" w:firstColumn="1" w:lastColumn="0" w:oddVBand="0" w:evenVBand="0" w:oddHBand="0" w:evenHBand="0" w:firstRowFirstColumn="0" w:firstRowLastColumn="0" w:lastRowFirstColumn="0" w:lastRowLastColumn="0"/>
                  <w:tcW w:w="1626" w:type="dxa"/>
                </w:tcPr>
                <w:p w14:paraId="0EE9084F" w14:textId="57840B94" w:rsidR="00864882" w:rsidRPr="003A3374" w:rsidRDefault="00987366" w:rsidP="006D2966">
                  <w:pPr>
                    <w:pStyle w:val="TableText0"/>
                    <w:rPr>
                      <w:b/>
                      <w:bCs/>
                    </w:rPr>
                  </w:pPr>
                  <w:r w:rsidRPr="003A3374">
                    <w:t>Heineken</w:t>
                  </w:r>
                </w:p>
              </w:tc>
              <w:tc>
                <w:tcPr>
                  <w:tcW w:w="760" w:type="dxa"/>
                </w:tcPr>
                <w:p w14:paraId="1CF08403" w14:textId="15A9EC55" w:rsidR="00864882" w:rsidRPr="003A3374" w:rsidRDefault="00987366" w:rsidP="006D2966">
                  <w:pPr>
                    <w:pStyle w:val="TableText0"/>
                    <w:jc w:val="left"/>
                    <w:cnfStyle w:val="000000000000" w:firstRow="0" w:lastRow="0" w:firstColumn="0" w:lastColumn="0" w:oddVBand="0" w:evenVBand="0" w:oddHBand="0" w:evenHBand="0" w:firstRowFirstColumn="0" w:firstRowLastColumn="0" w:lastRowFirstColumn="0" w:lastRowLastColumn="0"/>
                  </w:pPr>
                  <w:r w:rsidRPr="003A3374">
                    <w:t>Buy</w:t>
                  </w:r>
                </w:p>
              </w:tc>
              <w:tc>
                <w:tcPr>
                  <w:tcW w:w="746" w:type="dxa"/>
                </w:tcPr>
                <w:p w14:paraId="52051B3D" w14:textId="4405EC13"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€68.3</w:t>
                  </w:r>
                </w:p>
              </w:tc>
              <w:tc>
                <w:tcPr>
                  <w:tcW w:w="542" w:type="dxa"/>
                </w:tcPr>
                <w:p w14:paraId="28F2DD2F" w14:textId="20DD78AE"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14.7</w:t>
                  </w:r>
                </w:p>
              </w:tc>
              <w:tc>
                <w:tcPr>
                  <w:tcW w:w="542" w:type="dxa"/>
                </w:tcPr>
                <w:p w14:paraId="081C2EBE" w14:textId="12FF41E3"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13.5</w:t>
                  </w:r>
                </w:p>
              </w:tc>
              <w:tc>
                <w:tcPr>
                  <w:tcW w:w="542" w:type="dxa"/>
                </w:tcPr>
                <w:p w14:paraId="3C39DA42" w14:textId="4669F6D8"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12.3</w:t>
                  </w:r>
                </w:p>
              </w:tc>
              <w:tc>
                <w:tcPr>
                  <w:tcW w:w="542" w:type="dxa"/>
                </w:tcPr>
                <w:p w14:paraId="1276E867" w14:textId="3EA066A1"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2.7%</w:t>
                  </w:r>
                </w:p>
              </w:tc>
              <w:tc>
                <w:tcPr>
                  <w:tcW w:w="542" w:type="dxa"/>
                </w:tcPr>
                <w:p w14:paraId="76BE6366" w14:textId="270D42BD"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3.0%</w:t>
                  </w:r>
                </w:p>
              </w:tc>
              <w:tc>
                <w:tcPr>
                  <w:tcW w:w="537" w:type="dxa"/>
                </w:tcPr>
                <w:p w14:paraId="00F831CD" w14:textId="45B19A54"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3.3%</w:t>
                  </w:r>
                </w:p>
              </w:tc>
              <w:tc>
                <w:tcPr>
                  <w:tcW w:w="547" w:type="dxa"/>
                </w:tcPr>
                <w:p w14:paraId="4C9B2EC2" w14:textId="779A8909"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6.2%</w:t>
                  </w:r>
                </w:p>
              </w:tc>
              <w:tc>
                <w:tcPr>
                  <w:tcW w:w="542" w:type="dxa"/>
                </w:tcPr>
                <w:p w14:paraId="785DA589" w14:textId="48870860"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7.5%</w:t>
                  </w:r>
                </w:p>
              </w:tc>
              <w:tc>
                <w:tcPr>
                  <w:tcW w:w="542" w:type="dxa"/>
                </w:tcPr>
                <w:p w14:paraId="3BA47500" w14:textId="189AA0E6"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8.6%</w:t>
                  </w:r>
                </w:p>
              </w:tc>
              <w:tc>
                <w:tcPr>
                  <w:tcW w:w="542" w:type="dxa"/>
                </w:tcPr>
                <w:p w14:paraId="2F296122" w14:textId="5673340F"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12.4</w:t>
                  </w:r>
                </w:p>
              </w:tc>
              <w:tc>
                <w:tcPr>
                  <w:tcW w:w="542" w:type="dxa"/>
                </w:tcPr>
                <w:p w14:paraId="618030EA" w14:textId="67B74AD4"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11.5</w:t>
                  </w:r>
                </w:p>
              </w:tc>
              <w:tc>
                <w:tcPr>
                  <w:tcW w:w="543" w:type="dxa"/>
                </w:tcPr>
                <w:p w14:paraId="0DE15980" w14:textId="12B24898"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10.5</w:t>
                  </w:r>
                </w:p>
              </w:tc>
            </w:tr>
            <w:tr w:rsidR="00864882" w:rsidRPr="003A3374" w14:paraId="0FDC9AA7" w14:textId="77777777" w:rsidTr="006D2966">
              <w:tc>
                <w:tcPr>
                  <w:cnfStyle w:val="001000000000" w:firstRow="0" w:lastRow="0" w:firstColumn="1" w:lastColumn="0" w:oddVBand="0" w:evenVBand="0" w:oddHBand="0" w:evenHBand="0" w:firstRowFirstColumn="0" w:firstRowLastColumn="0" w:lastRowFirstColumn="0" w:lastRowLastColumn="0"/>
                  <w:tcW w:w="1626" w:type="dxa"/>
                </w:tcPr>
                <w:p w14:paraId="5FCAA438" w14:textId="3F7A61A6" w:rsidR="00864882" w:rsidRPr="003A3374" w:rsidRDefault="00987366" w:rsidP="006D2966">
                  <w:pPr>
                    <w:pStyle w:val="TableText0"/>
                    <w:rPr>
                      <w:b/>
                      <w:bCs/>
                    </w:rPr>
                  </w:pPr>
                  <w:r w:rsidRPr="003A3374">
                    <w:t>Molson Coors</w:t>
                  </w:r>
                </w:p>
              </w:tc>
              <w:tc>
                <w:tcPr>
                  <w:tcW w:w="760" w:type="dxa"/>
                </w:tcPr>
                <w:p w14:paraId="7C0AE62F" w14:textId="1F7DEA7B" w:rsidR="00864882" w:rsidRPr="003A3374" w:rsidRDefault="00987366" w:rsidP="006D2966">
                  <w:pPr>
                    <w:pStyle w:val="TableText0"/>
                    <w:jc w:val="left"/>
                    <w:cnfStyle w:val="000000000000" w:firstRow="0" w:lastRow="0" w:firstColumn="0" w:lastColumn="0" w:oddVBand="0" w:evenVBand="0" w:oddHBand="0" w:evenHBand="0" w:firstRowFirstColumn="0" w:firstRowLastColumn="0" w:lastRowFirstColumn="0" w:lastRowLastColumn="0"/>
                  </w:pPr>
                  <w:r w:rsidRPr="003A3374">
                    <w:t>Neutral</w:t>
                  </w:r>
                </w:p>
              </w:tc>
              <w:tc>
                <w:tcPr>
                  <w:tcW w:w="746" w:type="dxa"/>
                </w:tcPr>
                <w:p w14:paraId="492DA437" w14:textId="5B717A87"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$45.3</w:t>
                  </w:r>
                </w:p>
              </w:tc>
              <w:tc>
                <w:tcPr>
                  <w:tcW w:w="542" w:type="dxa"/>
                </w:tcPr>
                <w:p w14:paraId="7701B7A8" w14:textId="7C2CD18A"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6.8</w:t>
                  </w:r>
                </w:p>
              </w:tc>
              <w:tc>
                <w:tcPr>
                  <w:tcW w:w="542" w:type="dxa"/>
                </w:tcPr>
                <w:p w14:paraId="17EF9488" w14:textId="7C16F36F"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6.6</w:t>
                  </w:r>
                </w:p>
              </w:tc>
              <w:tc>
                <w:tcPr>
                  <w:tcW w:w="542" w:type="dxa"/>
                </w:tcPr>
                <w:p w14:paraId="5D21D97B" w14:textId="0406F847"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6.4</w:t>
                  </w:r>
                </w:p>
              </w:tc>
              <w:tc>
                <w:tcPr>
                  <w:tcW w:w="542" w:type="dxa"/>
                </w:tcPr>
                <w:p w14:paraId="76A126BC" w14:textId="41850ACC"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4.1%</w:t>
                  </w:r>
                </w:p>
              </w:tc>
              <w:tc>
                <w:tcPr>
                  <w:tcW w:w="542" w:type="dxa"/>
                </w:tcPr>
                <w:p w14:paraId="1F57FF72" w14:textId="0B345A84"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4.3%</w:t>
                  </w:r>
                </w:p>
              </w:tc>
              <w:tc>
                <w:tcPr>
                  <w:tcW w:w="537" w:type="dxa"/>
                </w:tcPr>
                <w:p w14:paraId="0DEF89B7" w14:textId="5E76E0A0"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4.5%</w:t>
                  </w:r>
                </w:p>
              </w:tc>
              <w:tc>
                <w:tcPr>
                  <w:tcW w:w="547" w:type="dxa"/>
                </w:tcPr>
                <w:p w14:paraId="3982E807" w14:textId="00F2F5DE"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14.3%</w:t>
                  </w:r>
                </w:p>
              </w:tc>
              <w:tc>
                <w:tcPr>
                  <w:tcW w:w="542" w:type="dxa"/>
                </w:tcPr>
                <w:p w14:paraId="6E0C375F" w14:textId="361593DA"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14.6%</w:t>
                  </w:r>
                </w:p>
              </w:tc>
              <w:tc>
                <w:tcPr>
                  <w:tcW w:w="542" w:type="dxa"/>
                </w:tcPr>
                <w:p w14:paraId="65B527C1" w14:textId="4B5E64F9"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14.8%</w:t>
                  </w:r>
                </w:p>
              </w:tc>
              <w:tc>
                <w:tcPr>
                  <w:tcW w:w="542" w:type="dxa"/>
                </w:tcPr>
                <w:p w14:paraId="71C2F4D9" w14:textId="666A07B2"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6.8</w:t>
                  </w:r>
                </w:p>
              </w:tc>
              <w:tc>
                <w:tcPr>
                  <w:tcW w:w="542" w:type="dxa"/>
                </w:tcPr>
                <w:p w14:paraId="5F380B96" w14:textId="418ABF5C"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6.4</w:t>
                  </w:r>
                </w:p>
              </w:tc>
              <w:tc>
                <w:tcPr>
                  <w:tcW w:w="543" w:type="dxa"/>
                </w:tcPr>
                <w:p w14:paraId="042162EC" w14:textId="4F3C3AC0"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6.1</w:t>
                  </w:r>
                </w:p>
              </w:tc>
            </w:tr>
            <w:tr w:rsidR="00864882" w:rsidRPr="003A3374" w14:paraId="6C26DF1D" w14:textId="77777777" w:rsidTr="006D2966">
              <w:tc>
                <w:tcPr>
                  <w:cnfStyle w:val="001000000000" w:firstRow="0" w:lastRow="0" w:firstColumn="1" w:lastColumn="0" w:oddVBand="0" w:evenVBand="0" w:oddHBand="0" w:evenHBand="0" w:firstRowFirstColumn="0" w:firstRowLastColumn="0" w:lastRowFirstColumn="0" w:lastRowLastColumn="0"/>
                  <w:tcW w:w="1626" w:type="dxa"/>
                  <w:shd w:val="clear" w:color="auto" w:fill="E6E3DF" w:themeFill="accent4"/>
                </w:tcPr>
                <w:p w14:paraId="1D25C4DF" w14:textId="1BC3C1D7" w:rsidR="00864882" w:rsidRPr="003A3374" w:rsidRDefault="00987366" w:rsidP="006D2966">
                  <w:pPr>
                    <w:pStyle w:val="TableText0"/>
                    <w:rPr>
                      <w:b/>
                      <w:bCs/>
                    </w:rPr>
                  </w:pPr>
                  <w:r w:rsidRPr="003A3374">
                    <w:rPr>
                      <w:b/>
                      <w:bCs/>
                    </w:rPr>
                    <w:t>Brewers</w:t>
                  </w:r>
                </w:p>
              </w:tc>
              <w:tc>
                <w:tcPr>
                  <w:tcW w:w="760" w:type="dxa"/>
                  <w:shd w:val="clear" w:color="auto" w:fill="E6E3DF" w:themeFill="accent4"/>
                </w:tcPr>
                <w:p w14:paraId="4CFE6E6F" w14:textId="77777777" w:rsidR="00864882" w:rsidRPr="003A3374" w:rsidRDefault="00864882" w:rsidP="006D2966">
                  <w:pPr>
                    <w:pStyle w:val="TableText0"/>
                    <w:jc w:val="left"/>
                    <w:cnfStyle w:val="000000000000" w:firstRow="0" w:lastRow="0" w:firstColumn="0" w:lastColumn="0" w:oddVBand="0" w:evenVBand="0" w:oddHBand="0" w:evenHBand="0" w:firstRowFirstColumn="0" w:firstRowLastColumn="0" w:lastRowFirstColumn="0" w:lastRowLastColumn="0"/>
                    <w:rPr>
                      <w:b/>
                      <w:bCs/>
                    </w:rPr>
                  </w:pPr>
                </w:p>
              </w:tc>
              <w:tc>
                <w:tcPr>
                  <w:tcW w:w="746" w:type="dxa"/>
                  <w:shd w:val="clear" w:color="auto" w:fill="E6E3DF" w:themeFill="accent4"/>
                </w:tcPr>
                <w:p w14:paraId="57DF86D8"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542" w:type="dxa"/>
                  <w:shd w:val="clear" w:color="auto" w:fill="E6E3DF" w:themeFill="accent4"/>
                </w:tcPr>
                <w:p w14:paraId="3544E33D" w14:textId="79C4C86C"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13.2</w:t>
                  </w:r>
                </w:p>
              </w:tc>
              <w:tc>
                <w:tcPr>
                  <w:tcW w:w="542" w:type="dxa"/>
                  <w:shd w:val="clear" w:color="auto" w:fill="E6E3DF" w:themeFill="accent4"/>
                </w:tcPr>
                <w:p w14:paraId="2ECE5BAD" w14:textId="64875942"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11.9</w:t>
                  </w:r>
                </w:p>
              </w:tc>
              <w:tc>
                <w:tcPr>
                  <w:tcW w:w="542" w:type="dxa"/>
                  <w:shd w:val="clear" w:color="auto" w:fill="E6E3DF" w:themeFill="accent4"/>
                </w:tcPr>
                <w:p w14:paraId="3D9FBE62" w14:textId="1725AEB1"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10.7</w:t>
                  </w:r>
                </w:p>
              </w:tc>
              <w:tc>
                <w:tcPr>
                  <w:tcW w:w="542" w:type="dxa"/>
                  <w:shd w:val="clear" w:color="auto" w:fill="E6E3DF" w:themeFill="accent4"/>
                </w:tcPr>
                <w:p w14:paraId="34579AD5" w14:textId="1CBAC225"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2.6%</w:t>
                  </w:r>
                </w:p>
              </w:tc>
              <w:tc>
                <w:tcPr>
                  <w:tcW w:w="542" w:type="dxa"/>
                  <w:shd w:val="clear" w:color="auto" w:fill="E6E3DF" w:themeFill="accent4"/>
                </w:tcPr>
                <w:p w14:paraId="1FDBA011" w14:textId="57DD5322"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2.8%</w:t>
                  </w:r>
                </w:p>
              </w:tc>
              <w:tc>
                <w:tcPr>
                  <w:tcW w:w="537" w:type="dxa"/>
                  <w:shd w:val="clear" w:color="auto" w:fill="E6E3DF" w:themeFill="accent4"/>
                </w:tcPr>
                <w:p w14:paraId="479878FA" w14:textId="69BAA82B"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3.0%</w:t>
                  </w:r>
                </w:p>
              </w:tc>
              <w:tc>
                <w:tcPr>
                  <w:tcW w:w="547" w:type="dxa"/>
                  <w:shd w:val="clear" w:color="auto" w:fill="E6E3DF" w:themeFill="accent4"/>
                </w:tcPr>
                <w:p w14:paraId="3F65EFA1" w14:textId="7DDA8259"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7.8%</w:t>
                  </w:r>
                </w:p>
              </w:tc>
              <w:tc>
                <w:tcPr>
                  <w:tcW w:w="542" w:type="dxa"/>
                  <w:shd w:val="clear" w:color="auto" w:fill="E6E3DF" w:themeFill="accent4"/>
                </w:tcPr>
                <w:p w14:paraId="44A6C10A" w14:textId="7A3AA962"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9.2%</w:t>
                  </w:r>
                </w:p>
              </w:tc>
              <w:tc>
                <w:tcPr>
                  <w:tcW w:w="542" w:type="dxa"/>
                  <w:shd w:val="clear" w:color="auto" w:fill="E6E3DF" w:themeFill="accent4"/>
                </w:tcPr>
                <w:p w14:paraId="4C487665" w14:textId="6B47B457"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10.2%</w:t>
                  </w:r>
                </w:p>
              </w:tc>
              <w:tc>
                <w:tcPr>
                  <w:tcW w:w="542" w:type="dxa"/>
                  <w:shd w:val="clear" w:color="auto" w:fill="E6E3DF" w:themeFill="accent4"/>
                </w:tcPr>
                <w:p w14:paraId="12F2F1C3" w14:textId="4641A5E0"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11.1</w:t>
                  </w:r>
                </w:p>
              </w:tc>
              <w:tc>
                <w:tcPr>
                  <w:tcW w:w="542" w:type="dxa"/>
                  <w:shd w:val="clear" w:color="auto" w:fill="E6E3DF" w:themeFill="accent4"/>
                </w:tcPr>
                <w:p w14:paraId="0D317CFE" w14:textId="1D17FA29"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10.1</w:t>
                  </w:r>
                </w:p>
              </w:tc>
              <w:tc>
                <w:tcPr>
                  <w:tcW w:w="543" w:type="dxa"/>
                  <w:shd w:val="clear" w:color="auto" w:fill="E6E3DF" w:themeFill="accent4"/>
                </w:tcPr>
                <w:p w14:paraId="3E94C3C3" w14:textId="4F5D2531"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9.1</w:t>
                  </w:r>
                </w:p>
              </w:tc>
            </w:tr>
            <w:tr w:rsidR="00864882" w:rsidRPr="003A3374" w14:paraId="7509E697" w14:textId="77777777" w:rsidTr="006D2966">
              <w:tc>
                <w:tcPr>
                  <w:cnfStyle w:val="001000000000" w:firstRow="0" w:lastRow="0" w:firstColumn="1" w:lastColumn="0" w:oddVBand="0" w:evenVBand="0" w:oddHBand="0" w:evenHBand="0" w:firstRowFirstColumn="0" w:firstRowLastColumn="0" w:lastRowFirstColumn="0" w:lastRowLastColumn="0"/>
                  <w:tcW w:w="1626" w:type="dxa"/>
                </w:tcPr>
                <w:p w14:paraId="2A4A3C1F" w14:textId="43689D2C" w:rsidR="00864882" w:rsidRPr="003A3374" w:rsidRDefault="00987366" w:rsidP="006D2966">
                  <w:pPr>
                    <w:pStyle w:val="TableText0"/>
                  </w:pPr>
                  <w:r w:rsidRPr="003A3374">
                    <w:t>Brown-Forman</w:t>
                  </w:r>
                </w:p>
              </w:tc>
              <w:tc>
                <w:tcPr>
                  <w:tcW w:w="760" w:type="dxa"/>
                </w:tcPr>
                <w:p w14:paraId="7CF129FB" w14:textId="1D5721A0" w:rsidR="00864882" w:rsidRPr="003A3374" w:rsidRDefault="00987366" w:rsidP="006D2966">
                  <w:pPr>
                    <w:pStyle w:val="TableText0"/>
                    <w:jc w:val="left"/>
                    <w:cnfStyle w:val="000000000000" w:firstRow="0" w:lastRow="0" w:firstColumn="0" w:lastColumn="0" w:oddVBand="0" w:evenVBand="0" w:oddHBand="0" w:evenHBand="0" w:firstRowFirstColumn="0" w:firstRowLastColumn="0" w:lastRowFirstColumn="0" w:lastRowLastColumn="0"/>
                  </w:pPr>
                  <w:r w:rsidRPr="003A3374">
                    <w:t>Neutral</w:t>
                  </w:r>
                </w:p>
              </w:tc>
              <w:tc>
                <w:tcPr>
                  <w:tcW w:w="746" w:type="dxa"/>
                </w:tcPr>
                <w:p w14:paraId="4AE46F47" w14:textId="64D3A8A6"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$27.3</w:t>
                  </w:r>
                </w:p>
              </w:tc>
              <w:tc>
                <w:tcPr>
                  <w:tcW w:w="542" w:type="dxa"/>
                </w:tcPr>
                <w:p w14:paraId="388DE29E" w14:textId="5B795EFC"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15.4</w:t>
                  </w:r>
                </w:p>
              </w:tc>
              <w:tc>
                <w:tcPr>
                  <w:tcW w:w="542" w:type="dxa"/>
                </w:tcPr>
                <w:p w14:paraId="363B897C" w14:textId="1099E654"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14.5</w:t>
                  </w:r>
                </w:p>
              </w:tc>
              <w:tc>
                <w:tcPr>
                  <w:tcW w:w="542" w:type="dxa"/>
                </w:tcPr>
                <w:p w14:paraId="25163BD5" w14:textId="74AB4AA7"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13.4</w:t>
                  </w:r>
                </w:p>
              </w:tc>
              <w:tc>
                <w:tcPr>
                  <w:tcW w:w="542" w:type="dxa"/>
                </w:tcPr>
                <w:p w14:paraId="61020F6D" w14:textId="5F69AE24"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3.4%</w:t>
                  </w:r>
                </w:p>
              </w:tc>
              <w:tc>
                <w:tcPr>
                  <w:tcW w:w="542" w:type="dxa"/>
                </w:tcPr>
                <w:p w14:paraId="2716B984" w14:textId="6A9628F5"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3.5%</w:t>
                  </w:r>
                </w:p>
              </w:tc>
              <w:tc>
                <w:tcPr>
                  <w:tcW w:w="537" w:type="dxa"/>
                </w:tcPr>
                <w:p w14:paraId="2DD7CC87" w14:textId="40D864A2"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3.8%</w:t>
                  </w:r>
                </w:p>
              </w:tc>
              <w:tc>
                <w:tcPr>
                  <w:tcW w:w="547" w:type="dxa"/>
                </w:tcPr>
                <w:p w14:paraId="4ACE2D23" w14:textId="41A001AA"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5.7%</w:t>
                  </w:r>
                </w:p>
              </w:tc>
              <w:tc>
                <w:tcPr>
                  <w:tcW w:w="542" w:type="dxa"/>
                </w:tcPr>
                <w:p w14:paraId="62A6663D" w14:textId="0D1C0224"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5.7%</w:t>
                  </w:r>
                </w:p>
              </w:tc>
              <w:tc>
                <w:tcPr>
                  <w:tcW w:w="542" w:type="dxa"/>
                </w:tcPr>
                <w:p w14:paraId="24AD19CA" w14:textId="14D978FD"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6.1%</w:t>
                  </w:r>
                </w:p>
              </w:tc>
              <w:tc>
                <w:tcPr>
                  <w:tcW w:w="542" w:type="dxa"/>
                </w:tcPr>
                <w:p w14:paraId="1FC315E1" w14:textId="7457A64E"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12.8</w:t>
                  </w:r>
                </w:p>
              </w:tc>
              <w:tc>
                <w:tcPr>
                  <w:tcW w:w="542" w:type="dxa"/>
                </w:tcPr>
                <w:p w14:paraId="1A2B14C2" w14:textId="05E94243"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12.0</w:t>
                  </w:r>
                </w:p>
              </w:tc>
              <w:tc>
                <w:tcPr>
                  <w:tcW w:w="543" w:type="dxa"/>
                </w:tcPr>
                <w:p w14:paraId="01C81CEA" w14:textId="609FBE08"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11.3</w:t>
                  </w:r>
                </w:p>
              </w:tc>
            </w:tr>
            <w:tr w:rsidR="00864882" w:rsidRPr="003A3374" w14:paraId="55DC5ABD" w14:textId="77777777" w:rsidTr="006D2966">
              <w:tc>
                <w:tcPr>
                  <w:cnfStyle w:val="001000000000" w:firstRow="0" w:lastRow="0" w:firstColumn="1" w:lastColumn="0" w:oddVBand="0" w:evenVBand="0" w:oddHBand="0" w:evenHBand="0" w:firstRowFirstColumn="0" w:firstRowLastColumn="0" w:lastRowFirstColumn="0" w:lastRowLastColumn="0"/>
                  <w:tcW w:w="1626" w:type="dxa"/>
                </w:tcPr>
                <w:p w14:paraId="17E027CB" w14:textId="18B481E6" w:rsidR="00864882" w:rsidRPr="003A3374" w:rsidRDefault="00987366" w:rsidP="006D2966">
                  <w:pPr>
                    <w:pStyle w:val="TableText0"/>
                    <w:rPr>
                      <w:b/>
                      <w:bCs/>
                    </w:rPr>
                  </w:pPr>
                  <w:r w:rsidRPr="003A3374">
                    <w:t>Campari</w:t>
                  </w:r>
                </w:p>
              </w:tc>
              <w:tc>
                <w:tcPr>
                  <w:tcW w:w="760" w:type="dxa"/>
                </w:tcPr>
                <w:p w14:paraId="0D6367BF" w14:textId="66744AF4" w:rsidR="00864882" w:rsidRPr="003A3374" w:rsidRDefault="00987366" w:rsidP="006D2966">
                  <w:pPr>
                    <w:pStyle w:val="TableText0"/>
                    <w:jc w:val="left"/>
                    <w:cnfStyle w:val="000000000000" w:firstRow="0" w:lastRow="0" w:firstColumn="0" w:lastColumn="0" w:oddVBand="0" w:evenVBand="0" w:oddHBand="0" w:evenHBand="0" w:firstRowFirstColumn="0" w:firstRowLastColumn="0" w:lastRowFirstColumn="0" w:lastRowLastColumn="0"/>
                  </w:pPr>
                  <w:r w:rsidRPr="003A3374">
                    <w:t>Sell</w:t>
                  </w:r>
                </w:p>
              </w:tc>
              <w:tc>
                <w:tcPr>
                  <w:tcW w:w="746" w:type="dxa"/>
                </w:tcPr>
                <w:p w14:paraId="398FCB6D" w14:textId="5415187A"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€5.35</w:t>
                  </w:r>
                </w:p>
              </w:tc>
              <w:tc>
                <w:tcPr>
                  <w:tcW w:w="542" w:type="dxa"/>
                </w:tcPr>
                <w:p w14:paraId="5C7BE18C" w14:textId="125D3817"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19.4</w:t>
                  </w:r>
                </w:p>
              </w:tc>
              <w:tc>
                <w:tcPr>
                  <w:tcW w:w="542" w:type="dxa"/>
                </w:tcPr>
                <w:p w14:paraId="1788A69B" w14:textId="5A5EEE11"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17.2</w:t>
                  </w:r>
                </w:p>
              </w:tc>
              <w:tc>
                <w:tcPr>
                  <w:tcW w:w="542" w:type="dxa"/>
                </w:tcPr>
                <w:p w14:paraId="706C4D9D" w14:textId="58C2AC30"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14.9</w:t>
                  </w:r>
                </w:p>
              </w:tc>
              <w:tc>
                <w:tcPr>
                  <w:tcW w:w="542" w:type="dxa"/>
                </w:tcPr>
                <w:p w14:paraId="05EA80EA" w14:textId="2AB3AB00"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1.1%</w:t>
                  </w:r>
                </w:p>
              </w:tc>
              <w:tc>
                <w:tcPr>
                  <w:tcW w:w="542" w:type="dxa"/>
                </w:tcPr>
                <w:p w14:paraId="106054AC" w14:textId="138459A6"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1.2%</w:t>
                  </w:r>
                </w:p>
              </w:tc>
              <w:tc>
                <w:tcPr>
                  <w:tcW w:w="537" w:type="dxa"/>
                </w:tcPr>
                <w:p w14:paraId="5A9CFEC8" w14:textId="7D86B833"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1.3%</w:t>
                  </w:r>
                </w:p>
              </w:tc>
              <w:tc>
                <w:tcPr>
                  <w:tcW w:w="547" w:type="dxa"/>
                </w:tcPr>
                <w:p w14:paraId="53E7369E" w14:textId="5048508A"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3.2%</w:t>
                  </w:r>
                </w:p>
              </w:tc>
              <w:tc>
                <w:tcPr>
                  <w:tcW w:w="542" w:type="dxa"/>
                </w:tcPr>
                <w:p w14:paraId="68271DD1" w14:textId="0DD08B28"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5.9%</w:t>
                  </w:r>
                </w:p>
              </w:tc>
              <w:tc>
                <w:tcPr>
                  <w:tcW w:w="542" w:type="dxa"/>
                </w:tcPr>
                <w:p w14:paraId="3FAFD3A3" w14:textId="3BF35326"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5.9%</w:t>
                  </w:r>
                </w:p>
              </w:tc>
              <w:tc>
                <w:tcPr>
                  <w:tcW w:w="542" w:type="dxa"/>
                </w:tcPr>
                <w:p w14:paraId="5756DF97" w14:textId="564E54B3"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15.4</w:t>
                  </w:r>
                </w:p>
              </w:tc>
              <w:tc>
                <w:tcPr>
                  <w:tcW w:w="542" w:type="dxa"/>
                </w:tcPr>
                <w:p w14:paraId="3ACC99B8" w14:textId="1EF159CE"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13.9</w:t>
                  </w:r>
                </w:p>
              </w:tc>
              <w:tc>
                <w:tcPr>
                  <w:tcW w:w="543" w:type="dxa"/>
                </w:tcPr>
                <w:p w14:paraId="5631F6F8" w14:textId="55537CA3"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12.1</w:t>
                  </w:r>
                </w:p>
              </w:tc>
            </w:tr>
            <w:tr w:rsidR="00864882" w:rsidRPr="003A3374" w14:paraId="779A2B43" w14:textId="77777777" w:rsidTr="006D2966">
              <w:tc>
                <w:tcPr>
                  <w:cnfStyle w:val="001000000000" w:firstRow="0" w:lastRow="0" w:firstColumn="1" w:lastColumn="0" w:oddVBand="0" w:evenVBand="0" w:oddHBand="0" w:evenHBand="0" w:firstRowFirstColumn="0" w:firstRowLastColumn="0" w:lastRowFirstColumn="0" w:lastRowLastColumn="0"/>
                  <w:tcW w:w="1626" w:type="dxa"/>
                </w:tcPr>
                <w:p w14:paraId="0191EBEA" w14:textId="2430BDCA" w:rsidR="00864882" w:rsidRPr="003A3374" w:rsidRDefault="00987366" w:rsidP="006D2966">
                  <w:pPr>
                    <w:pStyle w:val="TableText0"/>
                    <w:rPr>
                      <w:b/>
                      <w:bCs/>
                    </w:rPr>
                  </w:pPr>
                  <w:r w:rsidRPr="003A3374">
                    <w:t>Diageo</w:t>
                  </w:r>
                </w:p>
              </w:tc>
              <w:tc>
                <w:tcPr>
                  <w:tcW w:w="760" w:type="dxa"/>
                </w:tcPr>
                <w:p w14:paraId="56142F06" w14:textId="434A87E3" w:rsidR="00864882" w:rsidRPr="003A3374" w:rsidRDefault="00987366" w:rsidP="006D2966">
                  <w:pPr>
                    <w:pStyle w:val="TableText0"/>
                    <w:jc w:val="left"/>
                    <w:cnfStyle w:val="000000000000" w:firstRow="0" w:lastRow="0" w:firstColumn="0" w:lastColumn="0" w:oddVBand="0" w:evenVBand="0" w:oddHBand="0" w:evenHBand="0" w:firstRowFirstColumn="0" w:firstRowLastColumn="0" w:lastRowFirstColumn="0" w:lastRowLastColumn="0"/>
                  </w:pPr>
                  <w:r w:rsidRPr="003A3374">
                    <w:t>Neutral</w:t>
                  </w:r>
                </w:p>
              </w:tc>
              <w:tc>
                <w:tcPr>
                  <w:tcW w:w="746" w:type="dxa"/>
                </w:tcPr>
                <w:p w14:paraId="5F5CC9CD" w14:textId="049E22E0"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1,686p</w:t>
                  </w:r>
                </w:p>
              </w:tc>
              <w:tc>
                <w:tcPr>
                  <w:tcW w:w="542" w:type="dxa"/>
                </w:tcPr>
                <w:p w14:paraId="05B6B3DD" w14:textId="13C1C09D"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13.8</w:t>
                  </w:r>
                </w:p>
              </w:tc>
              <w:tc>
                <w:tcPr>
                  <w:tcW w:w="542" w:type="dxa"/>
                </w:tcPr>
                <w:p w14:paraId="4D1ED876" w14:textId="29C49739"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13.1</w:t>
                  </w:r>
                </w:p>
              </w:tc>
              <w:tc>
                <w:tcPr>
                  <w:tcW w:w="542" w:type="dxa"/>
                </w:tcPr>
                <w:p w14:paraId="33630308" w14:textId="351F0058"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12.2</w:t>
                  </w:r>
                </w:p>
              </w:tc>
              <w:tc>
                <w:tcPr>
                  <w:tcW w:w="542" w:type="dxa"/>
                </w:tcPr>
                <w:p w14:paraId="78780D6A" w14:textId="69091EF9"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4.7%</w:t>
                  </w:r>
                </w:p>
              </w:tc>
              <w:tc>
                <w:tcPr>
                  <w:tcW w:w="542" w:type="dxa"/>
                </w:tcPr>
                <w:p w14:paraId="30A78E99" w14:textId="071DAB3F"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4.8%</w:t>
                  </w:r>
                </w:p>
              </w:tc>
              <w:tc>
                <w:tcPr>
                  <w:tcW w:w="537" w:type="dxa"/>
                </w:tcPr>
                <w:p w14:paraId="27165D6C" w14:textId="4BE31128"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5.1%</w:t>
                  </w:r>
                </w:p>
              </w:tc>
              <w:tc>
                <w:tcPr>
                  <w:tcW w:w="547" w:type="dxa"/>
                </w:tcPr>
                <w:p w14:paraId="200AC9E9" w14:textId="27C15DB1"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5.8%</w:t>
                  </w:r>
                </w:p>
              </w:tc>
              <w:tc>
                <w:tcPr>
                  <w:tcW w:w="542" w:type="dxa"/>
                </w:tcPr>
                <w:p w14:paraId="58F0A2AB" w14:textId="274FB2F9"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6.5%</w:t>
                  </w:r>
                </w:p>
              </w:tc>
              <w:tc>
                <w:tcPr>
                  <w:tcW w:w="542" w:type="dxa"/>
                </w:tcPr>
                <w:p w14:paraId="229D6EB6" w14:textId="6FB862B8"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7.1%</w:t>
                  </w:r>
                </w:p>
              </w:tc>
              <w:tc>
                <w:tcPr>
                  <w:tcW w:w="542" w:type="dxa"/>
                </w:tcPr>
                <w:p w14:paraId="0CAD07E0" w14:textId="73C2E248"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12.8</w:t>
                  </w:r>
                </w:p>
              </w:tc>
              <w:tc>
                <w:tcPr>
                  <w:tcW w:w="542" w:type="dxa"/>
                </w:tcPr>
                <w:p w14:paraId="6513C1FD" w14:textId="59C43B58"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12.3</w:t>
                  </w:r>
                </w:p>
              </w:tc>
              <w:tc>
                <w:tcPr>
                  <w:tcW w:w="543" w:type="dxa"/>
                </w:tcPr>
                <w:p w14:paraId="4205E7CB" w14:textId="307E9009"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11.4</w:t>
                  </w:r>
                </w:p>
              </w:tc>
            </w:tr>
            <w:tr w:rsidR="00864882" w:rsidRPr="003A3374" w14:paraId="7A8A982D" w14:textId="77777777" w:rsidTr="006D2966">
              <w:tc>
                <w:tcPr>
                  <w:cnfStyle w:val="001000000000" w:firstRow="0" w:lastRow="0" w:firstColumn="1" w:lastColumn="0" w:oddVBand="0" w:evenVBand="0" w:oddHBand="0" w:evenHBand="0" w:firstRowFirstColumn="0" w:firstRowLastColumn="0" w:lastRowFirstColumn="0" w:lastRowLastColumn="0"/>
                  <w:tcW w:w="1626" w:type="dxa"/>
                </w:tcPr>
                <w:p w14:paraId="707AA558" w14:textId="7E387DD1" w:rsidR="00864882" w:rsidRPr="003A3374" w:rsidRDefault="00987366" w:rsidP="006D2966">
                  <w:pPr>
                    <w:pStyle w:val="TableText0"/>
                    <w:rPr>
                      <w:b/>
                      <w:bCs/>
                    </w:rPr>
                  </w:pPr>
                  <w:r w:rsidRPr="003A3374">
                    <w:t>Pernod Ricard</w:t>
                  </w:r>
                </w:p>
              </w:tc>
              <w:tc>
                <w:tcPr>
                  <w:tcW w:w="760" w:type="dxa"/>
                </w:tcPr>
                <w:p w14:paraId="2C26127D" w14:textId="1CDE8D90" w:rsidR="00864882" w:rsidRPr="003A3374" w:rsidRDefault="00987366" w:rsidP="006D2966">
                  <w:pPr>
                    <w:pStyle w:val="TableText0"/>
                    <w:jc w:val="left"/>
                    <w:cnfStyle w:val="000000000000" w:firstRow="0" w:lastRow="0" w:firstColumn="0" w:lastColumn="0" w:oddVBand="0" w:evenVBand="0" w:oddHBand="0" w:evenHBand="0" w:firstRowFirstColumn="0" w:firstRowLastColumn="0" w:lastRowFirstColumn="0" w:lastRowLastColumn="0"/>
                  </w:pPr>
                  <w:r w:rsidRPr="003A3374">
                    <w:t>Neutral</w:t>
                  </w:r>
                </w:p>
              </w:tc>
              <w:tc>
                <w:tcPr>
                  <w:tcW w:w="746" w:type="dxa"/>
                </w:tcPr>
                <w:p w14:paraId="4BA00014" w14:textId="3CF54967"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€78.5</w:t>
                  </w:r>
                </w:p>
              </w:tc>
              <w:tc>
                <w:tcPr>
                  <w:tcW w:w="542" w:type="dxa"/>
                </w:tcPr>
                <w:p w14:paraId="542FE1B8" w14:textId="12132720"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12.8</w:t>
                  </w:r>
                </w:p>
              </w:tc>
              <w:tc>
                <w:tcPr>
                  <w:tcW w:w="542" w:type="dxa"/>
                </w:tcPr>
                <w:p w14:paraId="4BF3439C" w14:textId="786AC9FC"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13.0</w:t>
                  </w:r>
                </w:p>
              </w:tc>
              <w:tc>
                <w:tcPr>
                  <w:tcW w:w="542" w:type="dxa"/>
                </w:tcPr>
                <w:p w14:paraId="4E758380" w14:textId="5B7385FB"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12.1</w:t>
                  </w:r>
                </w:p>
              </w:tc>
              <w:tc>
                <w:tcPr>
                  <w:tcW w:w="542" w:type="dxa"/>
                </w:tcPr>
                <w:p w14:paraId="0D429873" w14:textId="4D69EEE9"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5.6%</w:t>
                  </w:r>
                </w:p>
              </w:tc>
              <w:tc>
                <w:tcPr>
                  <w:tcW w:w="542" w:type="dxa"/>
                </w:tcPr>
                <w:p w14:paraId="4EDF2A2D" w14:textId="20FABE27"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5.2%</w:t>
                  </w:r>
                </w:p>
              </w:tc>
              <w:tc>
                <w:tcPr>
                  <w:tcW w:w="537" w:type="dxa"/>
                </w:tcPr>
                <w:p w14:paraId="6261D53D" w14:textId="79891781"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5.2%</w:t>
                  </w:r>
                </w:p>
              </w:tc>
              <w:tc>
                <w:tcPr>
                  <w:tcW w:w="547" w:type="dxa"/>
                </w:tcPr>
                <w:p w14:paraId="5E3E7DA5" w14:textId="0B192FCF"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5.4%</w:t>
                  </w:r>
                </w:p>
              </w:tc>
              <w:tc>
                <w:tcPr>
                  <w:tcW w:w="542" w:type="dxa"/>
                </w:tcPr>
                <w:p w14:paraId="1E66FFC8" w14:textId="58A048B2"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6.8%</w:t>
                  </w:r>
                </w:p>
              </w:tc>
              <w:tc>
                <w:tcPr>
                  <w:tcW w:w="542" w:type="dxa"/>
                </w:tcPr>
                <w:p w14:paraId="706F5127" w14:textId="7D5CCE9F"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6.9%</w:t>
                  </w:r>
                </w:p>
              </w:tc>
              <w:tc>
                <w:tcPr>
                  <w:tcW w:w="542" w:type="dxa"/>
                </w:tcPr>
                <w:p w14:paraId="79893987" w14:textId="1200A41B"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12.3</w:t>
                  </w:r>
                </w:p>
              </w:tc>
              <w:tc>
                <w:tcPr>
                  <w:tcW w:w="542" w:type="dxa"/>
                </w:tcPr>
                <w:p w14:paraId="2070F3B2" w14:textId="6460E616"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12.5</w:t>
                  </w:r>
                </w:p>
              </w:tc>
              <w:tc>
                <w:tcPr>
                  <w:tcW w:w="543" w:type="dxa"/>
                </w:tcPr>
                <w:p w14:paraId="2841ACB0" w14:textId="4BC668E4"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11.8</w:t>
                  </w:r>
                </w:p>
              </w:tc>
            </w:tr>
            <w:tr w:rsidR="00864882" w:rsidRPr="003A3374" w14:paraId="3BB16FC3" w14:textId="77777777" w:rsidTr="00987366">
              <w:tc>
                <w:tcPr>
                  <w:cnfStyle w:val="001000000000" w:firstRow="0" w:lastRow="0" w:firstColumn="1" w:lastColumn="0" w:oddVBand="0" w:evenVBand="0" w:oddHBand="0" w:evenHBand="0" w:firstRowFirstColumn="0" w:firstRowLastColumn="0" w:lastRowFirstColumn="0" w:lastRowLastColumn="0"/>
                  <w:tcW w:w="1626" w:type="dxa"/>
                </w:tcPr>
                <w:p w14:paraId="31FCF80D" w14:textId="09DAF158" w:rsidR="00864882" w:rsidRPr="003A3374" w:rsidRDefault="00987366" w:rsidP="006D2966">
                  <w:pPr>
                    <w:pStyle w:val="TableText0"/>
                    <w:rPr>
                      <w:b/>
                      <w:bCs/>
                    </w:rPr>
                  </w:pPr>
                  <w:r w:rsidRPr="003A3374">
                    <w:t>Rémy Cointreau</w:t>
                  </w:r>
                </w:p>
              </w:tc>
              <w:tc>
                <w:tcPr>
                  <w:tcW w:w="760" w:type="dxa"/>
                </w:tcPr>
                <w:p w14:paraId="50C4CE62" w14:textId="7D16BF8C" w:rsidR="00864882" w:rsidRPr="003A3374" w:rsidRDefault="00987366" w:rsidP="006D2966">
                  <w:pPr>
                    <w:pStyle w:val="TableText0"/>
                    <w:jc w:val="left"/>
                    <w:cnfStyle w:val="000000000000" w:firstRow="0" w:lastRow="0" w:firstColumn="0" w:lastColumn="0" w:oddVBand="0" w:evenVBand="0" w:oddHBand="0" w:evenHBand="0" w:firstRowFirstColumn="0" w:firstRowLastColumn="0" w:lastRowFirstColumn="0" w:lastRowLastColumn="0"/>
                  </w:pPr>
                  <w:r w:rsidRPr="003A3374">
                    <w:t>Sell</w:t>
                  </w:r>
                </w:p>
              </w:tc>
              <w:tc>
                <w:tcPr>
                  <w:tcW w:w="746" w:type="dxa"/>
                </w:tcPr>
                <w:p w14:paraId="292E6044" w14:textId="014C82CF"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€39.9</w:t>
                  </w:r>
                </w:p>
              </w:tc>
              <w:tc>
                <w:tcPr>
                  <w:tcW w:w="542" w:type="dxa"/>
                </w:tcPr>
                <w:p w14:paraId="732FE24C" w14:textId="7705A146"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17.9</w:t>
                  </w:r>
                </w:p>
              </w:tc>
              <w:tc>
                <w:tcPr>
                  <w:tcW w:w="542" w:type="dxa"/>
                </w:tcPr>
                <w:p w14:paraId="0F097666" w14:textId="2B16587F"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16.8</w:t>
                  </w:r>
                </w:p>
              </w:tc>
              <w:tc>
                <w:tcPr>
                  <w:tcW w:w="542" w:type="dxa"/>
                </w:tcPr>
                <w:p w14:paraId="790FD309" w14:textId="27B0F70B"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15.1</w:t>
                  </w:r>
                </w:p>
              </w:tc>
              <w:tc>
                <w:tcPr>
                  <w:tcW w:w="542" w:type="dxa"/>
                </w:tcPr>
                <w:p w14:paraId="6F1FF202" w14:textId="2E646341"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2.8%</w:t>
                  </w:r>
                </w:p>
              </w:tc>
              <w:tc>
                <w:tcPr>
                  <w:tcW w:w="542" w:type="dxa"/>
                </w:tcPr>
                <w:p w14:paraId="37942CBD" w14:textId="30AC0C16"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3.0%</w:t>
                  </w:r>
                </w:p>
              </w:tc>
              <w:tc>
                <w:tcPr>
                  <w:tcW w:w="537" w:type="dxa"/>
                </w:tcPr>
                <w:p w14:paraId="4A852BCC" w14:textId="02579E23"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3.3%</w:t>
                  </w:r>
                </w:p>
              </w:tc>
              <w:tc>
                <w:tcPr>
                  <w:tcW w:w="547" w:type="dxa"/>
                </w:tcPr>
                <w:p w14:paraId="71EE027B" w14:textId="02B9C432"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3.7%</w:t>
                  </w:r>
                </w:p>
              </w:tc>
              <w:tc>
                <w:tcPr>
                  <w:tcW w:w="542" w:type="dxa"/>
                </w:tcPr>
                <w:p w14:paraId="52E20C90" w14:textId="756A2098"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3.9%</w:t>
                  </w:r>
                </w:p>
              </w:tc>
              <w:tc>
                <w:tcPr>
                  <w:tcW w:w="542" w:type="dxa"/>
                </w:tcPr>
                <w:p w14:paraId="4508CF19" w14:textId="31A4BFE1"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4.6%</w:t>
                  </w:r>
                </w:p>
              </w:tc>
              <w:tc>
                <w:tcPr>
                  <w:tcW w:w="542" w:type="dxa"/>
                </w:tcPr>
                <w:p w14:paraId="7DFDC34D" w14:textId="00EDC392"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12.8</w:t>
                  </w:r>
                </w:p>
              </w:tc>
              <w:tc>
                <w:tcPr>
                  <w:tcW w:w="542" w:type="dxa"/>
                </w:tcPr>
                <w:p w14:paraId="0B3A5D48" w14:textId="59DA524A"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12.1</w:t>
                  </w:r>
                </w:p>
              </w:tc>
              <w:tc>
                <w:tcPr>
                  <w:tcW w:w="543" w:type="dxa"/>
                </w:tcPr>
                <w:p w14:paraId="591953D1" w14:textId="69919B53"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11.1</w:t>
                  </w:r>
                </w:p>
              </w:tc>
            </w:tr>
            <w:tr w:rsidR="00864882" w:rsidRPr="003A3374" w14:paraId="6A01134F" w14:textId="77777777" w:rsidTr="00987366">
              <w:tc>
                <w:tcPr>
                  <w:cnfStyle w:val="001000000000" w:firstRow="0" w:lastRow="0" w:firstColumn="1" w:lastColumn="0" w:oddVBand="0" w:evenVBand="0" w:oddHBand="0" w:evenHBand="0" w:firstRowFirstColumn="0" w:firstRowLastColumn="0" w:lastRowFirstColumn="0" w:lastRowLastColumn="0"/>
                  <w:tcW w:w="1626" w:type="dxa"/>
                  <w:shd w:val="clear" w:color="auto" w:fill="E6E3DF" w:themeFill="accent4"/>
                </w:tcPr>
                <w:p w14:paraId="211968D4" w14:textId="3FFF2BA6" w:rsidR="00864882" w:rsidRPr="003A3374" w:rsidRDefault="00987366" w:rsidP="006D2966">
                  <w:pPr>
                    <w:pStyle w:val="TableText0"/>
                    <w:rPr>
                      <w:b/>
                      <w:bCs/>
                    </w:rPr>
                  </w:pPr>
                  <w:r w:rsidRPr="003A3374">
                    <w:rPr>
                      <w:b/>
                      <w:bCs/>
                    </w:rPr>
                    <w:t>Distillers</w:t>
                  </w:r>
                </w:p>
              </w:tc>
              <w:tc>
                <w:tcPr>
                  <w:tcW w:w="760" w:type="dxa"/>
                  <w:shd w:val="clear" w:color="auto" w:fill="E6E3DF" w:themeFill="accent4"/>
                </w:tcPr>
                <w:p w14:paraId="66D75073" w14:textId="30DA04D1" w:rsidR="00864882" w:rsidRPr="003A3374" w:rsidRDefault="00864882" w:rsidP="006D2966">
                  <w:pPr>
                    <w:pStyle w:val="TableText0"/>
                    <w:jc w:val="left"/>
                    <w:cnfStyle w:val="000000000000" w:firstRow="0" w:lastRow="0" w:firstColumn="0" w:lastColumn="0" w:oddVBand="0" w:evenVBand="0" w:oddHBand="0" w:evenHBand="0" w:firstRowFirstColumn="0" w:firstRowLastColumn="0" w:lastRowFirstColumn="0" w:lastRowLastColumn="0"/>
                    <w:rPr>
                      <w:b/>
                      <w:bCs/>
                    </w:rPr>
                  </w:pPr>
                </w:p>
              </w:tc>
              <w:tc>
                <w:tcPr>
                  <w:tcW w:w="746" w:type="dxa"/>
                  <w:shd w:val="clear" w:color="auto" w:fill="E6E3DF" w:themeFill="accent4"/>
                </w:tcPr>
                <w:p w14:paraId="6D3637E5" w14:textId="36F78072"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542" w:type="dxa"/>
                  <w:shd w:val="clear" w:color="auto" w:fill="E6E3DF" w:themeFill="accent4"/>
                </w:tcPr>
                <w:p w14:paraId="540B5084" w14:textId="45C8D127"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15.9</w:t>
                  </w:r>
                </w:p>
              </w:tc>
              <w:tc>
                <w:tcPr>
                  <w:tcW w:w="542" w:type="dxa"/>
                  <w:shd w:val="clear" w:color="auto" w:fill="E6E3DF" w:themeFill="accent4"/>
                </w:tcPr>
                <w:p w14:paraId="511CA966" w14:textId="31E9B0A9"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14.9</w:t>
                  </w:r>
                </w:p>
              </w:tc>
              <w:tc>
                <w:tcPr>
                  <w:tcW w:w="542" w:type="dxa"/>
                  <w:shd w:val="clear" w:color="auto" w:fill="E6E3DF" w:themeFill="accent4"/>
                </w:tcPr>
                <w:p w14:paraId="539B98E7" w14:textId="281EEEB7"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13.6</w:t>
                  </w:r>
                </w:p>
              </w:tc>
              <w:tc>
                <w:tcPr>
                  <w:tcW w:w="542" w:type="dxa"/>
                  <w:shd w:val="clear" w:color="auto" w:fill="E6E3DF" w:themeFill="accent4"/>
                </w:tcPr>
                <w:p w14:paraId="1345B082" w14:textId="580F8AA3"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3.5%</w:t>
                  </w:r>
                </w:p>
              </w:tc>
              <w:tc>
                <w:tcPr>
                  <w:tcW w:w="542" w:type="dxa"/>
                  <w:shd w:val="clear" w:color="auto" w:fill="E6E3DF" w:themeFill="accent4"/>
                </w:tcPr>
                <w:p w14:paraId="739135DA" w14:textId="1469C20D"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3.5%</w:t>
                  </w:r>
                </w:p>
              </w:tc>
              <w:tc>
                <w:tcPr>
                  <w:tcW w:w="537" w:type="dxa"/>
                  <w:shd w:val="clear" w:color="auto" w:fill="E6E3DF" w:themeFill="accent4"/>
                </w:tcPr>
                <w:p w14:paraId="24CBE91A" w14:textId="78C36E5D"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3.7%</w:t>
                  </w:r>
                </w:p>
              </w:tc>
              <w:tc>
                <w:tcPr>
                  <w:tcW w:w="547" w:type="dxa"/>
                  <w:shd w:val="clear" w:color="auto" w:fill="E6E3DF" w:themeFill="accent4"/>
                </w:tcPr>
                <w:p w14:paraId="3DBA5C7E" w14:textId="1E8D3320"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4.7%</w:t>
                  </w:r>
                </w:p>
              </w:tc>
              <w:tc>
                <w:tcPr>
                  <w:tcW w:w="542" w:type="dxa"/>
                  <w:shd w:val="clear" w:color="auto" w:fill="E6E3DF" w:themeFill="accent4"/>
                </w:tcPr>
                <w:p w14:paraId="317B23A4" w14:textId="54E9012A"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5.7%</w:t>
                  </w:r>
                </w:p>
              </w:tc>
              <w:tc>
                <w:tcPr>
                  <w:tcW w:w="542" w:type="dxa"/>
                  <w:shd w:val="clear" w:color="auto" w:fill="E6E3DF" w:themeFill="accent4"/>
                </w:tcPr>
                <w:p w14:paraId="5C132A8F" w14:textId="38E9C27A"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6.1%</w:t>
                  </w:r>
                </w:p>
              </w:tc>
              <w:tc>
                <w:tcPr>
                  <w:tcW w:w="542" w:type="dxa"/>
                  <w:shd w:val="clear" w:color="auto" w:fill="E6E3DF" w:themeFill="accent4"/>
                </w:tcPr>
                <w:p w14:paraId="6654A3F0" w14:textId="16D85B11"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13.2</w:t>
                  </w:r>
                </w:p>
              </w:tc>
              <w:tc>
                <w:tcPr>
                  <w:tcW w:w="542" w:type="dxa"/>
                  <w:shd w:val="clear" w:color="auto" w:fill="E6E3DF" w:themeFill="accent4"/>
                </w:tcPr>
                <w:p w14:paraId="58220EEB" w14:textId="47737C29"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12.6</w:t>
                  </w:r>
                </w:p>
              </w:tc>
              <w:tc>
                <w:tcPr>
                  <w:tcW w:w="543" w:type="dxa"/>
                  <w:shd w:val="clear" w:color="auto" w:fill="E6E3DF" w:themeFill="accent4"/>
                </w:tcPr>
                <w:p w14:paraId="2DA33A51" w14:textId="24C1CB8A"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11.6</w:t>
                  </w:r>
                </w:p>
              </w:tc>
            </w:tr>
            <w:tr w:rsidR="00864882" w:rsidRPr="003A3374" w14:paraId="58F17095" w14:textId="77777777" w:rsidTr="00987366">
              <w:tc>
                <w:tcPr>
                  <w:cnfStyle w:val="001000000000" w:firstRow="0" w:lastRow="0" w:firstColumn="1" w:lastColumn="0" w:oddVBand="0" w:evenVBand="0" w:oddHBand="0" w:evenHBand="0" w:firstRowFirstColumn="0" w:firstRowLastColumn="0" w:lastRowFirstColumn="0" w:lastRowLastColumn="0"/>
                  <w:tcW w:w="1626" w:type="dxa"/>
                </w:tcPr>
                <w:p w14:paraId="464EAE64" w14:textId="4EC8D14F" w:rsidR="00864882" w:rsidRPr="003A3374" w:rsidRDefault="00987366" w:rsidP="006D2966">
                  <w:pPr>
                    <w:pStyle w:val="TableText0"/>
                  </w:pPr>
                  <w:r w:rsidRPr="003A3374">
                    <w:t>AG Barr</w:t>
                  </w:r>
                </w:p>
              </w:tc>
              <w:tc>
                <w:tcPr>
                  <w:tcW w:w="760" w:type="dxa"/>
                </w:tcPr>
                <w:p w14:paraId="5385135C" w14:textId="2AF04045" w:rsidR="00864882" w:rsidRPr="003A3374" w:rsidRDefault="00987366" w:rsidP="006D2966">
                  <w:pPr>
                    <w:pStyle w:val="TableText0"/>
                    <w:jc w:val="left"/>
                    <w:cnfStyle w:val="000000000000" w:firstRow="0" w:lastRow="0" w:firstColumn="0" w:lastColumn="0" w:oddVBand="0" w:evenVBand="0" w:oddHBand="0" w:evenHBand="0" w:firstRowFirstColumn="0" w:firstRowLastColumn="0" w:lastRowFirstColumn="0" w:lastRowLastColumn="0"/>
                  </w:pPr>
                  <w:r w:rsidRPr="003A3374">
                    <w:t>Buy</w:t>
                  </w:r>
                </w:p>
              </w:tc>
              <w:tc>
                <w:tcPr>
                  <w:tcW w:w="746" w:type="dxa"/>
                </w:tcPr>
                <w:p w14:paraId="334492E1" w14:textId="3908CCAE"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642p</w:t>
                  </w:r>
                </w:p>
              </w:tc>
              <w:tc>
                <w:tcPr>
                  <w:tcW w:w="542" w:type="dxa"/>
                </w:tcPr>
                <w:p w14:paraId="68C38F23" w14:textId="37726597"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14.2</w:t>
                  </w:r>
                </w:p>
              </w:tc>
              <w:tc>
                <w:tcPr>
                  <w:tcW w:w="542" w:type="dxa"/>
                </w:tcPr>
                <w:p w14:paraId="315723E8" w14:textId="101F44A7"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12.7</w:t>
                  </w:r>
                </w:p>
              </w:tc>
              <w:tc>
                <w:tcPr>
                  <w:tcW w:w="542" w:type="dxa"/>
                </w:tcPr>
                <w:p w14:paraId="77094E39" w14:textId="0ED7E870"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12.4</w:t>
                  </w:r>
                </w:p>
              </w:tc>
              <w:tc>
                <w:tcPr>
                  <w:tcW w:w="542" w:type="dxa"/>
                </w:tcPr>
                <w:p w14:paraId="3B0AE3D5" w14:textId="7E17AD3B"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2.9%</w:t>
                  </w:r>
                </w:p>
              </w:tc>
              <w:tc>
                <w:tcPr>
                  <w:tcW w:w="542" w:type="dxa"/>
                </w:tcPr>
                <w:p w14:paraId="2BD3376D" w14:textId="40425876"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3.2%</w:t>
                  </w:r>
                </w:p>
              </w:tc>
              <w:tc>
                <w:tcPr>
                  <w:tcW w:w="537" w:type="dxa"/>
                </w:tcPr>
                <w:p w14:paraId="61020A4A" w14:textId="1181D3D4"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3.4%</w:t>
                  </w:r>
                </w:p>
              </w:tc>
              <w:tc>
                <w:tcPr>
                  <w:tcW w:w="547" w:type="dxa"/>
                </w:tcPr>
                <w:p w14:paraId="2651B3D8" w14:textId="1C08D134"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5.2%</w:t>
                  </w:r>
                </w:p>
              </w:tc>
              <w:tc>
                <w:tcPr>
                  <w:tcW w:w="542" w:type="dxa"/>
                </w:tcPr>
                <w:p w14:paraId="276D1BB8" w14:textId="70C48375"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6.2%</w:t>
                  </w:r>
                </w:p>
              </w:tc>
              <w:tc>
                <w:tcPr>
                  <w:tcW w:w="542" w:type="dxa"/>
                </w:tcPr>
                <w:p w14:paraId="1FCD28CE" w14:textId="54D0E9C8"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6.8%</w:t>
                  </w:r>
                </w:p>
              </w:tc>
              <w:tc>
                <w:tcPr>
                  <w:tcW w:w="542" w:type="dxa"/>
                </w:tcPr>
                <w:p w14:paraId="1CA31AD7" w14:textId="025B987E"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10.3</w:t>
                  </w:r>
                </w:p>
              </w:tc>
              <w:tc>
                <w:tcPr>
                  <w:tcW w:w="542" w:type="dxa"/>
                </w:tcPr>
                <w:p w14:paraId="38495FD4" w14:textId="03BC455D"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8.7</w:t>
                  </w:r>
                </w:p>
              </w:tc>
              <w:tc>
                <w:tcPr>
                  <w:tcW w:w="543" w:type="dxa"/>
                </w:tcPr>
                <w:p w14:paraId="71EE2AEB" w14:textId="50D8DE97"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8.2</w:t>
                  </w:r>
                </w:p>
              </w:tc>
            </w:tr>
            <w:tr w:rsidR="00864882" w:rsidRPr="003A3374" w14:paraId="09A6E5F0" w14:textId="77777777" w:rsidTr="00987366">
              <w:tc>
                <w:tcPr>
                  <w:cnfStyle w:val="001000000000" w:firstRow="0" w:lastRow="0" w:firstColumn="1" w:lastColumn="0" w:oddVBand="0" w:evenVBand="0" w:oddHBand="0" w:evenHBand="0" w:firstRowFirstColumn="0" w:firstRowLastColumn="0" w:lastRowFirstColumn="0" w:lastRowLastColumn="0"/>
                  <w:tcW w:w="1626" w:type="dxa"/>
                  <w:shd w:val="clear" w:color="auto" w:fill="A4AEBF" w:themeFill="accent2"/>
                </w:tcPr>
                <w:p w14:paraId="4178DDAB" w14:textId="2AE01947" w:rsidR="00864882" w:rsidRPr="003A3374" w:rsidRDefault="00987366" w:rsidP="006D2966">
                  <w:pPr>
                    <w:pStyle w:val="TableText0"/>
                    <w:rPr>
                      <w:b/>
                      <w:bCs/>
                    </w:rPr>
                  </w:pPr>
                  <w:r w:rsidRPr="003A3374">
                    <w:rPr>
                      <w:b/>
                      <w:bCs/>
                    </w:rPr>
                    <w:t>Coca-Cola EP</w:t>
                  </w:r>
                </w:p>
              </w:tc>
              <w:tc>
                <w:tcPr>
                  <w:tcW w:w="760" w:type="dxa"/>
                  <w:shd w:val="clear" w:color="auto" w:fill="A4AEBF" w:themeFill="accent2"/>
                </w:tcPr>
                <w:p w14:paraId="54DCC548" w14:textId="3184AF75" w:rsidR="00864882" w:rsidRPr="003A3374" w:rsidRDefault="00987366" w:rsidP="006D2966">
                  <w:pPr>
                    <w:pStyle w:val="TableText0"/>
                    <w:jc w:val="left"/>
                    <w:cnfStyle w:val="000000000000" w:firstRow="0" w:lastRow="0" w:firstColumn="0" w:lastColumn="0" w:oddVBand="0" w:evenVBand="0" w:oddHBand="0" w:evenHBand="0" w:firstRowFirstColumn="0" w:firstRowLastColumn="0" w:lastRowFirstColumn="0" w:lastRowLastColumn="0"/>
                    <w:rPr>
                      <w:b/>
                      <w:bCs/>
                    </w:rPr>
                  </w:pPr>
                  <w:r w:rsidRPr="003A3374">
                    <w:rPr>
                      <w:b/>
                      <w:bCs/>
                    </w:rPr>
                    <w:t>Buy</w:t>
                  </w:r>
                </w:p>
              </w:tc>
              <w:tc>
                <w:tcPr>
                  <w:tcW w:w="746" w:type="dxa"/>
                  <w:shd w:val="clear" w:color="auto" w:fill="A4AEBF" w:themeFill="accent2"/>
                </w:tcPr>
                <w:p w14:paraId="34894508" w14:textId="5D89143A"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£68.0</w:t>
                  </w:r>
                </w:p>
              </w:tc>
              <w:tc>
                <w:tcPr>
                  <w:tcW w:w="542" w:type="dxa"/>
                  <w:shd w:val="clear" w:color="auto" w:fill="A4AEBF" w:themeFill="accent2"/>
                </w:tcPr>
                <w:p w14:paraId="112A10A3" w14:textId="38532ABE"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19.4</w:t>
                  </w:r>
                </w:p>
              </w:tc>
              <w:tc>
                <w:tcPr>
                  <w:tcW w:w="542" w:type="dxa"/>
                  <w:shd w:val="clear" w:color="auto" w:fill="A4AEBF" w:themeFill="accent2"/>
                </w:tcPr>
                <w:p w14:paraId="15CCF0B2" w14:textId="11572C33"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17.6</w:t>
                  </w:r>
                </w:p>
              </w:tc>
              <w:tc>
                <w:tcPr>
                  <w:tcW w:w="542" w:type="dxa"/>
                  <w:shd w:val="clear" w:color="auto" w:fill="A4AEBF" w:themeFill="accent2"/>
                </w:tcPr>
                <w:p w14:paraId="723A87F8" w14:textId="468D9815"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15.8</w:t>
                  </w:r>
                </w:p>
              </w:tc>
              <w:tc>
                <w:tcPr>
                  <w:tcW w:w="542" w:type="dxa"/>
                  <w:shd w:val="clear" w:color="auto" w:fill="A4AEBF" w:themeFill="accent2"/>
                </w:tcPr>
                <w:p w14:paraId="4A7F34D9" w14:textId="26E4BFFE"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2.7%</w:t>
                  </w:r>
                </w:p>
              </w:tc>
              <w:tc>
                <w:tcPr>
                  <w:tcW w:w="542" w:type="dxa"/>
                  <w:shd w:val="clear" w:color="auto" w:fill="A4AEBF" w:themeFill="accent2"/>
                </w:tcPr>
                <w:p w14:paraId="0D1B3723" w14:textId="71D01DEB"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2.9%</w:t>
                  </w:r>
                </w:p>
              </w:tc>
              <w:tc>
                <w:tcPr>
                  <w:tcW w:w="537" w:type="dxa"/>
                  <w:shd w:val="clear" w:color="auto" w:fill="A4AEBF" w:themeFill="accent2"/>
                </w:tcPr>
                <w:p w14:paraId="681EE612" w14:textId="473C292F"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3.1%</w:t>
                  </w:r>
                </w:p>
              </w:tc>
              <w:tc>
                <w:tcPr>
                  <w:tcW w:w="547" w:type="dxa"/>
                  <w:shd w:val="clear" w:color="auto" w:fill="A4AEBF" w:themeFill="accent2"/>
                </w:tcPr>
                <w:p w14:paraId="046D2EC3" w14:textId="57946738"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5.2%</w:t>
                  </w:r>
                </w:p>
              </w:tc>
              <w:tc>
                <w:tcPr>
                  <w:tcW w:w="542" w:type="dxa"/>
                  <w:shd w:val="clear" w:color="auto" w:fill="A4AEBF" w:themeFill="accent2"/>
                </w:tcPr>
                <w:p w14:paraId="6BA7A9BB" w14:textId="45B4A011"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5.5%</w:t>
                  </w:r>
                </w:p>
              </w:tc>
              <w:tc>
                <w:tcPr>
                  <w:tcW w:w="542" w:type="dxa"/>
                  <w:shd w:val="clear" w:color="auto" w:fill="A4AEBF" w:themeFill="accent2"/>
                </w:tcPr>
                <w:p w14:paraId="1A27624C" w14:textId="2B653407"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6.7%</w:t>
                  </w:r>
                </w:p>
              </w:tc>
              <w:tc>
                <w:tcPr>
                  <w:tcW w:w="542" w:type="dxa"/>
                  <w:shd w:val="clear" w:color="auto" w:fill="A4AEBF" w:themeFill="accent2"/>
                </w:tcPr>
                <w:p w14:paraId="73F2BEB8" w14:textId="114ECF82"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16.5</w:t>
                  </w:r>
                </w:p>
              </w:tc>
              <w:tc>
                <w:tcPr>
                  <w:tcW w:w="542" w:type="dxa"/>
                  <w:shd w:val="clear" w:color="auto" w:fill="A4AEBF" w:themeFill="accent2"/>
                </w:tcPr>
                <w:p w14:paraId="428B9320" w14:textId="71CD9A2A"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15.2</w:t>
                  </w:r>
                </w:p>
              </w:tc>
              <w:tc>
                <w:tcPr>
                  <w:tcW w:w="543" w:type="dxa"/>
                  <w:shd w:val="clear" w:color="auto" w:fill="A4AEBF" w:themeFill="accent2"/>
                </w:tcPr>
                <w:p w14:paraId="7F981D3F" w14:textId="77A03E82"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13.7</w:t>
                  </w:r>
                </w:p>
              </w:tc>
            </w:tr>
            <w:tr w:rsidR="00864882" w:rsidRPr="003A3374" w14:paraId="2D5D5946" w14:textId="77777777" w:rsidTr="00987366">
              <w:tc>
                <w:tcPr>
                  <w:cnfStyle w:val="001000000000" w:firstRow="0" w:lastRow="0" w:firstColumn="1" w:lastColumn="0" w:oddVBand="0" w:evenVBand="0" w:oddHBand="0" w:evenHBand="0" w:firstRowFirstColumn="0" w:firstRowLastColumn="0" w:lastRowFirstColumn="0" w:lastRowLastColumn="0"/>
                  <w:tcW w:w="1626" w:type="dxa"/>
                </w:tcPr>
                <w:p w14:paraId="62CFD8F7" w14:textId="40EB96F0" w:rsidR="00864882" w:rsidRPr="003A3374" w:rsidRDefault="00987366" w:rsidP="006D2966">
                  <w:pPr>
                    <w:pStyle w:val="TableText0"/>
                    <w:rPr>
                      <w:b/>
                      <w:bCs/>
                    </w:rPr>
                  </w:pPr>
                  <w:r w:rsidRPr="003A3374">
                    <w:t>Coca-Cola HBC</w:t>
                  </w:r>
                </w:p>
              </w:tc>
              <w:tc>
                <w:tcPr>
                  <w:tcW w:w="760" w:type="dxa"/>
                </w:tcPr>
                <w:p w14:paraId="5AC35F16" w14:textId="0AFF774C" w:rsidR="00864882" w:rsidRPr="003A3374" w:rsidRDefault="00987366" w:rsidP="006D2966">
                  <w:pPr>
                    <w:pStyle w:val="TableText0"/>
                    <w:jc w:val="left"/>
                    <w:cnfStyle w:val="000000000000" w:firstRow="0" w:lastRow="0" w:firstColumn="0" w:lastColumn="0" w:oddVBand="0" w:evenVBand="0" w:oddHBand="0" w:evenHBand="0" w:firstRowFirstColumn="0" w:firstRowLastColumn="0" w:lastRowFirstColumn="0" w:lastRowLastColumn="0"/>
                  </w:pPr>
                  <w:r w:rsidRPr="003A3374">
                    <w:t>Not rated</w:t>
                  </w:r>
                </w:p>
              </w:tc>
              <w:tc>
                <w:tcPr>
                  <w:tcW w:w="746" w:type="dxa"/>
                </w:tcPr>
                <w:p w14:paraId="1423A34A" w14:textId="536D3FD1" w:rsidR="00864882" w:rsidRPr="003A3374" w:rsidRDefault="00AD6FF0" w:rsidP="006D2966">
                  <w:pPr>
                    <w:pStyle w:val="TableText0"/>
                    <w:cnfStyle w:val="000000000000" w:firstRow="0" w:lastRow="0" w:firstColumn="0" w:lastColumn="0" w:oddVBand="0" w:evenVBand="0" w:oddHBand="0" w:evenHBand="0" w:firstRowFirstColumn="0" w:firstRowLastColumn="0" w:lastRowFirstColumn="0" w:lastRowLastColumn="0"/>
                  </w:pPr>
                  <w:r w:rsidRPr="003A3374">
                    <w:t>-</w:t>
                  </w:r>
                </w:p>
              </w:tc>
              <w:tc>
                <w:tcPr>
                  <w:tcW w:w="542" w:type="dxa"/>
                </w:tcPr>
                <w:p w14:paraId="363C0E9F" w14:textId="31D2E786" w:rsidR="00864882" w:rsidRPr="003A3374" w:rsidRDefault="00AD6FF0" w:rsidP="006D2966">
                  <w:pPr>
                    <w:pStyle w:val="TableText0"/>
                    <w:cnfStyle w:val="000000000000" w:firstRow="0" w:lastRow="0" w:firstColumn="0" w:lastColumn="0" w:oddVBand="0" w:evenVBand="0" w:oddHBand="0" w:evenHBand="0" w:firstRowFirstColumn="0" w:firstRowLastColumn="0" w:lastRowFirstColumn="0" w:lastRowLastColumn="0"/>
                  </w:pPr>
                  <w:r w:rsidRPr="003A3374">
                    <w:t>-</w:t>
                  </w:r>
                </w:p>
              </w:tc>
              <w:tc>
                <w:tcPr>
                  <w:tcW w:w="542" w:type="dxa"/>
                </w:tcPr>
                <w:p w14:paraId="3909C134" w14:textId="02D3146B" w:rsidR="00864882" w:rsidRPr="003A3374" w:rsidRDefault="00AD6FF0" w:rsidP="006D2966">
                  <w:pPr>
                    <w:pStyle w:val="TableText0"/>
                    <w:cnfStyle w:val="000000000000" w:firstRow="0" w:lastRow="0" w:firstColumn="0" w:lastColumn="0" w:oddVBand="0" w:evenVBand="0" w:oddHBand="0" w:evenHBand="0" w:firstRowFirstColumn="0" w:firstRowLastColumn="0" w:lastRowFirstColumn="0" w:lastRowLastColumn="0"/>
                  </w:pPr>
                  <w:r w:rsidRPr="003A3374">
                    <w:t>-</w:t>
                  </w:r>
                </w:p>
              </w:tc>
              <w:tc>
                <w:tcPr>
                  <w:tcW w:w="542" w:type="dxa"/>
                </w:tcPr>
                <w:p w14:paraId="4645C0C1" w14:textId="327858ED" w:rsidR="00864882" w:rsidRPr="003A3374" w:rsidRDefault="00AD6FF0" w:rsidP="006D2966">
                  <w:pPr>
                    <w:pStyle w:val="TableText0"/>
                    <w:cnfStyle w:val="000000000000" w:firstRow="0" w:lastRow="0" w:firstColumn="0" w:lastColumn="0" w:oddVBand="0" w:evenVBand="0" w:oddHBand="0" w:evenHBand="0" w:firstRowFirstColumn="0" w:firstRowLastColumn="0" w:lastRowFirstColumn="0" w:lastRowLastColumn="0"/>
                  </w:pPr>
                  <w:r w:rsidRPr="003A3374">
                    <w:t>-</w:t>
                  </w:r>
                </w:p>
              </w:tc>
              <w:tc>
                <w:tcPr>
                  <w:tcW w:w="542" w:type="dxa"/>
                </w:tcPr>
                <w:p w14:paraId="7D009649" w14:textId="48314A73" w:rsidR="00864882" w:rsidRPr="003A3374" w:rsidRDefault="00AD6FF0" w:rsidP="006D2966">
                  <w:pPr>
                    <w:pStyle w:val="TableText0"/>
                    <w:cnfStyle w:val="000000000000" w:firstRow="0" w:lastRow="0" w:firstColumn="0" w:lastColumn="0" w:oddVBand="0" w:evenVBand="0" w:oddHBand="0" w:evenHBand="0" w:firstRowFirstColumn="0" w:firstRowLastColumn="0" w:lastRowFirstColumn="0" w:lastRowLastColumn="0"/>
                  </w:pPr>
                  <w:r w:rsidRPr="003A3374">
                    <w:t>-</w:t>
                  </w:r>
                </w:p>
              </w:tc>
              <w:tc>
                <w:tcPr>
                  <w:tcW w:w="542" w:type="dxa"/>
                </w:tcPr>
                <w:p w14:paraId="1A92571F" w14:textId="34DB7631" w:rsidR="00864882" w:rsidRPr="003A3374" w:rsidRDefault="00AD6FF0" w:rsidP="006D2966">
                  <w:pPr>
                    <w:pStyle w:val="TableText0"/>
                    <w:cnfStyle w:val="000000000000" w:firstRow="0" w:lastRow="0" w:firstColumn="0" w:lastColumn="0" w:oddVBand="0" w:evenVBand="0" w:oddHBand="0" w:evenHBand="0" w:firstRowFirstColumn="0" w:firstRowLastColumn="0" w:lastRowFirstColumn="0" w:lastRowLastColumn="0"/>
                  </w:pPr>
                  <w:r w:rsidRPr="003A3374">
                    <w:t>-</w:t>
                  </w:r>
                </w:p>
              </w:tc>
              <w:tc>
                <w:tcPr>
                  <w:tcW w:w="537" w:type="dxa"/>
                </w:tcPr>
                <w:p w14:paraId="7B25099D" w14:textId="7FD5E7C4" w:rsidR="00864882" w:rsidRPr="003A3374" w:rsidRDefault="00AD6FF0" w:rsidP="006D2966">
                  <w:pPr>
                    <w:pStyle w:val="TableText0"/>
                    <w:cnfStyle w:val="000000000000" w:firstRow="0" w:lastRow="0" w:firstColumn="0" w:lastColumn="0" w:oddVBand="0" w:evenVBand="0" w:oddHBand="0" w:evenHBand="0" w:firstRowFirstColumn="0" w:firstRowLastColumn="0" w:lastRowFirstColumn="0" w:lastRowLastColumn="0"/>
                  </w:pPr>
                  <w:r w:rsidRPr="003A3374">
                    <w:t>-</w:t>
                  </w:r>
                </w:p>
              </w:tc>
              <w:tc>
                <w:tcPr>
                  <w:tcW w:w="547" w:type="dxa"/>
                </w:tcPr>
                <w:p w14:paraId="56EEC591" w14:textId="6666118B" w:rsidR="00864882" w:rsidRPr="003A3374" w:rsidRDefault="00AD6FF0" w:rsidP="006D2966">
                  <w:pPr>
                    <w:pStyle w:val="TableText0"/>
                    <w:cnfStyle w:val="000000000000" w:firstRow="0" w:lastRow="0" w:firstColumn="0" w:lastColumn="0" w:oddVBand="0" w:evenVBand="0" w:oddHBand="0" w:evenHBand="0" w:firstRowFirstColumn="0" w:firstRowLastColumn="0" w:lastRowFirstColumn="0" w:lastRowLastColumn="0"/>
                  </w:pPr>
                  <w:r w:rsidRPr="003A3374">
                    <w:t>-</w:t>
                  </w:r>
                </w:p>
              </w:tc>
              <w:tc>
                <w:tcPr>
                  <w:tcW w:w="542" w:type="dxa"/>
                </w:tcPr>
                <w:p w14:paraId="211E3D7E" w14:textId="6A9FECF3" w:rsidR="00864882" w:rsidRPr="003A3374" w:rsidRDefault="00AD6FF0" w:rsidP="006D2966">
                  <w:pPr>
                    <w:pStyle w:val="TableText0"/>
                    <w:cnfStyle w:val="000000000000" w:firstRow="0" w:lastRow="0" w:firstColumn="0" w:lastColumn="0" w:oddVBand="0" w:evenVBand="0" w:oddHBand="0" w:evenHBand="0" w:firstRowFirstColumn="0" w:firstRowLastColumn="0" w:lastRowFirstColumn="0" w:lastRowLastColumn="0"/>
                  </w:pPr>
                  <w:r w:rsidRPr="003A3374">
                    <w:t>-</w:t>
                  </w:r>
                </w:p>
              </w:tc>
              <w:tc>
                <w:tcPr>
                  <w:tcW w:w="542" w:type="dxa"/>
                </w:tcPr>
                <w:p w14:paraId="2029E13E" w14:textId="2AC9BA54" w:rsidR="00864882" w:rsidRPr="003A3374" w:rsidRDefault="00AD6FF0" w:rsidP="006D2966">
                  <w:pPr>
                    <w:pStyle w:val="TableText0"/>
                    <w:cnfStyle w:val="000000000000" w:firstRow="0" w:lastRow="0" w:firstColumn="0" w:lastColumn="0" w:oddVBand="0" w:evenVBand="0" w:oddHBand="0" w:evenHBand="0" w:firstRowFirstColumn="0" w:firstRowLastColumn="0" w:lastRowFirstColumn="0" w:lastRowLastColumn="0"/>
                  </w:pPr>
                  <w:r w:rsidRPr="003A3374">
                    <w:t>-</w:t>
                  </w:r>
                </w:p>
              </w:tc>
              <w:tc>
                <w:tcPr>
                  <w:tcW w:w="542" w:type="dxa"/>
                </w:tcPr>
                <w:p w14:paraId="01B2D288" w14:textId="03DE8F11" w:rsidR="00864882" w:rsidRPr="003A3374" w:rsidRDefault="00AD6FF0" w:rsidP="006D2966">
                  <w:pPr>
                    <w:pStyle w:val="TableText0"/>
                    <w:cnfStyle w:val="000000000000" w:firstRow="0" w:lastRow="0" w:firstColumn="0" w:lastColumn="0" w:oddVBand="0" w:evenVBand="0" w:oddHBand="0" w:evenHBand="0" w:firstRowFirstColumn="0" w:firstRowLastColumn="0" w:lastRowFirstColumn="0" w:lastRowLastColumn="0"/>
                  </w:pPr>
                  <w:r w:rsidRPr="003A3374">
                    <w:t>-</w:t>
                  </w:r>
                </w:p>
              </w:tc>
              <w:tc>
                <w:tcPr>
                  <w:tcW w:w="542" w:type="dxa"/>
                </w:tcPr>
                <w:p w14:paraId="44435810" w14:textId="3C750CB0" w:rsidR="00864882" w:rsidRPr="003A3374" w:rsidRDefault="00AD6FF0" w:rsidP="006D2966">
                  <w:pPr>
                    <w:pStyle w:val="TableText0"/>
                    <w:cnfStyle w:val="000000000000" w:firstRow="0" w:lastRow="0" w:firstColumn="0" w:lastColumn="0" w:oddVBand="0" w:evenVBand="0" w:oddHBand="0" w:evenHBand="0" w:firstRowFirstColumn="0" w:firstRowLastColumn="0" w:lastRowFirstColumn="0" w:lastRowLastColumn="0"/>
                  </w:pPr>
                  <w:r w:rsidRPr="003A3374">
                    <w:t>-</w:t>
                  </w:r>
                </w:p>
              </w:tc>
              <w:tc>
                <w:tcPr>
                  <w:tcW w:w="543" w:type="dxa"/>
                </w:tcPr>
                <w:p w14:paraId="6696418B" w14:textId="1E3BA0A5" w:rsidR="00864882" w:rsidRPr="003A3374" w:rsidRDefault="00AD6FF0" w:rsidP="006D2966">
                  <w:pPr>
                    <w:pStyle w:val="TableText0"/>
                    <w:cnfStyle w:val="000000000000" w:firstRow="0" w:lastRow="0" w:firstColumn="0" w:lastColumn="0" w:oddVBand="0" w:evenVBand="0" w:oddHBand="0" w:evenHBand="0" w:firstRowFirstColumn="0" w:firstRowLastColumn="0" w:lastRowFirstColumn="0" w:lastRowLastColumn="0"/>
                  </w:pPr>
                  <w:r w:rsidRPr="003A3374">
                    <w:t>-</w:t>
                  </w:r>
                </w:p>
              </w:tc>
            </w:tr>
            <w:tr w:rsidR="00864882" w:rsidRPr="003A3374" w14:paraId="0B8F207B" w14:textId="77777777" w:rsidTr="00987366">
              <w:tc>
                <w:tcPr>
                  <w:cnfStyle w:val="001000000000" w:firstRow="0" w:lastRow="0" w:firstColumn="1" w:lastColumn="0" w:oddVBand="0" w:evenVBand="0" w:oddHBand="0" w:evenHBand="0" w:firstRowFirstColumn="0" w:firstRowLastColumn="0" w:lastRowFirstColumn="0" w:lastRowLastColumn="0"/>
                  <w:tcW w:w="1626" w:type="dxa"/>
                </w:tcPr>
                <w:p w14:paraId="71369BDB" w14:textId="7298C5F6" w:rsidR="00864882" w:rsidRPr="003A3374" w:rsidRDefault="00987366" w:rsidP="006D2966">
                  <w:pPr>
                    <w:pStyle w:val="TableText0"/>
                  </w:pPr>
                  <w:r w:rsidRPr="003A3374">
                    <w:t>Fever-Tree</w:t>
                  </w:r>
                </w:p>
              </w:tc>
              <w:tc>
                <w:tcPr>
                  <w:tcW w:w="760" w:type="dxa"/>
                </w:tcPr>
                <w:p w14:paraId="5706210F" w14:textId="1F104435" w:rsidR="00864882" w:rsidRPr="003A3374" w:rsidRDefault="00987366" w:rsidP="006D2966">
                  <w:pPr>
                    <w:pStyle w:val="TableText0"/>
                    <w:jc w:val="left"/>
                    <w:cnfStyle w:val="000000000000" w:firstRow="0" w:lastRow="0" w:firstColumn="0" w:lastColumn="0" w:oddVBand="0" w:evenVBand="0" w:oddHBand="0" w:evenHBand="0" w:firstRowFirstColumn="0" w:firstRowLastColumn="0" w:lastRowFirstColumn="0" w:lastRowLastColumn="0"/>
                  </w:pPr>
                  <w:r w:rsidRPr="003A3374">
                    <w:t>Sell</w:t>
                  </w:r>
                </w:p>
              </w:tc>
              <w:tc>
                <w:tcPr>
                  <w:tcW w:w="746" w:type="dxa"/>
                </w:tcPr>
                <w:p w14:paraId="212F2A12" w14:textId="23A6735C"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773p</w:t>
                  </w:r>
                </w:p>
              </w:tc>
              <w:tc>
                <w:tcPr>
                  <w:tcW w:w="542" w:type="dxa"/>
                </w:tcPr>
                <w:p w14:paraId="296DC46A" w14:textId="1065F960"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33.8</w:t>
                  </w:r>
                </w:p>
              </w:tc>
              <w:tc>
                <w:tcPr>
                  <w:tcW w:w="542" w:type="dxa"/>
                </w:tcPr>
                <w:p w14:paraId="7314E21C" w14:textId="6ACCD9D6"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31.5</w:t>
                  </w:r>
                </w:p>
              </w:tc>
              <w:tc>
                <w:tcPr>
                  <w:tcW w:w="542" w:type="dxa"/>
                </w:tcPr>
                <w:p w14:paraId="03333094" w14:textId="27CB92FA"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27.0</w:t>
                  </w:r>
                </w:p>
              </w:tc>
              <w:tc>
                <w:tcPr>
                  <w:tcW w:w="542" w:type="dxa"/>
                </w:tcPr>
                <w:p w14:paraId="5DDB6086" w14:textId="6A9C8632"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2.3%</w:t>
                  </w:r>
                </w:p>
              </w:tc>
              <w:tc>
                <w:tcPr>
                  <w:tcW w:w="542" w:type="dxa"/>
                </w:tcPr>
                <w:p w14:paraId="4412EED1" w14:textId="3787612E"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2.5%</w:t>
                  </w:r>
                </w:p>
              </w:tc>
              <w:tc>
                <w:tcPr>
                  <w:tcW w:w="537" w:type="dxa"/>
                </w:tcPr>
                <w:p w14:paraId="25609541" w14:textId="46CF6B68"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2.8%</w:t>
                  </w:r>
                </w:p>
              </w:tc>
              <w:tc>
                <w:tcPr>
                  <w:tcW w:w="547" w:type="dxa"/>
                </w:tcPr>
                <w:p w14:paraId="054AA37A" w14:textId="3F81BC44"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4.4%</w:t>
                  </w:r>
                </w:p>
              </w:tc>
              <w:tc>
                <w:tcPr>
                  <w:tcW w:w="542" w:type="dxa"/>
                </w:tcPr>
                <w:p w14:paraId="1B6E3007" w14:textId="47377D92"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4.1%</w:t>
                  </w:r>
                </w:p>
              </w:tc>
              <w:tc>
                <w:tcPr>
                  <w:tcW w:w="542" w:type="dxa"/>
                </w:tcPr>
                <w:p w14:paraId="6D353290" w14:textId="46335E87"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4.6%</w:t>
                  </w:r>
                </w:p>
              </w:tc>
              <w:tc>
                <w:tcPr>
                  <w:tcW w:w="542" w:type="dxa"/>
                </w:tcPr>
                <w:p w14:paraId="2CE1BD18" w14:textId="0AFFCC1F"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24.2</w:t>
                  </w:r>
                </w:p>
              </w:tc>
              <w:tc>
                <w:tcPr>
                  <w:tcW w:w="542" w:type="dxa"/>
                </w:tcPr>
                <w:p w14:paraId="6B200214" w14:textId="3751E1CB"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22.5</w:t>
                  </w:r>
                </w:p>
              </w:tc>
              <w:tc>
                <w:tcPr>
                  <w:tcW w:w="543" w:type="dxa"/>
                </w:tcPr>
                <w:p w14:paraId="45FCBA98" w14:textId="275D87B8"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18.8</w:t>
                  </w:r>
                </w:p>
              </w:tc>
            </w:tr>
            <w:tr w:rsidR="00864882" w:rsidRPr="003A3374" w14:paraId="2D13BEF0" w14:textId="77777777" w:rsidTr="006D2966">
              <w:tc>
                <w:tcPr>
                  <w:cnfStyle w:val="001000000000" w:firstRow="0" w:lastRow="0" w:firstColumn="1" w:lastColumn="0" w:oddVBand="0" w:evenVBand="0" w:oddHBand="0" w:evenHBand="0" w:firstRowFirstColumn="0" w:firstRowLastColumn="0" w:lastRowFirstColumn="0" w:lastRowLastColumn="0"/>
                  <w:tcW w:w="1626" w:type="dxa"/>
                </w:tcPr>
                <w:p w14:paraId="0CDDB833" w14:textId="22D0B619" w:rsidR="00864882" w:rsidRPr="003A3374" w:rsidRDefault="00987366" w:rsidP="006D2966">
                  <w:pPr>
                    <w:pStyle w:val="TableText0"/>
                  </w:pPr>
                  <w:r w:rsidRPr="003A3374">
                    <w:t>Monster Beverages</w:t>
                  </w:r>
                </w:p>
              </w:tc>
              <w:tc>
                <w:tcPr>
                  <w:tcW w:w="760" w:type="dxa"/>
                </w:tcPr>
                <w:p w14:paraId="30F021C5" w14:textId="1B7D5EFF" w:rsidR="00864882" w:rsidRPr="003A3374" w:rsidRDefault="00987366" w:rsidP="006D2966">
                  <w:pPr>
                    <w:pStyle w:val="TableText0"/>
                    <w:jc w:val="left"/>
                    <w:cnfStyle w:val="000000000000" w:firstRow="0" w:lastRow="0" w:firstColumn="0" w:lastColumn="0" w:oddVBand="0" w:evenVBand="0" w:oddHBand="0" w:evenHBand="0" w:firstRowFirstColumn="0" w:firstRowLastColumn="0" w:lastRowFirstColumn="0" w:lastRowLastColumn="0"/>
                  </w:pPr>
                  <w:r w:rsidRPr="003A3374">
                    <w:t>Neutral</w:t>
                  </w:r>
                </w:p>
              </w:tc>
              <w:tc>
                <w:tcPr>
                  <w:tcW w:w="746" w:type="dxa"/>
                </w:tcPr>
                <w:p w14:paraId="074C409C" w14:textId="549092A2"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$63.0</w:t>
                  </w:r>
                </w:p>
              </w:tc>
              <w:tc>
                <w:tcPr>
                  <w:tcW w:w="542" w:type="dxa"/>
                </w:tcPr>
                <w:p w14:paraId="13576370" w14:textId="0A5D1237"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32.6</w:t>
                  </w:r>
                </w:p>
              </w:tc>
              <w:tc>
                <w:tcPr>
                  <w:tcW w:w="542" w:type="dxa"/>
                </w:tcPr>
                <w:p w14:paraId="1A8E6D19" w14:textId="57FC2539"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29.5</w:t>
                  </w:r>
                </w:p>
              </w:tc>
              <w:tc>
                <w:tcPr>
                  <w:tcW w:w="542" w:type="dxa"/>
                </w:tcPr>
                <w:p w14:paraId="64FC0E67" w14:textId="76C12540"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27.1</w:t>
                  </w:r>
                </w:p>
              </w:tc>
              <w:tc>
                <w:tcPr>
                  <w:tcW w:w="542" w:type="dxa"/>
                </w:tcPr>
                <w:p w14:paraId="34C179B5" w14:textId="3E609421"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0.0%</w:t>
                  </w:r>
                </w:p>
              </w:tc>
              <w:tc>
                <w:tcPr>
                  <w:tcW w:w="542" w:type="dxa"/>
                </w:tcPr>
                <w:p w14:paraId="7D66EAFE" w14:textId="46483BEC"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0.0%</w:t>
                  </w:r>
                </w:p>
              </w:tc>
              <w:tc>
                <w:tcPr>
                  <w:tcW w:w="537" w:type="dxa"/>
                </w:tcPr>
                <w:p w14:paraId="70521518" w14:textId="2BDC7E27"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0.0%</w:t>
                  </w:r>
                </w:p>
              </w:tc>
              <w:tc>
                <w:tcPr>
                  <w:tcW w:w="547" w:type="dxa"/>
                </w:tcPr>
                <w:p w14:paraId="18003F9E" w14:textId="6FF8F276"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3.0%</w:t>
                  </w:r>
                </w:p>
              </w:tc>
              <w:tc>
                <w:tcPr>
                  <w:tcW w:w="542" w:type="dxa"/>
                </w:tcPr>
                <w:p w14:paraId="5C955AA7" w14:textId="424727A4"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3.2%</w:t>
                  </w:r>
                </w:p>
              </w:tc>
              <w:tc>
                <w:tcPr>
                  <w:tcW w:w="542" w:type="dxa"/>
                </w:tcPr>
                <w:p w14:paraId="68C392BB" w14:textId="2DF9D029"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3.5%</w:t>
                  </w:r>
                </w:p>
              </w:tc>
              <w:tc>
                <w:tcPr>
                  <w:tcW w:w="542" w:type="dxa"/>
                </w:tcPr>
                <w:p w14:paraId="31E0F683" w14:textId="78190F41"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24.5</w:t>
                  </w:r>
                </w:p>
              </w:tc>
              <w:tc>
                <w:tcPr>
                  <w:tcW w:w="542" w:type="dxa"/>
                </w:tcPr>
                <w:p w14:paraId="1E5DCC9E" w14:textId="4D3FCAA3"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22.4</w:t>
                  </w:r>
                </w:p>
              </w:tc>
              <w:tc>
                <w:tcPr>
                  <w:tcW w:w="543" w:type="dxa"/>
                </w:tcPr>
                <w:p w14:paraId="0F7F98C0" w14:textId="7777B771"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20.4</w:t>
                  </w:r>
                </w:p>
              </w:tc>
            </w:tr>
            <w:tr w:rsidR="00864882" w:rsidRPr="003A3374" w14:paraId="4A99A42E" w14:textId="77777777" w:rsidTr="006D2966">
              <w:tc>
                <w:tcPr>
                  <w:cnfStyle w:val="001000000000" w:firstRow="0" w:lastRow="0" w:firstColumn="1" w:lastColumn="0" w:oddVBand="0" w:evenVBand="0" w:oddHBand="0" w:evenHBand="0" w:firstRowFirstColumn="0" w:firstRowLastColumn="0" w:lastRowFirstColumn="0" w:lastRowLastColumn="0"/>
                  <w:tcW w:w="1626" w:type="dxa"/>
                </w:tcPr>
                <w:p w14:paraId="6990D813" w14:textId="1D595F12" w:rsidR="00864882" w:rsidRPr="003A3374" w:rsidRDefault="00987366" w:rsidP="006D2966">
                  <w:pPr>
                    <w:pStyle w:val="TableText0"/>
                    <w:rPr>
                      <w:b/>
                      <w:bCs/>
                    </w:rPr>
                  </w:pPr>
                  <w:r w:rsidRPr="003A3374">
                    <w:t>PepsiCo</w:t>
                  </w:r>
                </w:p>
              </w:tc>
              <w:tc>
                <w:tcPr>
                  <w:tcW w:w="760" w:type="dxa"/>
                </w:tcPr>
                <w:p w14:paraId="74BE3767" w14:textId="234B4B45" w:rsidR="00864882" w:rsidRPr="003A3374" w:rsidRDefault="00987366" w:rsidP="006D2966">
                  <w:pPr>
                    <w:pStyle w:val="TableText0"/>
                    <w:jc w:val="left"/>
                    <w:cnfStyle w:val="000000000000" w:firstRow="0" w:lastRow="0" w:firstColumn="0" w:lastColumn="0" w:oddVBand="0" w:evenVBand="0" w:oddHBand="0" w:evenHBand="0" w:firstRowFirstColumn="0" w:firstRowLastColumn="0" w:lastRowFirstColumn="0" w:lastRowLastColumn="0"/>
                  </w:pPr>
                  <w:r w:rsidRPr="003A3374">
                    <w:t>Sell</w:t>
                  </w:r>
                </w:p>
              </w:tc>
              <w:tc>
                <w:tcPr>
                  <w:tcW w:w="746" w:type="dxa"/>
                </w:tcPr>
                <w:p w14:paraId="406056D7" w14:textId="219E3278"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$147.1</w:t>
                  </w:r>
                </w:p>
              </w:tc>
              <w:tc>
                <w:tcPr>
                  <w:tcW w:w="542" w:type="dxa"/>
                </w:tcPr>
                <w:p w14:paraId="4AF049A6" w14:textId="04031A0C"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19.3</w:t>
                  </w:r>
                </w:p>
              </w:tc>
              <w:tc>
                <w:tcPr>
                  <w:tcW w:w="542" w:type="dxa"/>
                </w:tcPr>
                <w:p w14:paraId="7F465372" w14:textId="6D7F09D1"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18.0</w:t>
                  </w:r>
                </w:p>
              </w:tc>
              <w:tc>
                <w:tcPr>
                  <w:tcW w:w="542" w:type="dxa"/>
                </w:tcPr>
                <w:p w14:paraId="47FC3D11" w14:textId="04E91F20"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16.9</w:t>
                  </w:r>
                </w:p>
              </w:tc>
              <w:tc>
                <w:tcPr>
                  <w:tcW w:w="542" w:type="dxa"/>
                </w:tcPr>
                <w:p w14:paraId="32BF8A5F" w14:textId="20EA545A"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3.7%</w:t>
                  </w:r>
                </w:p>
              </w:tc>
              <w:tc>
                <w:tcPr>
                  <w:tcW w:w="542" w:type="dxa"/>
                </w:tcPr>
                <w:p w14:paraId="792C2624" w14:textId="5E9960E8"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3.7%</w:t>
                  </w:r>
                </w:p>
              </w:tc>
              <w:tc>
                <w:tcPr>
                  <w:tcW w:w="537" w:type="dxa"/>
                </w:tcPr>
                <w:p w14:paraId="2DC025CB" w14:textId="33D5869E"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3.9%</w:t>
                  </w:r>
                </w:p>
              </w:tc>
              <w:tc>
                <w:tcPr>
                  <w:tcW w:w="547" w:type="dxa"/>
                </w:tcPr>
                <w:p w14:paraId="3F76BA2F" w14:textId="333B7F5E"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4.1%</w:t>
                  </w:r>
                </w:p>
              </w:tc>
              <w:tc>
                <w:tcPr>
                  <w:tcW w:w="542" w:type="dxa"/>
                </w:tcPr>
                <w:p w14:paraId="48D163F5" w14:textId="5B624068"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4.6%</w:t>
                  </w:r>
                </w:p>
              </w:tc>
              <w:tc>
                <w:tcPr>
                  <w:tcW w:w="542" w:type="dxa"/>
                </w:tcPr>
                <w:p w14:paraId="23F48167" w14:textId="3A50CAA7"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5.3%</w:t>
                  </w:r>
                </w:p>
              </w:tc>
              <w:tc>
                <w:tcPr>
                  <w:tcW w:w="542" w:type="dxa"/>
                </w:tcPr>
                <w:p w14:paraId="76150642" w14:textId="3B79C97C"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16.5</w:t>
                  </w:r>
                </w:p>
              </w:tc>
              <w:tc>
                <w:tcPr>
                  <w:tcW w:w="542" w:type="dxa"/>
                </w:tcPr>
                <w:p w14:paraId="1F9E1ADF" w14:textId="33BAD416"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15.5</w:t>
                  </w:r>
                </w:p>
              </w:tc>
              <w:tc>
                <w:tcPr>
                  <w:tcW w:w="543" w:type="dxa"/>
                </w:tcPr>
                <w:p w14:paraId="0F79B176" w14:textId="0AAEC53B"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14.7</w:t>
                  </w:r>
                </w:p>
              </w:tc>
            </w:tr>
            <w:tr w:rsidR="00864882" w:rsidRPr="003A3374" w14:paraId="35583832" w14:textId="77777777" w:rsidTr="00987366">
              <w:tc>
                <w:tcPr>
                  <w:cnfStyle w:val="001000000000" w:firstRow="0" w:lastRow="0" w:firstColumn="1" w:lastColumn="0" w:oddVBand="0" w:evenVBand="0" w:oddHBand="0" w:evenHBand="0" w:firstRowFirstColumn="0" w:firstRowLastColumn="0" w:lastRowFirstColumn="0" w:lastRowLastColumn="0"/>
                  <w:tcW w:w="1626" w:type="dxa"/>
                </w:tcPr>
                <w:p w14:paraId="033C47EA" w14:textId="0B593D9D" w:rsidR="00864882" w:rsidRPr="003A3374" w:rsidRDefault="00987366" w:rsidP="006D2966">
                  <w:pPr>
                    <w:pStyle w:val="TableText0"/>
                    <w:rPr>
                      <w:b/>
                      <w:bCs/>
                    </w:rPr>
                  </w:pPr>
                  <w:r w:rsidRPr="003A3374">
                    <w:t>The Coca-Cola Co.</w:t>
                  </w:r>
                </w:p>
              </w:tc>
              <w:tc>
                <w:tcPr>
                  <w:tcW w:w="760" w:type="dxa"/>
                </w:tcPr>
                <w:p w14:paraId="3A9F8F42" w14:textId="23B504A5" w:rsidR="00864882" w:rsidRPr="003A3374" w:rsidRDefault="00987366" w:rsidP="006D2966">
                  <w:pPr>
                    <w:pStyle w:val="TableText0"/>
                    <w:jc w:val="left"/>
                    <w:cnfStyle w:val="000000000000" w:firstRow="0" w:lastRow="0" w:firstColumn="0" w:lastColumn="0" w:oddVBand="0" w:evenVBand="0" w:oddHBand="0" w:evenHBand="0" w:firstRowFirstColumn="0" w:firstRowLastColumn="0" w:lastRowFirstColumn="0" w:lastRowLastColumn="0"/>
                  </w:pPr>
                  <w:r w:rsidRPr="003A3374">
                    <w:t>Buy</w:t>
                  </w:r>
                </w:p>
              </w:tc>
              <w:tc>
                <w:tcPr>
                  <w:tcW w:w="746" w:type="dxa"/>
                </w:tcPr>
                <w:p w14:paraId="1647BA1D" w14:textId="342D5B89"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$71.1</w:t>
                  </w:r>
                </w:p>
              </w:tc>
              <w:tc>
                <w:tcPr>
                  <w:tcW w:w="542" w:type="dxa"/>
                </w:tcPr>
                <w:p w14:paraId="58BB9A90" w14:textId="44505884"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23.7</w:t>
                  </w:r>
                </w:p>
              </w:tc>
              <w:tc>
                <w:tcPr>
                  <w:tcW w:w="542" w:type="dxa"/>
                </w:tcPr>
                <w:p w14:paraId="302570B6" w14:textId="68F61E0E"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22.2</w:t>
                  </w:r>
                </w:p>
              </w:tc>
              <w:tc>
                <w:tcPr>
                  <w:tcW w:w="542" w:type="dxa"/>
                </w:tcPr>
                <w:p w14:paraId="2761CD43" w14:textId="2AB3A251"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20.8</w:t>
                  </w:r>
                </w:p>
              </w:tc>
              <w:tc>
                <w:tcPr>
                  <w:tcW w:w="542" w:type="dxa"/>
                </w:tcPr>
                <w:p w14:paraId="6E0C4054" w14:textId="2BC1E45C"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2.9%</w:t>
                  </w:r>
                </w:p>
              </w:tc>
              <w:tc>
                <w:tcPr>
                  <w:tcW w:w="542" w:type="dxa"/>
                </w:tcPr>
                <w:p w14:paraId="670CD12C" w14:textId="034FA4FC"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3.0%</w:t>
                  </w:r>
                </w:p>
              </w:tc>
              <w:tc>
                <w:tcPr>
                  <w:tcW w:w="537" w:type="dxa"/>
                </w:tcPr>
                <w:p w14:paraId="71C16C28" w14:textId="394D1203"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3.2%</w:t>
                  </w:r>
                </w:p>
              </w:tc>
              <w:tc>
                <w:tcPr>
                  <w:tcW w:w="547" w:type="dxa"/>
                </w:tcPr>
                <w:p w14:paraId="245F3F4E" w14:textId="3AF1D06F"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0.9%</w:t>
                  </w:r>
                </w:p>
              </w:tc>
              <w:tc>
                <w:tcPr>
                  <w:tcW w:w="542" w:type="dxa"/>
                </w:tcPr>
                <w:p w14:paraId="750C6814" w14:textId="5338DD75"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3.6%</w:t>
                  </w:r>
                </w:p>
              </w:tc>
              <w:tc>
                <w:tcPr>
                  <w:tcW w:w="542" w:type="dxa"/>
                </w:tcPr>
                <w:p w14:paraId="7801B1D0" w14:textId="2C0B5153"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4.2%</w:t>
                  </w:r>
                </w:p>
              </w:tc>
              <w:tc>
                <w:tcPr>
                  <w:tcW w:w="542" w:type="dxa"/>
                </w:tcPr>
                <w:p w14:paraId="740F5DCA" w14:textId="1204EA2A"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18.7</w:t>
                  </w:r>
                </w:p>
              </w:tc>
              <w:tc>
                <w:tcPr>
                  <w:tcW w:w="542" w:type="dxa"/>
                </w:tcPr>
                <w:p w14:paraId="0C8DF783" w14:textId="221B7E8B"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17.4</w:t>
                  </w:r>
                </w:p>
              </w:tc>
              <w:tc>
                <w:tcPr>
                  <w:tcW w:w="543" w:type="dxa"/>
                </w:tcPr>
                <w:p w14:paraId="3D5D0A12" w14:textId="0B1C408C"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pPr>
                  <w:r w:rsidRPr="003A3374">
                    <w:t>16.2</w:t>
                  </w:r>
                </w:p>
              </w:tc>
            </w:tr>
            <w:tr w:rsidR="00864882" w:rsidRPr="003A3374" w14:paraId="123E8EF9" w14:textId="77777777" w:rsidTr="00987366">
              <w:tc>
                <w:tcPr>
                  <w:cnfStyle w:val="001000000000" w:firstRow="0" w:lastRow="0" w:firstColumn="1" w:lastColumn="0" w:oddVBand="0" w:evenVBand="0" w:oddHBand="0" w:evenHBand="0" w:firstRowFirstColumn="0" w:firstRowLastColumn="0" w:lastRowFirstColumn="0" w:lastRowLastColumn="0"/>
                  <w:tcW w:w="1626" w:type="dxa"/>
                  <w:shd w:val="clear" w:color="auto" w:fill="E6E3DF" w:themeFill="accent4"/>
                </w:tcPr>
                <w:p w14:paraId="14709FF9" w14:textId="4C783551" w:rsidR="00864882" w:rsidRPr="003A3374" w:rsidRDefault="00987366" w:rsidP="006D2966">
                  <w:pPr>
                    <w:pStyle w:val="TableText0"/>
                    <w:rPr>
                      <w:b/>
                      <w:bCs/>
                    </w:rPr>
                  </w:pPr>
                  <w:r w:rsidRPr="003A3374">
                    <w:rPr>
                      <w:b/>
                      <w:bCs/>
                    </w:rPr>
                    <w:t>Soft drinks</w:t>
                  </w:r>
                </w:p>
              </w:tc>
              <w:tc>
                <w:tcPr>
                  <w:tcW w:w="760" w:type="dxa"/>
                  <w:shd w:val="clear" w:color="auto" w:fill="E6E3DF" w:themeFill="accent4"/>
                </w:tcPr>
                <w:p w14:paraId="3FB5C3B6" w14:textId="7B55D824" w:rsidR="00864882" w:rsidRPr="003A3374" w:rsidRDefault="00864882" w:rsidP="006D2966">
                  <w:pPr>
                    <w:pStyle w:val="TableText0"/>
                    <w:jc w:val="left"/>
                    <w:cnfStyle w:val="000000000000" w:firstRow="0" w:lastRow="0" w:firstColumn="0" w:lastColumn="0" w:oddVBand="0" w:evenVBand="0" w:oddHBand="0" w:evenHBand="0" w:firstRowFirstColumn="0" w:firstRowLastColumn="0" w:lastRowFirstColumn="0" w:lastRowLastColumn="0"/>
                    <w:rPr>
                      <w:b/>
                      <w:bCs/>
                    </w:rPr>
                  </w:pPr>
                </w:p>
              </w:tc>
              <w:tc>
                <w:tcPr>
                  <w:tcW w:w="746" w:type="dxa"/>
                  <w:shd w:val="clear" w:color="auto" w:fill="E6E3DF" w:themeFill="accent4"/>
                </w:tcPr>
                <w:p w14:paraId="3B21F60F" w14:textId="2751CD9F"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542" w:type="dxa"/>
                  <w:shd w:val="clear" w:color="auto" w:fill="E6E3DF" w:themeFill="accent4"/>
                </w:tcPr>
                <w:p w14:paraId="20E9683B" w14:textId="7D836523"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22.7</w:t>
                  </w:r>
                </w:p>
              </w:tc>
              <w:tc>
                <w:tcPr>
                  <w:tcW w:w="542" w:type="dxa"/>
                  <w:shd w:val="clear" w:color="auto" w:fill="E6E3DF" w:themeFill="accent4"/>
                </w:tcPr>
                <w:p w14:paraId="35505D8D" w14:textId="107D6827"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20.8</w:t>
                  </w:r>
                </w:p>
              </w:tc>
              <w:tc>
                <w:tcPr>
                  <w:tcW w:w="542" w:type="dxa"/>
                  <w:shd w:val="clear" w:color="auto" w:fill="E6E3DF" w:themeFill="accent4"/>
                </w:tcPr>
                <w:p w14:paraId="6721B3F3" w14:textId="500AE666"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19.1</w:t>
                  </w:r>
                </w:p>
              </w:tc>
              <w:tc>
                <w:tcPr>
                  <w:tcW w:w="542" w:type="dxa"/>
                  <w:shd w:val="clear" w:color="auto" w:fill="E6E3DF" w:themeFill="accent4"/>
                </w:tcPr>
                <w:p w14:paraId="1301674B" w14:textId="223FD6CD"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2.5%</w:t>
                  </w:r>
                </w:p>
              </w:tc>
              <w:tc>
                <w:tcPr>
                  <w:tcW w:w="542" w:type="dxa"/>
                  <w:shd w:val="clear" w:color="auto" w:fill="E6E3DF" w:themeFill="accent4"/>
                </w:tcPr>
                <w:p w14:paraId="37E45EF2" w14:textId="1EDB9413"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2.6%</w:t>
                  </w:r>
                </w:p>
              </w:tc>
              <w:tc>
                <w:tcPr>
                  <w:tcW w:w="537" w:type="dxa"/>
                  <w:shd w:val="clear" w:color="auto" w:fill="E6E3DF" w:themeFill="accent4"/>
                </w:tcPr>
                <w:p w14:paraId="4F1B3451" w14:textId="054D9BB6"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2.8%</w:t>
                  </w:r>
                </w:p>
              </w:tc>
              <w:tc>
                <w:tcPr>
                  <w:tcW w:w="547" w:type="dxa"/>
                  <w:shd w:val="clear" w:color="auto" w:fill="E6E3DF" w:themeFill="accent4"/>
                </w:tcPr>
                <w:p w14:paraId="61B2EF6D" w14:textId="00B7EF82"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4.1%</w:t>
                  </w:r>
                </w:p>
              </w:tc>
              <w:tc>
                <w:tcPr>
                  <w:tcW w:w="542" w:type="dxa"/>
                  <w:shd w:val="clear" w:color="auto" w:fill="E6E3DF" w:themeFill="accent4"/>
                </w:tcPr>
                <w:p w14:paraId="289806EF" w14:textId="6A44FFA8"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4.8%</w:t>
                  </w:r>
                </w:p>
              </w:tc>
              <w:tc>
                <w:tcPr>
                  <w:tcW w:w="542" w:type="dxa"/>
                  <w:shd w:val="clear" w:color="auto" w:fill="E6E3DF" w:themeFill="accent4"/>
                </w:tcPr>
                <w:p w14:paraId="6B4ECC99" w14:textId="40137D68"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5.4%</w:t>
                  </w:r>
                </w:p>
              </w:tc>
              <w:tc>
                <w:tcPr>
                  <w:tcW w:w="542" w:type="dxa"/>
                  <w:shd w:val="clear" w:color="auto" w:fill="E6E3DF" w:themeFill="accent4"/>
                </w:tcPr>
                <w:p w14:paraId="490BF840" w14:textId="230797BF"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17.6</w:t>
                  </w:r>
                </w:p>
              </w:tc>
              <w:tc>
                <w:tcPr>
                  <w:tcW w:w="542" w:type="dxa"/>
                  <w:shd w:val="clear" w:color="auto" w:fill="E6E3DF" w:themeFill="accent4"/>
                </w:tcPr>
                <w:p w14:paraId="6B3F9407" w14:textId="614E77A0"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16.1</w:t>
                  </w:r>
                </w:p>
              </w:tc>
              <w:tc>
                <w:tcPr>
                  <w:tcW w:w="543" w:type="dxa"/>
                  <w:shd w:val="clear" w:color="auto" w:fill="E6E3DF" w:themeFill="accent4"/>
                </w:tcPr>
                <w:p w14:paraId="011EB626" w14:textId="0FC4C417"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14.6</w:t>
                  </w:r>
                </w:p>
              </w:tc>
            </w:tr>
            <w:tr w:rsidR="00864882" w:rsidRPr="003A3374" w14:paraId="0AE19CFC" w14:textId="77777777" w:rsidTr="006D2966">
              <w:tc>
                <w:tcPr>
                  <w:cnfStyle w:val="001000000000" w:firstRow="0" w:lastRow="0" w:firstColumn="1" w:lastColumn="0" w:oddVBand="0" w:evenVBand="0" w:oddHBand="0" w:evenHBand="0" w:firstRowFirstColumn="0" w:firstRowLastColumn="0" w:lastRowFirstColumn="0" w:lastRowLastColumn="0"/>
                  <w:tcW w:w="1626" w:type="dxa"/>
                </w:tcPr>
                <w:p w14:paraId="53295E55" w14:textId="77777777" w:rsidR="00864882" w:rsidRPr="003A3374" w:rsidRDefault="00864882" w:rsidP="006D2966">
                  <w:pPr>
                    <w:pStyle w:val="TableText0"/>
                  </w:pPr>
                </w:p>
              </w:tc>
              <w:tc>
                <w:tcPr>
                  <w:tcW w:w="760" w:type="dxa"/>
                </w:tcPr>
                <w:p w14:paraId="7514CDB9" w14:textId="77777777" w:rsidR="00864882" w:rsidRPr="003A3374" w:rsidRDefault="00864882" w:rsidP="006D2966">
                  <w:pPr>
                    <w:pStyle w:val="TableText0"/>
                    <w:jc w:val="left"/>
                    <w:cnfStyle w:val="000000000000" w:firstRow="0" w:lastRow="0" w:firstColumn="0" w:lastColumn="0" w:oddVBand="0" w:evenVBand="0" w:oddHBand="0" w:evenHBand="0" w:firstRowFirstColumn="0" w:firstRowLastColumn="0" w:lastRowFirstColumn="0" w:lastRowLastColumn="0"/>
                  </w:pPr>
                </w:p>
              </w:tc>
              <w:tc>
                <w:tcPr>
                  <w:tcW w:w="746" w:type="dxa"/>
                </w:tcPr>
                <w:p w14:paraId="3A253329"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pPr>
                </w:p>
              </w:tc>
              <w:tc>
                <w:tcPr>
                  <w:tcW w:w="542" w:type="dxa"/>
                </w:tcPr>
                <w:p w14:paraId="40287699"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pPr>
                </w:p>
              </w:tc>
              <w:tc>
                <w:tcPr>
                  <w:tcW w:w="542" w:type="dxa"/>
                </w:tcPr>
                <w:p w14:paraId="6B5AA917"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pPr>
                </w:p>
              </w:tc>
              <w:tc>
                <w:tcPr>
                  <w:tcW w:w="542" w:type="dxa"/>
                </w:tcPr>
                <w:p w14:paraId="1015CB93"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pPr>
                </w:p>
              </w:tc>
              <w:tc>
                <w:tcPr>
                  <w:tcW w:w="542" w:type="dxa"/>
                </w:tcPr>
                <w:p w14:paraId="2F2F6F64"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pPr>
                </w:p>
              </w:tc>
              <w:tc>
                <w:tcPr>
                  <w:tcW w:w="542" w:type="dxa"/>
                </w:tcPr>
                <w:p w14:paraId="49D11084"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pPr>
                </w:p>
              </w:tc>
              <w:tc>
                <w:tcPr>
                  <w:tcW w:w="537" w:type="dxa"/>
                </w:tcPr>
                <w:p w14:paraId="747372D7"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pPr>
                </w:p>
              </w:tc>
              <w:tc>
                <w:tcPr>
                  <w:tcW w:w="547" w:type="dxa"/>
                </w:tcPr>
                <w:p w14:paraId="0C09889C"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pPr>
                </w:p>
              </w:tc>
              <w:tc>
                <w:tcPr>
                  <w:tcW w:w="542" w:type="dxa"/>
                </w:tcPr>
                <w:p w14:paraId="64CA8EBA"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pPr>
                </w:p>
              </w:tc>
              <w:tc>
                <w:tcPr>
                  <w:tcW w:w="542" w:type="dxa"/>
                </w:tcPr>
                <w:p w14:paraId="49D26F67"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pPr>
                </w:p>
              </w:tc>
              <w:tc>
                <w:tcPr>
                  <w:tcW w:w="542" w:type="dxa"/>
                </w:tcPr>
                <w:p w14:paraId="2908A999"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pPr>
                </w:p>
              </w:tc>
              <w:tc>
                <w:tcPr>
                  <w:tcW w:w="542" w:type="dxa"/>
                </w:tcPr>
                <w:p w14:paraId="4C5F0AA1"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pPr>
                </w:p>
              </w:tc>
              <w:tc>
                <w:tcPr>
                  <w:tcW w:w="543" w:type="dxa"/>
                </w:tcPr>
                <w:p w14:paraId="7527973B"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pPr>
                </w:p>
              </w:tc>
            </w:tr>
            <w:tr w:rsidR="00864882" w:rsidRPr="003A3374" w14:paraId="3C59921B" w14:textId="77777777" w:rsidTr="006D2966">
              <w:tc>
                <w:tcPr>
                  <w:cnfStyle w:val="001000000000" w:firstRow="0" w:lastRow="0" w:firstColumn="1" w:lastColumn="0" w:oddVBand="0" w:evenVBand="0" w:oddHBand="0" w:evenHBand="0" w:firstRowFirstColumn="0" w:firstRowLastColumn="0" w:lastRowFirstColumn="0" w:lastRowLastColumn="0"/>
                  <w:tcW w:w="1626" w:type="dxa"/>
                  <w:shd w:val="clear" w:color="auto" w:fill="EBD9BA"/>
                </w:tcPr>
                <w:p w14:paraId="0C502E6A" w14:textId="77777777" w:rsidR="00864882" w:rsidRPr="003A3374" w:rsidRDefault="00864882" w:rsidP="006D2966">
                  <w:pPr>
                    <w:pStyle w:val="TableText0"/>
                    <w:rPr>
                      <w:b/>
                      <w:bCs/>
                    </w:rPr>
                  </w:pPr>
                  <w:r w:rsidRPr="003A3374">
                    <w:rPr>
                      <w:b/>
                      <w:bCs/>
                    </w:rPr>
                    <w:t>Beverages average</w:t>
                  </w:r>
                </w:p>
              </w:tc>
              <w:tc>
                <w:tcPr>
                  <w:tcW w:w="760" w:type="dxa"/>
                  <w:shd w:val="clear" w:color="auto" w:fill="EBD9BA"/>
                </w:tcPr>
                <w:p w14:paraId="7B115B31" w14:textId="77777777" w:rsidR="00864882" w:rsidRPr="003A3374" w:rsidRDefault="00864882" w:rsidP="006D2966">
                  <w:pPr>
                    <w:pStyle w:val="TableText0"/>
                    <w:jc w:val="left"/>
                    <w:cnfStyle w:val="000000000000" w:firstRow="0" w:lastRow="0" w:firstColumn="0" w:lastColumn="0" w:oddVBand="0" w:evenVBand="0" w:oddHBand="0" w:evenHBand="0" w:firstRowFirstColumn="0" w:firstRowLastColumn="0" w:lastRowFirstColumn="0" w:lastRowLastColumn="0"/>
                  </w:pPr>
                </w:p>
              </w:tc>
              <w:tc>
                <w:tcPr>
                  <w:tcW w:w="746" w:type="dxa"/>
                  <w:shd w:val="clear" w:color="auto" w:fill="EBD9BA"/>
                </w:tcPr>
                <w:p w14:paraId="63E459F7"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pPr>
                </w:p>
              </w:tc>
              <w:tc>
                <w:tcPr>
                  <w:tcW w:w="542" w:type="dxa"/>
                  <w:shd w:val="clear" w:color="auto" w:fill="EBD9BA"/>
                </w:tcPr>
                <w:p w14:paraId="4A5C399D" w14:textId="39A2BC11"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17.6</w:t>
                  </w:r>
                </w:p>
              </w:tc>
              <w:tc>
                <w:tcPr>
                  <w:tcW w:w="542" w:type="dxa"/>
                  <w:shd w:val="clear" w:color="auto" w:fill="EBD9BA"/>
                </w:tcPr>
                <w:p w14:paraId="4F1B108E" w14:textId="60C8A73B"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16.2</w:t>
                  </w:r>
                </w:p>
              </w:tc>
              <w:tc>
                <w:tcPr>
                  <w:tcW w:w="542" w:type="dxa"/>
                  <w:shd w:val="clear" w:color="auto" w:fill="EBD9BA"/>
                </w:tcPr>
                <w:p w14:paraId="5C56ED3A" w14:textId="643CF94A"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14.7</w:t>
                  </w:r>
                </w:p>
              </w:tc>
              <w:tc>
                <w:tcPr>
                  <w:tcW w:w="542" w:type="dxa"/>
                  <w:shd w:val="clear" w:color="auto" w:fill="EBD9BA"/>
                </w:tcPr>
                <w:p w14:paraId="0DD7BB84" w14:textId="01F81BCF"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2.8%</w:t>
                  </w:r>
                </w:p>
              </w:tc>
              <w:tc>
                <w:tcPr>
                  <w:tcW w:w="542" w:type="dxa"/>
                  <w:shd w:val="clear" w:color="auto" w:fill="EBD9BA"/>
                </w:tcPr>
                <w:p w14:paraId="28416A95" w14:textId="56147280"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2.9%</w:t>
                  </w:r>
                </w:p>
              </w:tc>
              <w:tc>
                <w:tcPr>
                  <w:tcW w:w="537" w:type="dxa"/>
                  <w:shd w:val="clear" w:color="auto" w:fill="EBD9BA"/>
                </w:tcPr>
                <w:p w14:paraId="70A28F5F" w14:textId="75D3465E"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3.1%</w:t>
                  </w:r>
                </w:p>
              </w:tc>
              <w:tc>
                <w:tcPr>
                  <w:tcW w:w="547" w:type="dxa"/>
                  <w:shd w:val="clear" w:color="auto" w:fill="EBD9BA"/>
                </w:tcPr>
                <w:p w14:paraId="27632706" w14:textId="2CD44FC3"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5.5%</w:t>
                  </w:r>
                </w:p>
              </w:tc>
              <w:tc>
                <w:tcPr>
                  <w:tcW w:w="542" w:type="dxa"/>
                  <w:shd w:val="clear" w:color="auto" w:fill="EBD9BA"/>
                </w:tcPr>
                <w:p w14:paraId="21DCE03B" w14:textId="185D2A31"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6.5%</w:t>
                  </w:r>
                </w:p>
              </w:tc>
              <w:tc>
                <w:tcPr>
                  <w:tcW w:w="542" w:type="dxa"/>
                  <w:shd w:val="clear" w:color="auto" w:fill="EBD9BA"/>
                </w:tcPr>
                <w:p w14:paraId="3193031D" w14:textId="2951D82A"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7.2%</w:t>
                  </w:r>
                </w:p>
              </w:tc>
              <w:tc>
                <w:tcPr>
                  <w:tcW w:w="542" w:type="dxa"/>
                  <w:shd w:val="clear" w:color="auto" w:fill="EBD9BA"/>
                </w:tcPr>
                <w:p w14:paraId="6FEB348B" w14:textId="4E7FB6C7"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14.2</w:t>
                  </w:r>
                </w:p>
              </w:tc>
              <w:tc>
                <w:tcPr>
                  <w:tcW w:w="542" w:type="dxa"/>
                  <w:shd w:val="clear" w:color="auto" w:fill="EBD9BA"/>
                </w:tcPr>
                <w:p w14:paraId="2D4B9D80" w14:textId="07B809C1"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13.1</w:t>
                  </w:r>
                </w:p>
              </w:tc>
              <w:tc>
                <w:tcPr>
                  <w:tcW w:w="543" w:type="dxa"/>
                  <w:shd w:val="clear" w:color="auto" w:fill="EBD9BA"/>
                </w:tcPr>
                <w:p w14:paraId="48E60BA5" w14:textId="4EFFC3FF"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11.9</w:t>
                  </w:r>
                </w:p>
              </w:tc>
            </w:tr>
            <w:tr w:rsidR="00864882" w:rsidRPr="003A3374" w14:paraId="37A83040" w14:textId="77777777" w:rsidTr="006D2966">
              <w:tc>
                <w:tcPr>
                  <w:cnfStyle w:val="001000000000" w:firstRow="0" w:lastRow="0" w:firstColumn="1" w:lastColumn="0" w:oddVBand="0" w:evenVBand="0" w:oddHBand="0" w:evenHBand="0" w:firstRowFirstColumn="0" w:firstRowLastColumn="0" w:lastRowFirstColumn="0" w:lastRowLastColumn="0"/>
                  <w:tcW w:w="1626" w:type="dxa"/>
                  <w:shd w:val="clear" w:color="auto" w:fill="EBD9BA"/>
                </w:tcPr>
                <w:p w14:paraId="5346F57E" w14:textId="77777777" w:rsidR="00864882" w:rsidRPr="003A3374" w:rsidRDefault="00864882" w:rsidP="006D2966">
                  <w:pPr>
                    <w:pStyle w:val="TableText0"/>
                    <w:rPr>
                      <w:b/>
                      <w:bCs/>
                    </w:rPr>
                  </w:pPr>
                  <w:r w:rsidRPr="003A3374">
                    <w:rPr>
                      <w:b/>
                      <w:bCs/>
                    </w:rPr>
                    <w:t>Consumer average</w:t>
                  </w:r>
                </w:p>
              </w:tc>
              <w:tc>
                <w:tcPr>
                  <w:tcW w:w="760" w:type="dxa"/>
                  <w:shd w:val="clear" w:color="auto" w:fill="EBD9BA"/>
                </w:tcPr>
                <w:p w14:paraId="6444BAE3" w14:textId="77777777" w:rsidR="00864882" w:rsidRPr="003A3374" w:rsidRDefault="00864882" w:rsidP="006D2966">
                  <w:pPr>
                    <w:pStyle w:val="TableText0"/>
                    <w:jc w:val="left"/>
                    <w:cnfStyle w:val="000000000000" w:firstRow="0" w:lastRow="0" w:firstColumn="0" w:lastColumn="0" w:oddVBand="0" w:evenVBand="0" w:oddHBand="0" w:evenHBand="0" w:firstRowFirstColumn="0" w:firstRowLastColumn="0" w:lastRowFirstColumn="0" w:lastRowLastColumn="0"/>
                  </w:pPr>
                </w:p>
              </w:tc>
              <w:tc>
                <w:tcPr>
                  <w:tcW w:w="746" w:type="dxa"/>
                  <w:shd w:val="clear" w:color="auto" w:fill="EBD9BA"/>
                </w:tcPr>
                <w:p w14:paraId="3BC287AF" w14:textId="77777777" w:rsidR="00864882" w:rsidRPr="003A3374" w:rsidRDefault="00864882" w:rsidP="006D2966">
                  <w:pPr>
                    <w:pStyle w:val="TableText0"/>
                    <w:cnfStyle w:val="000000000000" w:firstRow="0" w:lastRow="0" w:firstColumn="0" w:lastColumn="0" w:oddVBand="0" w:evenVBand="0" w:oddHBand="0" w:evenHBand="0" w:firstRowFirstColumn="0" w:firstRowLastColumn="0" w:lastRowFirstColumn="0" w:lastRowLastColumn="0"/>
                  </w:pPr>
                </w:p>
              </w:tc>
              <w:tc>
                <w:tcPr>
                  <w:tcW w:w="542" w:type="dxa"/>
                  <w:shd w:val="clear" w:color="auto" w:fill="EBD9BA"/>
                </w:tcPr>
                <w:p w14:paraId="30DC09A9" w14:textId="699650B0"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18.9</w:t>
                  </w:r>
                </w:p>
              </w:tc>
              <w:tc>
                <w:tcPr>
                  <w:tcW w:w="542" w:type="dxa"/>
                  <w:shd w:val="clear" w:color="auto" w:fill="EBD9BA"/>
                </w:tcPr>
                <w:p w14:paraId="046B5E02" w14:textId="5BAA40D1"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16.8</w:t>
                  </w:r>
                </w:p>
              </w:tc>
              <w:tc>
                <w:tcPr>
                  <w:tcW w:w="542" w:type="dxa"/>
                  <w:shd w:val="clear" w:color="auto" w:fill="EBD9BA"/>
                </w:tcPr>
                <w:p w14:paraId="26021C63" w14:textId="73C8E142"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14.9</w:t>
                  </w:r>
                </w:p>
              </w:tc>
              <w:tc>
                <w:tcPr>
                  <w:tcW w:w="542" w:type="dxa"/>
                  <w:shd w:val="clear" w:color="auto" w:fill="EBD9BA"/>
                </w:tcPr>
                <w:p w14:paraId="3A07DB81" w14:textId="6D34DD7D"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2.9%</w:t>
                  </w:r>
                </w:p>
              </w:tc>
              <w:tc>
                <w:tcPr>
                  <w:tcW w:w="542" w:type="dxa"/>
                  <w:shd w:val="clear" w:color="auto" w:fill="EBD9BA"/>
                </w:tcPr>
                <w:p w14:paraId="5A7CC006" w14:textId="51EFE59D"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3.0%</w:t>
                  </w:r>
                </w:p>
              </w:tc>
              <w:tc>
                <w:tcPr>
                  <w:tcW w:w="537" w:type="dxa"/>
                  <w:shd w:val="clear" w:color="auto" w:fill="EBD9BA"/>
                </w:tcPr>
                <w:p w14:paraId="7EDF900D" w14:textId="28E33DA1"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3.3%</w:t>
                  </w:r>
                </w:p>
              </w:tc>
              <w:tc>
                <w:tcPr>
                  <w:tcW w:w="547" w:type="dxa"/>
                  <w:shd w:val="clear" w:color="auto" w:fill="EBD9BA"/>
                </w:tcPr>
                <w:p w14:paraId="61A635D0" w14:textId="51E50F8E"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4.9%</w:t>
                  </w:r>
                </w:p>
              </w:tc>
              <w:tc>
                <w:tcPr>
                  <w:tcW w:w="542" w:type="dxa"/>
                  <w:shd w:val="clear" w:color="auto" w:fill="EBD9BA"/>
                </w:tcPr>
                <w:p w14:paraId="406B4667" w14:textId="22466069"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5.7%</w:t>
                  </w:r>
                </w:p>
              </w:tc>
              <w:tc>
                <w:tcPr>
                  <w:tcW w:w="542" w:type="dxa"/>
                  <w:shd w:val="clear" w:color="auto" w:fill="EBD9BA"/>
                </w:tcPr>
                <w:p w14:paraId="6E78AF16" w14:textId="2AE09AC3"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6.6%</w:t>
                  </w:r>
                </w:p>
              </w:tc>
              <w:tc>
                <w:tcPr>
                  <w:tcW w:w="542" w:type="dxa"/>
                  <w:shd w:val="clear" w:color="auto" w:fill="EBD9BA"/>
                </w:tcPr>
                <w:p w14:paraId="26E1DEBF" w14:textId="19B3698F"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15.4</w:t>
                  </w:r>
                </w:p>
              </w:tc>
              <w:tc>
                <w:tcPr>
                  <w:tcW w:w="542" w:type="dxa"/>
                  <w:shd w:val="clear" w:color="auto" w:fill="EBD9BA"/>
                </w:tcPr>
                <w:p w14:paraId="422B13B0" w14:textId="04A1391C"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13.5</w:t>
                  </w:r>
                </w:p>
              </w:tc>
              <w:tc>
                <w:tcPr>
                  <w:tcW w:w="543" w:type="dxa"/>
                  <w:shd w:val="clear" w:color="auto" w:fill="EBD9BA"/>
                </w:tcPr>
                <w:p w14:paraId="099F19A9" w14:textId="21D0C0FA" w:rsidR="00864882" w:rsidRPr="003A3374" w:rsidRDefault="00987366" w:rsidP="006D2966">
                  <w:pPr>
                    <w:pStyle w:val="TableText0"/>
                    <w:cnfStyle w:val="000000000000" w:firstRow="0" w:lastRow="0" w:firstColumn="0" w:lastColumn="0" w:oddVBand="0" w:evenVBand="0" w:oddHBand="0" w:evenHBand="0" w:firstRowFirstColumn="0" w:firstRowLastColumn="0" w:lastRowFirstColumn="0" w:lastRowLastColumn="0"/>
                    <w:rPr>
                      <w:b/>
                      <w:bCs/>
                    </w:rPr>
                  </w:pPr>
                  <w:r w:rsidRPr="003A3374">
                    <w:rPr>
                      <w:b/>
                      <w:bCs/>
                    </w:rPr>
                    <w:t>11.8</w:t>
                  </w:r>
                </w:p>
              </w:tc>
            </w:tr>
          </w:tbl>
          <w:p w14:paraId="4A4FE882" w14:textId="77777777" w:rsidR="00864882" w:rsidRPr="003A3374" w:rsidRDefault="00864882" w:rsidP="006D2966">
            <w:pPr>
              <w:pStyle w:val="Tableplaceholder"/>
            </w:pPr>
          </w:p>
        </w:tc>
      </w:tr>
      <w:tr w:rsidR="00864882" w:rsidRPr="003A3374" w14:paraId="120E9D20" w14:textId="77777777" w:rsidTr="006D2966">
        <w:trPr>
          <w:cantSplit/>
        </w:trPr>
        <w:tc>
          <w:tcPr>
            <w:tcW w:w="9637" w:type="dxa"/>
            <w:tcBorders>
              <w:top w:val="single" w:sz="8" w:space="0" w:color="000000" w:themeColor="text1"/>
            </w:tcBorders>
          </w:tcPr>
          <w:p w14:paraId="301E361C" w14:textId="77777777" w:rsidR="00864882" w:rsidRPr="003A3374" w:rsidRDefault="00864882" w:rsidP="006D2966">
            <w:pPr>
              <w:pStyle w:val="TableSource"/>
            </w:pPr>
            <w:r w:rsidRPr="003A3374">
              <w:t>Source: Rothschild &amp; Co Redburn, FactSet</w:t>
            </w:r>
          </w:p>
        </w:tc>
      </w:tr>
      <w:bookmarkEnd w:id="121"/>
    </w:tbl>
    <w:p w14:paraId="7B062706" w14:textId="77777777" w:rsidR="00864882" w:rsidRPr="003A3374" w:rsidRDefault="00864882">
      <w:pPr>
        <w:jc w:val="left"/>
      </w:pPr>
    </w:p>
    <w:p w14:paraId="78521115" w14:textId="77777777" w:rsidR="009E5D14" w:rsidRPr="003A3374" w:rsidRDefault="009E5D14">
      <w:pPr>
        <w:jc w:val="left"/>
      </w:pPr>
    </w:p>
    <w:tbl>
      <w:tblPr>
        <w:tblStyle w:val="TableGrid"/>
        <w:tblW w:w="9637" w:type="dxa"/>
        <w:tblLayout w:type="fixed"/>
        <w:tblCellMar>
          <w:left w:w="0" w:type="dxa"/>
          <w:right w:w="0" w:type="dxa"/>
        </w:tblCellMar>
        <w:tblLook w:val="04A0" w:firstRow="1" w:lastRow="0" w:firstColumn="1" w:lastColumn="0" w:noHBand="0" w:noVBand="1"/>
      </w:tblPr>
      <w:tblGrid>
        <w:gridCol w:w="9637"/>
      </w:tblGrid>
      <w:tr w:rsidR="009E5D14" w:rsidRPr="003A3374" w14:paraId="0FC47253" w14:textId="77777777" w:rsidTr="009E5D14">
        <w:trPr>
          <w:cantSplit/>
          <w:tblHeader/>
        </w:trPr>
        <w:tc>
          <w:tcPr>
            <w:tcW w:w="9638" w:type="dxa"/>
            <w:tcBorders>
              <w:bottom w:val="single" w:sz="8" w:space="0" w:color="000000" w:themeColor="text1"/>
            </w:tcBorders>
            <w:vAlign w:val="bottom"/>
          </w:tcPr>
          <w:p w14:paraId="7F6639CD" w14:textId="32C968E5" w:rsidR="009E5D14" w:rsidRPr="003A3374" w:rsidRDefault="009E5D14" w:rsidP="009E5D14">
            <w:pPr>
              <w:pStyle w:val="TableTitle"/>
            </w:pPr>
            <w:bookmarkStart w:id="122" w:name="PH_1_8_1_010591"/>
            <w:r w:rsidRPr="003A3374">
              <w:lastRenderedPageBreak/>
              <w:t xml:space="preserve">Fig </w:t>
            </w:r>
            <w:r w:rsidRPr="003A3374">
              <w:fldChar w:fldCharType="begin"/>
            </w:r>
            <w:r w:rsidRPr="003A3374">
              <w:instrText xml:space="preserve"> SEQ Fig </w:instrText>
            </w:r>
            <w:r w:rsidRPr="003A3374">
              <w:fldChar w:fldCharType="separate"/>
            </w:r>
            <w:r w:rsidR="006A4635" w:rsidRPr="003A3374">
              <w:rPr>
                <w:noProof/>
              </w:rPr>
              <w:t>61</w:t>
            </w:r>
            <w:r w:rsidRPr="003A3374">
              <w:fldChar w:fldCharType="end"/>
            </w:r>
            <w:r w:rsidRPr="003A3374">
              <w:t>: Coca-Cola Europacific Partners financial summary and valuation</w:t>
            </w:r>
          </w:p>
        </w:tc>
      </w:tr>
      <w:tr w:rsidR="009E5D14" w:rsidRPr="003A3374" w14:paraId="262AE7CD" w14:textId="77777777" w:rsidTr="009E5D14">
        <w:trPr>
          <w:cantSplit/>
        </w:trPr>
        <w:tc>
          <w:tcPr>
            <w:tcW w:w="9638" w:type="dxa"/>
            <w:tcBorders>
              <w:top w:val="single" w:sz="8" w:space="0" w:color="000000" w:themeColor="text1"/>
              <w:bottom w:val="single" w:sz="8" w:space="0" w:color="000000" w:themeColor="text1"/>
            </w:tcBorders>
          </w:tcPr>
          <w:tbl>
            <w:tblPr>
              <w:tblStyle w:val="Dataholder"/>
              <w:tblW w:w="0" w:type="auto"/>
              <w:tblLayout w:type="fixed"/>
              <w:tblLook w:val="06A0" w:firstRow="1" w:lastRow="0" w:firstColumn="1" w:lastColumn="0" w:noHBand="1" w:noVBand="1"/>
            </w:tblPr>
            <w:tblGrid>
              <w:gridCol w:w="3033"/>
              <w:gridCol w:w="592"/>
              <w:gridCol w:w="690"/>
              <w:gridCol w:w="690"/>
              <w:gridCol w:w="592"/>
              <w:gridCol w:w="592"/>
              <w:gridCol w:w="690"/>
              <w:gridCol w:w="690"/>
              <w:gridCol w:w="690"/>
              <w:gridCol w:w="690"/>
              <w:gridCol w:w="688"/>
            </w:tblGrid>
            <w:tr w:rsidR="009E5D14" w:rsidRPr="003A3374" w14:paraId="418107D5" w14:textId="77777777" w:rsidTr="009E5D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tcBorders>
                    <w:bottom w:val="single" w:sz="8" w:space="0" w:color="000000" w:themeColor="text1"/>
                  </w:tcBorders>
                  <w:vAlign w:val="bottom"/>
                </w:tcPr>
                <w:p w14:paraId="527963BA" w14:textId="77777777" w:rsidR="009E5D14" w:rsidRPr="003A3374" w:rsidRDefault="009E5D14" w:rsidP="009E5D14">
                  <w:pPr>
                    <w:pStyle w:val="TableText0"/>
                  </w:pPr>
                  <w:r w:rsidRPr="003A3374">
                    <w:t>Y/E December (€m)</w:t>
                  </w:r>
                </w:p>
              </w:tc>
              <w:tc>
                <w:tcPr>
                  <w:tcW w:w="592" w:type="dxa"/>
                  <w:tcBorders>
                    <w:bottom w:val="single" w:sz="8" w:space="0" w:color="000000" w:themeColor="text1"/>
                  </w:tcBorders>
                  <w:vAlign w:val="bottom"/>
                </w:tcPr>
                <w:p w14:paraId="15F3B608" w14:textId="77777777" w:rsidR="009E5D14" w:rsidRPr="003A3374" w:rsidRDefault="009E5D14" w:rsidP="009E5D14">
                  <w:pPr>
                    <w:pStyle w:val="TableText0"/>
                    <w:cnfStyle w:val="100000000000" w:firstRow="1" w:lastRow="0" w:firstColumn="0" w:lastColumn="0" w:oddVBand="0" w:evenVBand="0" w:oddHBand="0" w:evenHBand="0" w:firstRowFirstColumn="0" w:firstRowLastColumn="0" w:lastRowFirstColumn="0" w:lastRowLastColumn="0"/>
                  </w:pPr>
                  <w:r w:rsidRPr="003A3374">
                    <w:t>2020</w:t>
                  </w:r>
                </w:p>
              </w:tc>
              <w:tc>
                <w:tcPr>
                  <w:tcW w:w="690" w:type="dxa"/>
                  <w:tcBorders>
                    <w:bottom w:val="single" w:sz="8" w:space="0" w:color="000000" w:themeColor="text1"/>
                  </w:tcBorders>
                  <w:vAlign w:val="bottom"/>
                </w:tcPr>
                <w:p w14:paraId="419B141E" w14:textId="77777777" w:rsidR="009E5D14" w:rsidRPr="003A3374" w:rsidRDefault="009E5D14" w:rsidP="009E5D14">
                  <w:pPr>
                    <w:pStyle w:val="TableText0"/>
                    <w:cnfStyle w:val="100000000000" w:firstRow="1" w:lastRow="0" w:firstColumn="0" w:lastColumn="0" w:oddVBand="0" w:evenVBand="0" w:oddHBand="0" w:evenHBand="0" w:firstRowFirstColumn="0" w:firstRowLastColumn="0" w:lastRowFirstColumn="0" w:lastRowLastColumn="0"/>
                  </w:pPr>
                  <w:r w:rsidRPr="003A3374">
                    <w:t>2021</w:t>
                  </w:r>
                </w:p>
              </w:tc>
              <w:tc>
                <w:tcPr>
                  <w:tcW w:w="690" w:type="dxa"/>
                  <w:tcBorders>
                    <w:bottom w:val="single" w:sz="8" w:space="0" w:color="000000" w:themeColor="text1"/>
                  </w:tcBorders>
                  <w:vAlign w:val="bottom"/>
                </w:tcPr>
                <w:p w14:paraId="755F9A1D" w14:textId="77777777" w:rsidR="009E5D14" w:rsidRPr="003A3374" w:rsidRDefault="009E5D14" w:rsidP="009E5D14">
                  <w:pPr>
                    <w:pStyle w:val="TableText0"/>
                    <w:cnfStyle w:val="100000000000" w:firstRow="1" w:lastRow="0" w:firstColumn="0" w:lastColumn="0" w:oddVBand="0" w:evenVBand="0" w:oddHBand="0" w:evenHBand="0" w:firstRowFirstColumn="0" w:firstRowLastColumn="0" w:lastRowFirstColumn="0" w:lastRowLastColumn="0"/>
                  </w:pPr>
                  <w:r w:rsidRPr="003A3374">
                    <w:t>2022</w:t>
                  </w:r>
                </w:p>
              </w:tc>
              <w:tc>
                <w:tcPr>
                  <w:tcW w:w="592" w:type="dxa"/>
                  <w:tcBorders>
                    <w:bottom w:val="single" w:sz="8" w:space="0" w:color="000000" w:themeColor="text1"/>
                  </w:tcBorders>
                  <w:vAlign w:val="bottom"/>
                </w:tcPr>
                <w:p w14:paraId="6FA834DB" w14:textId="77777777" w:rsidR="009E5D14" w:rsidRPr="003A3374" w:rsidRDefault="009E5D14" w:rsidP="009E5D14">
                  <w:pPr>
                    <w:pStyle w:val="TableText0"/>
                    <w:cnfStyle w:val="100000000000" w:firstRow="1" w:lastRow="0" w:firstColumn="0" w:lastColumn="0" w:oddVBand="0" w:evenVBand="0" w:oddHBand="0" w:evenHBand="0" w:firstRowFirstColumn="0" w:firstRowLastColumn="0" w:lastRowFirstColumn="0" w:lastRowLastColumn="0"/>
                  </w:pPr>
                  <w:r w:rsidRPr="003A3374">
                    <w:t>2023</w:t>
                  </w:r>
                </w:p>
              </w:tc>
              <w:tc>
                <w:tcPr>
                  <w:tcW w:w="592" w:type="dxa"/>
                  <w:tcBorders>
                    <w:bottom w:val="single" w:sz="8" w:space="0" w:color="000000" w:themeColor="text1"/>
                  </w:tcBorders>
                  <w:vAlign w:val="bottom"/>
                </w:tcPr>
                <w:p w14:paraId="2300AC2C" w14:textId="77777777" w:rsidR="009E5D14" w:rsidRPr="003A3374" w:rsidRDefault="009E5D14" w:rsidP="009E5D14">
                  <w:pPr>
                    <w:pStyle w:val="TableText0"/>
                    <w:cnfStyle w:val="100000000000" w:firstRow="1" w:lastRow="0" w:firstColumn="0" w:lastColumn="0" w:oddVBand="0" w:evenVBand="0" w:oddHBand="0" w:evenHBand="0" w:firstRowFirstColumn="0" w:firstRowLastColumn="0" w:lastRowFirstColumn="0" w:lastRowLastColumn="0"/>
                  </w:pPr>
                  <w:r w:rsidRPr="003A3374">
                    <w:t>2024</w:t>
                  </w:r>
                </w:p>
              </w:tc>
              <w:tc>
                <w:tcPr>
                  <w:tcW w:w="690" w:type="dxa"/>
                  <w:tcBorders>
                    <w:bottom w:val="single" w:sz="8" w:space="0" w:color="000000" w:themeColor="text1"/>
                  </w:tcBorders>
                  <w:vAlign w:val="bottom"/>
                </w:tcPr>
                <w:p w14:paraId="6BD9DC23" w14:textId="77777777" w:rsidR="009E5D14" w:rsidRPr="003A3374" w:rsidRDefault="009E5D14" w:rsidP="009E5D14">
                  <w:pPr>
                    <w:pStyle w:val="TableText0"/>
                    <w:cnfStyle w:val="100000000000" w:firstRow="1" w:lastRow="0" w:firstColumn="0" w:lastColumn="0" w:oddVBand="0" w:evenVBand="0" w:oddHBand="0" w:evenHBand="0" w:firstRowFirstColumn="0" w:firstRowLastColumn="0" w:lastRowFirstColumn="0" w:lastRowLastColumn="0"/>
                  </w:pPr>
                  <w:r w:rsidRPr="003A3374">
                    <w:t>2025E</w:t>
                  </w:r>
                </w:p>
              </w:tc>
              <w:tc>
                <w:tcPr>
                  <w:tcW w:w="690" w:type="dxa"/>
                  <w:tcBorders>
                    <w:bottom w:val="single" w:sz="8" w:space="0" w:color="000000" w:themeColor="text1"/>
                  </w:tcBorders>
                  <w:vAlign w:val="bottom"/>
                </w:tcPr>
                <w:p w14:paraId="1FDF27D9" w14:textId="77777777" w:rsidR="009E5D14" w:rsidRPr="003A3374" w:rsidRDefault="009E5D14" w:rsidP="009E5D14">
                  <w:pPr>
                    <w:pStyle w:val="TableText0"/>
                    <w:cnfStyle w:val="100000000000" w:firstRow="1" w:lastRow="0" w:firstColumn="0" w:lastColumn="0" w:oddVBand="0" w:evenVBand="0" w:oddHBand="0" w:evenHBand="0" w:firstRowFirstColumn="0" w:firstRowLastColumn="0" w:lastRowFirstColumn="0" w:lastRowLastColumn="0"/>
                  </w:pPr>
                  <w:r w:rsidRPr="003A3374">
                    <w:t>2026E</w:t>
                  </w:r>
                </w:p>
              </w:tc>
              <w:tc>
                <w:tcPr>
                  <w:tcW w:w="690" w:type="dxa"/>
                  <w:tcBorders>
                    <w:bottom w:val="single" w:sz="8" w:space="0" w:color="000000" w:themeColor="text1"/>
                  </w:tcBorders>
                  <w:vAlign w:val="bottom"/>
                </w:tcPr>
                <w:p w14:paraId="4F08707F" w14:textId="77777777" w:rsidR="009E5D14" w:rsidRPr="003A3374" w:rsidRDefault="009E5D14" w:rsidP="009E5D14">
                  <w:pPr>
                    <w:pStyle w:val="TableText0"/>
                    <w:cnfStyle w:val="100000000000" w:firstRow="1" w:lastRow="0" w:firstColumn="0" w:lastColumn="0" w:oddVBand="0" w:evenVBand="0" w:oddHBand="0" w:evenHBand="0" w:firstRowFirstColumn="0" w:firstRowLastColumn="0" w:lastRowFirstColumn="0" w:lastRowLastColumn="0"/>
                  </w:pPr>
                  <w:r w:rsidRPr="003A3374">
                    <w:t>2027E</w:t>
                  </w:r>
                </w:p>
              </w:tc>
              <w:tc>
                <w:tcPr>
                  <w:tcW w:w="690" w:type="dxa"/>
                  <w:tcBorders>
                    <w:bottom w:val="single" w:sz="8" w:space="0" w:color="000000" w:themeColor="text1"/>
                  </w:tcBorders>
                  <w:vAlign w:val="bottom"/>
                </w:tcPr>
                <w:p w14:paraId="11D0889D" w14:textId="77777777" w:rsidR="009E5D14" w:rsidRPr="003A3374" w:rsidRDefault="009E5D14" w:rsidP="009E5D14">
                  <w:pPr>
                    <w:pStyle w:val="TableText0"/>
                    <w:cnfStyle w:val="100000000000" w:firstRow="1" w:lastRow="0" w:firstColumn="0" w:lastColumn="0" w:oddVBand="0" w:evenVBand="0" w:oddHBand="0" w:evenHBand="0" w:firstRowFirstColumn="0" w:firstRowLastColumn="0" w:lastRowFirstColumn="0" w:lastRowLastColumn="0"/>
                  </w:pPr>
                  <w:r w:rsidRPr="003A3374">
                    <w:t>2028E</w:t>
                  </w:r>
                </w:p>
              </w:tc>
              <w:tc>
                <w:tcPr>
                  <w:tcW w:w="688" w:type="dxa"/>
                  <w:tcBorders>
                    <w:bottom w:val="single" w:sz="8" w:space="0" w:color="000000" w:themeColor="text1"/>
                  </w:tcBorders>
                  <w:vAlign w:val="bottom"/>
                </w:tcPr>
                <w:p w14:paraId="0815A5A9" w14:textId="77777777" w:rsidR="009E5D14" w:rsidRPr="003A3374" w:rsidRDefault="009E5D14" w:rsidP="009E5D14">
                  <w:pPr>
                    <w:pStyle w:val="TableText0"/>
                    <w:cnfStyle w:val="100000000000" w:firstRow="1" w:lastRow="0" w:firstColumn="0" w:lastColumn="0" w:oddVBand="0" w:evenVBand="0" w:oddHBand="0" w:evenHBand="0" w:firstRowFirstColumn="0" w:firstRowLastColumn="0" w:lastRowFirstColumn="0" w:lastRowLastColumn="0"/>
                  </w:pPr>
                  <w:r w:rsidRPr="003A3374">
                    <w:t>2029E</w:t>
                  </w:r>
                </w:p>
              </w:tc>
            </w:tr>
            <w:tr w:rsidR="009E5D14" w:rsidRPr="003A3374" w14:paraId="2AA0F26B" w14:textId="77777777" w:rsidTr="009E5D14">
              <w:tc>
                <w:tcPr>
                  <w:cnfStyle w:val="001000000000" w:firstRow="0" w:lastRow="0" w:firstColumn="1" w:lastColumn="0" w:oddVBand="0" w:evenVBand="0" w:oddHBand="0" w:evenHBand="0" w:firstRowFirstColumn="0" w:firstRowLastColumn="0" w:lastRowFirstColumn="0" w:lastRowLastColumn="0"/>
                  <w:tcW w:w="3033" w:type="dxa"/>
                  <w:tcBorders>
                    <w:top w:val="single" w:sz="8" w:space="0" w:color="000000" w:themeColor="text1"/>
                  </w:tcBorders>
                  <w:shd w:val="clear" w:color="auto" w:fill="E6E3DF" w:themeFill="accent4"/>
                </w:tcPr>
                <w:p w14:paraId="0E163C24" w14:textId="77777777" w:rsidR="009E5D14" w:rsidRPr="003A3374" w:rsidRDefault="009E5D14" w:rsidP="009E5D14">
                  <w:pPr>
                    <w:pStyle w:val="TableText0"/>
                    <w:rPr>
                      <w:b/>
                      <w:bCs/>
                    </w:rPr>
                  </w:pPr>
                  <w:r w:rsidRPr="003A3374">
                    <w:rPr>
                      <w:b/>
                      <w:bCs/>
                    </w:rPr>
                    <w:t>Income statement (pre-exceptional)</w:t>
                  </w:r>
                </w:p>
              </w:tc>
              <w:tc>
                <w:tcPr>
                  <w:tcW w:w="592" w:type="dxa"/>
                  <w:tcBorders>
                    <w:top w:val="single" w:sz="8" w:space="0" w:color="000000" w:themeColor="text1"/>
                  </w:tcBorders>
                  <w:shd w:val="clear" w:color="auto" w:fill="E6E3DF" w:themeFill="accent4"/>
                </w:tcPr>
                <w:p w14:paraId="060DE8AE"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tcBorders>
                    <w:top w:val="single" w:sz="8" w:space="0" w:color="000000" w:themeColor="text1"/>
                  </w:tcBorders>
                  <w:shd w:val="clear" w:color="auto" w:fill="E6E3DF" w:themeFill="accent4"/>
                </w:tcPr>
                <w:p w14:paraId="5EA40625"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tcBorders>
                    <w:top w:val="single" w:sz="8" w:space="0" w:color="000000" w:themeColor="text1"/>
                  </w:tcBorders>
                  <w:shd w:val="clear" w:color="auto" w:fill="E6E3DF" w:themeFill="accent4"/>
                </w:tcPr>
                <w:p w14:paraId="558C965A"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592" w:type="dxa"/>
                  <w:tcBorders>
                    <w:top w:val="single" w:sz="8" w:space="0" w:color="000000" w:themeColor="text1"/>
                  </w:tcBorders>
                  <w:shd w:val="clear" w:color="auto" w:fill="E6E3DF" w:themeFill="accent4"/>
                </w:tcPr>
                <w:p w14:paraId="0D70DD87"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592" w:type="dxa"/>
                  <w:tcBorders>
                    <w:top w:val="single" w:sz="8" w:space="0" w:color="000000" w:themeColor="text1"/>
                  </w:tcBorders>
                  <w:shd w:val="clear" w:color="auto" w:fill="E6E3DF" w:themeFill="accent4"/>
                </w:tcPr>
                <w:p w14:paraId="3DEF4DEC"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tcBorders>
                    <w:top w:val="single" w:sz="8" w:space="0" w:color="000000" w:themeColor="text1"/>
                  </w:tcBorders>
                  <w:shd w:val="clear" w:color="auto" w:fill="E6E3DF" w:themeFill="accent4"/>
                </w:tcPr>
                <w:p w14:paraId="208D3452"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tcBorders>
                    <w:top w:val="single" w:sz="8" w:space="0" w:color="000000" w:themeColor="text1"/>
                  </w:tcBorders>
                  <w:shd w:val="clear" w:color="auto" w:fill="E6E3DF" w:themeFill="accent4"/>
                </w:tcPr>
                <w:p w14:paraId="641D029B"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tcBorders>
                    <w:top w:val="single" w:sz="8" w:space="0" w:color="000000" w:themeColor="text1"/>
                  </w:tcBorders>
                  <w:shd w:val="clear" w:color="auto" w:fill="E6E3DF" w:themeFill="accent4"/>
                </w:tcPr>
                <w:p w14:paraId="47F9E5D3"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tcBorders>
                    <w:top w:val="single" w:sz="8" w:space="0" w:color="000000" w:themeColor="text1"/>
                  </w:tcBorders>
                  <w:shd w:val="clear" w:color="auto" w:fill="E6E3DF" w:themeFill="accent4"/>
                </w:tcPr>
                <w:p w14:paraId="58F2B09C"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88" w:type="dxa"/>
                  <w:tcBorders>
                    <w:top w:val="single" w:sz="8" w:space="0" w:color="000000" w:themeColor="text1"/>
                  </w:tcBorders>
                  <w:shd w:val="clear" w:color="auto" w:fill="E6E3DF" w:themeFill="accent4"/>
                </w:tcPr>
                <w:p w14:paraId="716E2C28"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r>
            <w:tr w:rsidR="009E5D14" w:rsidRPr="003A3374" w14:paraId="6DB48189"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7B80BE52" w14:textId="05FB7DAF" w:rsidR="009E5D14" w:rsidRPr="003A3374" w:rsidRDefault="00EC21B4" w:rsidP="009E5D14">
                  <w:pPr>
                    <w:pStyle w:val="TableText0"/>
                  </w:pPr>
                  <w:r w:rsidRPr="003A3374">
                    <w:t>Net sales</w:t>
                  </w:r>
                </w:p>
              </w:tc>
              <w:tc>
                <w:tcPr>
                  <w:tcW w:w="592" w:type="dxa"/>
                </w:tcPr>
                <w:p w14:paraId="15124C9F" w14:textId="5F9AC858"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13,535</w:t>
                  </w:r>
                </w:p>
              </w:tc>
              <w:tc>
                <w:tcPr>
                  <w:tcW w:w="690" w:type="dxa"/>
                </w:tcPr>
                <w:p w14:paraId="7A123AE9" w14:textId="5EBEA886"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14,819</w:t>
                  </w:r>
                </w:p>
              </w:tc>
              <w:tc>
                <w:tcPr>
                  <w:tcW w:w="690" w:type="dxa"/>
                </w:tcPr>
                <w:p w14:paraId="286B03F8" w14:textId="5C102558"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17,320</w:t>
                  </w:r>
                </w:p>
              </w:tc>
              <w:tc>
                <w:tcPr>
                  <w:tcW w:w="592" w:type="dxa"/>
                </w:tcPr>
                <w:p w14:paraId="2C83F65F" w14:textId="5D0FAE2E"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18,302</w:t>
                  </w:r>
                </w:p>
              </w:tc>
              <w:tc>
                <w:tcPr>
                  <w:tcW w:w="592" w:type="dxa"/>
                </w:tcPr>
                <w:p w14:paraId="5D8F539B" w14:textId="55983EC8"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20,706</w:t>
                  </w:r>
                </w:p>
              </w:tc>
              <w:tc>
                <w:tcPr>
                  <w:tcW w:w="690" w:type="dxa"/>
                </w:tcPr>
                <w:p w14:paraId="5E874AE2" w14:textId="34450DFD"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20,910</w:t>
                  </w:r>
                </w:p>
              </w:tc>
              <w:tc>
                <w:tcPr>
                  <w:tcW w:w="690" w:type="dxa"/>
                </w:tcPr>
                <w:p w14:paraId="07509752" w14:textId="38F2F63F"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21,307</w:t>
                  </w:r>
                </w:p>
              </w:tc>
              <w:tc>
                <w:tcPr>
                  <w:tcW w:w="690" w:type="dxa"/>
                </w:tcPr>
                <w:p w14:paraId="39C9E8C0" w14:textId="62CC8BA9"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22,093</w:t>
                  </w:r>
                </w:p>
              </w:tc>
              <w:tc>
                <w:tcPr>
                  <w:tcW w:w="690" w:type="dxa"/>
                </w:tcPr>
                <w:p w14:paraId="11F2DDED" w14:textId="70EDBC85"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22,913</w:t>
                  </w:r>
                </w:p>
              </w:tc>
              <w:tc>
                <w:tcPr>
                  <w:tcW w:w="688" w:type="dxa"/>
                </w:tcPr>
                <w:p w14:paraId="2D388E36" w14:textId="4BD73260"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23,765</w:t>
                  </w:r>
                </w:p>
              </w:tc>
            </w:tr>
            <w:tr w:rsidR="009E5D14" w:rsidRPr="003A3374" w14:paraId="3DF8E0C5"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40DA4F65" w14:textId="7CC3824D" w:rsidR="009E5D14" w:rsidRPr="003A3374" w:rsidRDefault="00EC21B4" w:rsidP="009E5D14">
                  <w:pPr>
                    <w:pStyle w:val="TableText0"/>
                  </w:pPr>
                  <w:r w:rsidRPr="003A3374">
                    <w:t>Operating profit</w:t>
                  </w:r>
                </w:p>
              </w:tc>
              <w:tc>
                <w:tcPr>
                  <w:tcW w:w="592" w:type="dxa"/>
                </w:tcPr>
                <w:p w14:paraId="12249B74" w14:textId="5ED5A80C"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1,492</w:t>
                  </w:r>
                </w:p>
              </w:tc>
              <w:tc>
                <w:tcPr>
                  <w:tcW w:w="690" w:type="dxa"/>
                </w:tcPr>
                <w:p w14:paraId="216C68BD" w14:textId="270769E0"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1,886</w:t>
                  </w:r>
                </w:p>
              </w:tc>
              <w:tc>
                <w:tcPr>
                  <w:tcW w:w="690" w:type="dxa"/>
                </w:tcPr>
                <w:p w14:paraId="56FAEBF5" w14:textId="4DBB1E3F"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2,138</w:t>
                  </w:r>
                </w:p>
              </w:tc>
              <w:tc>
                <w:tcPr>
                  <w:tcW w:w="592" w:type="dxa"/>
                </w:tcPr>
                <w:p w14:paraId="733AF2EA" w14:textId="3AA13776"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2,373</w:t>
                  </w:r>
                </w:p>
              </w:tc>
              <w:tc>
                <w:tcPr>
                  <w:tcW w:w="592" w:type="dxa"/>
                </w:tcPr>
                <w:p w14:paraId="3785DDD7" w14:textId="1379559F"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2,663</w:t>
                  </w:r>
                </w:p>
              </w:tc>
              <w:tc>
                <w:tcPr>
                  <w:tcW w:w="690" w:type="dxa"/>
                </w:tcPr>
                <w:p w14:paraId="259C4B10" w14:textId="2C194174"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2,803</w:t>
                  </w:r>
                </w:p>
              </w:tc>
              <w:tc>
                <w:tcPr>
                  <w:tcW w:w="690" w:type="dxa"/>
                </w:tcPr>
                <w:p w14:paraId="77F86300" w14:textId="35BB271D"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2,962</w:t>
                  </w:r>
                </w:p>
              </w:tc>
              <w:tc>
                <w:tcPr>
                  <w:tcW w:w="690" w:type="dxa"/>
                </w:tcPr>
                <w:p w14:paraId="0EFAEE10" w14:textId="73ADF018"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3,164</w:t>
                  </w:r>
                </w:p>
              </w:tc>
              <w:tc>
                <w:tcPr>
                  <w:tcW w:w="690" w:type="dxa"/>
                </w:tcPr>
                <w:p w14:paraId="4B8BA76A" w14:textId="337AA3A4"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3,357</w:t>
                  </w:r>
                </w:p>
              </w:tc>
              <w:tc>
                <w:tcPr>
                  <w:tcW w:w="688" w:type="dxa"/>
                </w:tcPr>
                <w:p w14:paraId="47A271E9" w14:textId="14515EEA"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3,553</w:t>
                  </w:r>
                </w:p>
              </w:tc>
            </w:tr>
            <w:tr w:rsidR="009E5D14" w:rsidRPr="003A3374" w14:paraId="688B9A8D"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0FD3B957" w14:textId="00C59D10" w:rsidR="009E5D14" w:rsidRPr="003A3374" w:rsidRDefault="00EC21B4" w:rsidP="009E5D14">
                  <w:pPr>
                    <w:pStyle w:val="TableText0"/>
                  </w:pPr>
                  <w:r w:rsidRPr="003A3374">
                    <w:t>Profit before tax</w:t>
                  </w:r>
                </w:p>
              </w:tc>
              <w:tc>
                <w:tcPr>
                  <w:tcW w:w="592" w:type="dxa"/>
                </w:tcPr>
                <w:p w14:paraId="4879F4EE" w14:textId="4D6FE42E"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1,330</w:t>
                  </w:r>
                </w:p>
              </w:tc>
              <w:tc>
                <w:tcPr>
                  <w:tcW w:w="690" w:type="dxa"/>
                </w:tcPr>
                <w:p w14:paraId="09B61C64" w14:textId="64EF0E8A"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1,736</w:t>
                  </w:r>
                </w:p>
              </w:tc>
              <w:tc>
                <w:tcPr>
                  <w:tcW w:w="690" w:type="dxa"/>
                </w:tcPr>
                <w:p w14:paraId="2A6BD835" w14:textId="1FD106DD"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2,009</w:t>
                  </w:r>
                </w:p>
              </w:tc>
              <w:tc>
                <w:tcPr>
                  <w:tcW w:w="592" w:type="dxa"/>
                </w:tcPr>
                <w:p w14:paraId="065245B8" w14:textId="3BCBF4DC"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2,239</w:t>
                  </w:r>
                </w:p>
              </w:tc>
              <w:tc>
                <w:tcPr>
                  <w:tcW w:w="592" w:type="dxa"/>
                </w:tcPr>
                <w:p w14:paraId="1D495CDE" w14:textId="588BFD7D"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2,467</w:t>
                  </w:r>
                </w:p>
              </w:tc>
              <w:tc>
                <w:tcPr>
                  <w:tcW w:w="690" w:type="dxa"/>
                </w:tcPr>
                <w:p w14:paraId="227C6CE5" w14:textId="47EA5439"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2,588</w:t>
                  </w:r>
                </w:p>
              </w:tc>
              <w:tc>
                <w:tcPr>
                  <w:tcW w:w="690" w:type="dxa"/>
                </w:tcPr>
                <w:p w14:paraId="1A6A422B" w14:textId="4400DA89"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2,724</w:t>
                  </w:r>
                </w:p>
              </w:tc>
              <w:tc>
                <w:tcPr>
                  <w:tcW w:w="690" w:type="dxa"/>
                </w:tcPr>
                <w:p w14:paraId="79792F34" w14:textId="188F1F18"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2,848</w:t>
                  </w:r>
                </w:p>
              </w:tc>
              <w:tc>
                <w:tcPr>
                  <w:tcW w:w="690" w:type="dxa"/>
                </w:tcPr>
                <w:p w14:paraId="3914D7F3" w14:textId="6F9876AD"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2,953</w:t>
                  </w:r>
                </w:p>
              </w:tc>
              <w:tc>
                <w:tcPr>
                  <w:tcW w:w="688" w:type="dxa"/>
                </w:tcPr>
                <w:p w14:paraId="6FAD5B11" w14:textId="76928AB5"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3,124</w:t>
                  </w:r>
                </w:p>
              </w:tc>
            </w:tr>
            <w:tr w:rsidR="009E5D14" w:rsidRPr="003A3374" w14:paraId="7FA29745"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4EB50B55" w14:textId="666CE605" w:rsidR="009E5D14" w:rsidRPr="003A3374" w:rsidRDefault="00EC21B4" w:rsidP="009E5D14">
                  <w:pPr>
                    <w:pStyle w:val="TableText0"/>
                  </w:pPr>
                  <w:r w:rsidRPr="003A3374">
                    <w:t>Net income</w:t>
                  </w:r>
                </w:p>
              </w:tc>
              <w:tc>
                <w:tcPr>
                  <w:tcW w:w="592" w:type="dxa"/>
                </w:tcPr>
                <w:p w14:paraId="12809C3D" w14:textId="637397A7"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1,004</w:t>
                  </w:r>
                </w:p>
              </w:tc>
              <w:tc>
                <w:tcPr>
                  <w:tcW w:w="690" w:type="dxa"/>
                </w:tcPr>
                <w:p w14:paraId="6AF69A43" w14:textId="2EC66039"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1,369</w:t>
                  </w:r>
                </w:p>
              </w:tc>
              <w:tc>
                <w:tcPr>
                  <w:tcW w:w="690" w:type="dxa"/>
                </w:tcPr>
                <w:p w14:paraId="1188EED5" w14:textId="6D608087"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1,551</w:t>
                  </w:r>
                </w:p>
              </w:tc>
              <w:tc>
                <w:tcPr>
                  <w:tcW w:w="592" w:type="dxa"/>
                </w:tcPr>
                <w:p w14:paraId="4D3F29D6" w14:textId="2D60398B"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1,701</w:t>
                  </w:r>
                </w:p>
              </w:tc>
              <w:tc>
                <w:tcPr>
                  <w:tcW w:w="592" w:type="dxa"/>
                </w:tcPr>
                <w:p w14:paraId="0B34C306" w14:textId="22E6644D"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1,820</w:t>
                  </w:r>
                </w:p>
              </w:tc>
              <w:tc>
                <w:tcPr>
                  <w:tcW w:w="690" w:type="dxa"/>
                </w:tcPr>
                <w:p w14:paraId="022A6D36" w14:textId="2B6FC3E0"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1,874</w:t>
                  </w:r>
                </w:p>
              </w:tc>
              <w:tc>
                <w:tcPr>
                  <w:tcW w:w="690" w:type="dxa"/>
                </w:tcPr>
                <w:p w14:paraId="30AC74A7" w14:textId="77912069"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1,967</w:t>
                  </w:r>
                </w:p>
              </w:tc>
              <w:tc>
                <w:tcPr>
                  <w:tcW w:w="690" w:type="dxa"/>
                </w:tcPr>
                <w:p w14:paraId="630401CF" w14:textId="1D6F1ACE"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2,052</w:t>
                  </w:r>
                </w:p>
              </w:tc>
              <w:tc>
                <w:tcPr>
                  <w:tcW w:w="690" w:type="dxa"/>
                </w:tcPr>
                <w:p w14:paraId="2BC65C8F" w14:textId="7E5EB0AF"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2,123</w:t>
                  </w:r>
                </w:p>
              </w:tc>
              <w:tc>
                <w:tcPr>
                  <w:tcW w:w="688" w:type="dxa"/>
                </w:tcPr>
                <w:p w14:paraId="73D9A52D" w14:textId="37CD0FA2"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2,243</w:t>
                  </w:r>
                </w:p>
              </w:tc>
            </w:tr>
            <w:tr w:rsidR="009E5D14" w:rsidRPr="003A3374" w14:paraId="7ABDC219"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1B922FE0" w14:textId="49A7B2DA" w:rsidR="009E5D14" w:rsidRPr="003A3374" w:rsidRDefault="00EC21B4" w:rsidP="009E5D14">
                  <w:pPr>
                    <w:pStyle w:val="TableText0"/>
                  </w:pPr>
                  <w:r w:rsidRPr="003A3374">
                    <w:t>EPS adjusted, diluted (€)</w:t>
                  </w:r>
                </w:p>
              </w:tc>
              <w:tc>
                <w:tcPr>
                  <w:tcW w:w="592" w:type="dxa"/>
                </w:tcPr>
                <w:p w14:paraId="524356F3" w14:textId="302A7E42"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2.19</w:t>
                  </w:r>
                </w:p>
              </w:tc>
              <w:tc>
                <w:tcPr>
                  <w:tcW w:w="690" w:type="dxa"/>
                </w:tcPr>
                <w:p w14:paraId="7C6B996A" w14:textId="02F9F075"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2.97</w:t>
                  </w:r>
                </w:p>
              </w:tc>
              <w:tc>
                <w:tcPr>
                  <w:tcW w:w="690" w:type="dxa"/>
                </w:tcPr>
                <w:p w14:paraId="46E9825A" w14:textId="5F2F246A"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3.39</w:t>
                  </w:r>
                </w:p>
              </w:tc>
              <w:tc>
                <w:tcPr>
                  <w:tcW w:w="592" w:type="dxa"/>
                </w:tcPr>
                <w:p w14:paraId="073A8081" w14:textId="6015D7DC"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3.71</w:t>
                  </w:r>
                </w:p>
              </w:tc>
              <w:tc>
                <w:tcPr>
                  <w:tcW w:w="592" w:type="dxa"/>
                </w:tcPr>
                <w:p w14:paraId="6A60851D" w14:textId="422BA136"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3.95</w:t>
                  </w:r>
                </w:p>
              </w:tc>
              <w:tc>
                <w:tcPr>
                  <w:tcW w:w="690" w:type="dxa"/>
                </w:tcPr>
                <w:p w14:paraId="13DFA8D7" w14:textId="543A0BB9"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4.12</w:t>
                  </w:r>
                </w:p>
              </w:tc>
              <w:tc>
                <w:tcPr>
                  <w:tcW w:w="690" w:type="dxa"/>
                </w:tcPr>
                <w:p w14:paraId="065D0AE3" w14:textId="2E8F10B3"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4.49</w:t>
                  </w:r>
                </w:p>
              </w:tc>
              <w:tc>
                <w:tcPr>
                  <w:tcW w:w="690" w:type="dxa"/>
                </w:tcPr>
                <w:p w14:paraId="3A776495" w14:textId="7494783F"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4.94</w:t>
                  </w:r>
                </w:p>
              </w:tc>
              <w:tc>
                <w:tcPr>
                  <w:tcW w:w="690" w:type="dxa"/>
                </w:tcPr>
                <w:p w14:paraId="115A71DD" w14:textId="72E87761"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5.45</w:t>
                  </w:r>
                </w:p>
              </w:tc>
              <w:tc>
                <w:tcPr>
                  <w:tcW w:w="688" w:type="dxa"/>
                </w:tcPr>
                <w:p w14:paraId="55CED492" w14:textId="2B567A7D"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6.16</w:t>
                  </w:r>
                </w:p>
              </w:tc>
            </w:tr>
            <w:tr w:rsidR="009E5D14" w:rsidRPr="003A3374" w14:paraId="25555F8D"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5CCC29D9" w14:textId="112E46FD" w:rsidR="009E5D14" w:rsidRPr="003A3374" w:rsidRDefault="00EC21B4" w:rsidP="009E5D14">
                  <w:pPr>
                    <w:pStyle w:val="TableText0"/>
                  </w:pPr>
                  <w:r w:rsidRPr="003A3374">
                    <w:t>DPS (€)</w:t>
                  </w:r>
                </w:p>
              </w:tc>
              <w:tc>
                <w:tcPr>
                  <w:tcW w:w="592" w:type="dxa"/>
                </w:tcPr>
                <w:p w14:paraId="1F6E51E9" w14:textId="64284018"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0.85</w:t>
                  </w:r>
                </w:p>
              </w:tc>
              <w:tc>
                <w:tcPr>
                  <w:tcW w:w="690" w:type="dxa"/>
                </w:tcPr>
                <w:p w14:paraId="66491695" w14:textId="017F28F6"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1.40</w:t>
                  </w:r>
                </w:p>
              </w:tc>
              <w:tc>
                <w:tcPr>
                  <w:tcW w:w="690" w:type="dxa"/>
                </w:tcPr>
                <w:p w14:paraId="1CF44226" w14:textId="3E8AD585"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1.68</w:t>
                  </w:r>
                </w:p>
              </w:tc>
              <w:tc>
                <w:tcPr>
                  <w:tcW w:w="592" w:type="dxa"/>
                </w:tcPr>
                <w:p w14:paraId="619A747C" w14:textId="0A0CFAC8"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1.84</w:t>
                  </w:r>
                </w:p>
              </w:tc>
              <w:tc>
                <w:tcPr>
                  <w:tcW w:w="592" w:type="dxa"/>
                </w:tcPr>
                <w:p w14:paraId="7D739A3A" w14:textId="4C08251A"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1.97</w:t>
                  </w:r>
                </w:p>
              </w:tc>
              <w:tc>
                <w:tcPr>
                  <w:tcW w:w="690" w:type="dxa"/>
                </w:tcPr>
                <w:p w14:paraId="56F09376" w14:textId="401A3137"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2.06</w:t>
                  </w:r>
                </w:p>
              </w:tc>
              <w:tc>
                <w:tcPr>
                  <w:tcW w:w="690" w:type="dxa"/>
                </w:tcPr>
                <w:p w14:paraId="66560163" w14:textId="4AACF89A"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2.20</w:t>
                  </w:r>
                </w:p>
              </w:tc>
              <w:tc>
                <w:tcPr>
                  <w:tcW w:w="690" w:type="dxa"/>
                </w:tcPr>
                <w:p w14:paraId="0C8025E9" w14:textId="29F939EF"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2.42</w:t>
                  </w:r>
                </w:p>
              </w:tc>
              <w:tc>
                <w:tcPr>
                  <w:tcW w:w="690" w:type="dxa"/>
                </w:tcPr>
                <w:p w14:paraId="2B3B012F" w14:textId="2D322CB2"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2.67</w:t>
                  </w:r>
                </w:p>
              </w:tc>
              <w:tc>
                <w:tcPr>
                  <w:tcW w:w="688" w:type="dxa"/>
                </w:tcPr>
                <w:p w14:paraId="11A941FE" w14:textId="2C389A7A"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3.02</w:t>
                  </w:r>
                </w:p>
              </w:tc>
            </w:tr>
            <w:tr w:rsidR="009E5D14" w:rsidRPr="003A3374" w14:paraId="1318D7AA"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573F797D" w14:textId="2260C039" w:rsidR="009E5D14" w:rsidRPr="003A3374" w:rsidRDefault="00EC21B4" w:rsidP="009E5D14">
                  <w:pPr>
                    <w:pStyle w:val="TableText0"/>
                  </w:pPr>
                  <w:r w:rsidRPr="003A3374">
                    <w:t xml:space="preserve">Weighted average diluted shares (m) </w:t>
                  </w:r>
                </w:p>
              </w:tc>
              <w:tc>
                <w:tcPr>
                  <w:tcW w:w="592" w:type="dxa"/>
                </w:tcPr>
                <w:p w14:paraId="3924A560" w14:textId="49C3A88D"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456</w:t>
                  </w:r>
                </w:p>
              </w:tc>
              <w:tc>
                <w:tcPr>
                  <w:tcW w:w="690" w:type="dxa"/>
                </w:tcPr>
                <w:p w14:paraId="4DE91C1B" w14:textId="354AE5C4"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457</w:t>
                  </w:r>
                </w:p>
              </w:tc>
              <w:tc>
                <w:tcPr>
                  <w:tcW w:w="690" w:type="dxa"/>
                </w:tcPr>
                <w:p w14:paraId="02E8158C" w14:textId="37DD2628"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458</w:t>
                  </w:r>
                </w:p>
              </w:tc>
              <w:tc>
                <w:tcPr>
                  <w:tcW w:w="592" w:type="dxa"/>
                </w:tcPr>
                <w:p w14:paraId="1C8F5841" w14:textId="777DF505"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459</w:t>
                  </w:r>
                </w:p>
              </w:tc>
              <w:tc>
                <w:tcPr>
                  <w:tcW w:w="592" w:type="dxa"/>
                </w:tcPr>
                <w:p w14:paraId="42397887" w14:textId="11B20CD4"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461</w:t>
                  </w:r>
                </w:p>
              </w:tc>
              <w:tc>
                <w:tcPr>
                  <w:tcW w:w="690" w:type="dxa"/>
                </w:tcPr>
                <w:p w14:paraId="31D1A564" w14:textId="61820324"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454</w:t>
                  </w:r>
                </w:p>
              </w:tc>
              <w:tc>
                <w:tcPr>
                  <w:tcW w:w="690" w:type="dxa"/>
                </w:tcPr>
                <w:p w14:paraId="52C2B8B5" w14:textId="6F07E1C3"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438</w:t>
                  </w:r>
                </w:p>
              </w:tc>
              <w:tc>
                <w:tcPr>
                  <w:tcW w:w="690" w:type="dxa"/>
                </w:tcPr>
                <w:p w14:paraId="1334C742" w14:textId="1BCE8E3F"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416</w:t>
                  </w:r>
                </w:p>
              </w:tc>
              <w:tc>
                <w:tcPr>
                  <w:tcW w:w="690" w:type="dxa"/>
                </w:tcPr>
                <w:p w14:paraId="6ACCD7BC" w14:textId="01283778"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390</w:t>
                  </w:r>
                </w:p>
              </w:tc>
              <w:tc>
                <w:tcPr>
                  <w:tcW w:w="688" w:type="dxa"/>
                </w:tcPr>
                <w:p w14:paraId="4F7D404E" w14:textId="2731D122"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364</w:t>
                  </w:r>
                </w:p>
              </w:tc>
            </w:tr>
            <w:tr w:rsidR="009E5D14" w:rsidRPr="003A3374" w14:paraId="469AF09A"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3B165ABE" w14:textId="77777777" w:rsidR="009E5D14" w:rsidRPr="003A3374" w:rsidRDefault="009E5D14" w:rsidP="009E5D14">
                  <w:pPr>
                    <w:pStyle w:val="TableText0"/>
                  </w:pPr>
                </w:p>
              </w:tc>
              <w:tc>
                <w:tcPr>
                  <w:tcW w:w="592" w:type="dxa"/>
                </w:tcPr>
                <w:p w14:paraId="63A3F786"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90" w:type="dxa"/>
                </w:tcPr>
                <w:p w14:paraId="245BBAFB"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90" w:type="dxa"/>
                </w:tcPr>
                <w:p w14:paraId="6E20E6DA"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592" w:type="dxa"/>
                </w:tcPr>
                <w:p w14:paraId="7F4537D2"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592" w:type="dxa"/>
                </w:tcPr>
                <w:p w14:paraId="1D7B7298"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90" w:type="dxa"/>
                </w:tcPr>
                <w:p w14:paraId="23E7FC13"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90" w:type="dxa"/>
                </w:tcPr>
                <w:p w14:paraId="15BE29FD"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90" w:type="dxa"/>
                </w:tcPr>
                <w:p w14:paraId="3B5D9485"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90" w:type="dxa"/>
                </w:tcPr>
                <w:p w14:paraId="10178258"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88" w:type="dxa"/>
                </w:tcPr>
                <w:p w14:paraId="70F01D24"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r>
            <w:tr w:rsidR="009E5D14" w:rsidRPr="003A3374" w14:paraId="346E18EF" w14:textId="77777777" w:rsidTr="009E5D14">
              <w:tc>
                <w:tcPr>
                  <w:cnfStyle w:val="001000000000" w:firstRow="0" w:lastRow="0" w:firstColumn="1" w:lastColumn="0" w:oddVBand="0" w:evenVBand="0" w:oddHBand="0" w:evenHBand="0" w:firstRowFirstColumn="0" w:firstRowLastColumn="0" w:lastRowFirstColumn="0" w:lastRowLastColumn="0"/>
                  <w:tcW w:w="3033" w:type="dxa"/>
                  <w:shd w:val="clear" w:color="auto" w:fill="E6E3DF" w:themeFill="accent4"/>
                </w:tcPr>
                <w:p w14:paraId="410D2DF8" w14:textId="014CAF7E" w:rsidR="009E5D14" w:rsidRPr="003A3374" w:rsidRDefault="00EC21B4" w:rsidP="009E5D14">
                  <w:pPr>
                    <w:pStyle w:val="TableText0"/>
                    <w:rPr>
                      <w:b/>
                      <w:bCs/>
                    </w:rPr>
                  </w:pPr>
                  <w:r w:rsidRPr="003A3374">
                    <w:rPr>
                      <w:b/>
                      <w:bCs/>
                    </w:rPr>
                    <w:t>Cash flow</w:t>
                  </w:r>
                </w:p>
              </w:tc>
              <w:tc>
                <w:tcPr>
                  <w:tcW w:w="592" w:type="dxa"/>
                  <w:shd w:val="clear" w:color="auto" w:fill="E6E3DF" w:themeFill="accent4"/>
                </w:tcPr>
                <w:p w14:paraId="31A95DC2"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shd w:val="clear" w:color="auto" w:fill="E6E3DF" w:themeFill="accent4"/>
                </w:tcPr>
                <w:p w14:paraId="497EAD13"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shd w:val="clear" w:color="auto" w:fill="E6E3DF" w:themeFill="accent4"/>
                </w:tcPr>
                <w:p w14:paraId="1BC28453"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592" w:type="dxa"/>
                  <w:shd w:val="clear" w:color="auto" w:fill="E6E3DF" w:themeFill="accent4"/>
                </w:tcPr>
                <w:p w14:paraId="105B3680"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592" w:type="dxa"/>
                  <w:shd w:val="clear" w:color="auto" w:fill="E6E3DF" w:themeFill="accent4"/>
                </w:tcPr>
                <w:p w14:paraId="164697E1"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shd w:val="clear" w:color="auto" w:fill="E6E3DF" w:themeFill="accent4"/>
                </w:tcPr>
                <w:p w14:paraId="2D3D623D"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shd w:val="clear" w:color="auto" w:fill="E6E3DF" w:themeFill="accent4"/>
                </w:tcPr>
                <w:p w14:paraId="26EE8D49"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shd w:val="clear" w:color="auto" w:fill="E6E3DF" w:themeFill="accent4"/>
                </w:tcPr>
                <w:p w14:paraId="28AEFC2B"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shd w:val="clear" w:color="auto" w:fill="E6E3DF" w:themeFill="accent4"/>
                </w:tcPr>
                <w:p w14:paraId="5C0CBE82"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88" w:type="dxa"/>
                  <w:shd w:val="clear" w:color="auto" w:fill="E6E3DF" w:themeFill="accent4"/>
                </w:tcPr>
                <w:p w14:paraId="6FF5669A"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r>
            <w:tr w:rsidR="009E5D14" w:rsidRPr="003A3374" w14:paraId="228216CB"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7EBF4D61" w14:textId="586698D0" w:rsidR="009E5D14" w:rsidRPr="003A3374" w:rsidRDefault="00EC21B4" w:rsidP="009E5D14">
                  <w:pPr>
                    <w:pStyle w:val="TableText0"/>
                  </w:pPr>
                  <w:r w:rsidRPr="003A3374">
                    <w:t>EBITDA</w:t>
                  </w:r>
                </w:p>
              </w:tc>
              <w:tc>
                <w:tcPr>
                  <w:tcW w:w="592" w:type="dxa"/>
                </w:tcPr>
                <w:p w14:paraId="0C088A29" w14:textId="10B77470"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1,800</w:t>
                  </w:r>
                </w:p>
              </w:tc>
              <w:tc>
                <w:tcPr>
                  <w:tcW w:w="690" w:type="dxa"/>
                </w:tcPr>
                <w:p w14:paraId="3EA90D8D" w14:textId="753D9621"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2,498</w:t>
                  </w:r>
                </w:p>
              </w:tc>
              <w:tc>
                <w:tcPr>
                  <w:tcW w:w="690" w:type="dxa"/>
                </w:tcPr>
                <w:p w14:paraId="7679BF13" w14:textId="083F2954"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2,910</w:t>
                  </w:r>
                </w:p>
              </w:tc>
              <w:tc>
                <w:tcPr>
                  <w:tcW w:w="592" w:type="dxa"/>
                </w:tcPr>
                <w:p w14:paraId="37A42879" w14:textId="15AD3AF6"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3,127</w:t>
                  </w:r>
                </w:p>
              </w:tc>
              <w:tc>
                <w:tcPr>
                  <w:tcW w:w="592" w:type="dxa"/>
                </w:tcPr>
                <w:p w14:paraId="2FB18B71" w14:textId="067FC8DA"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3,524</w:t>
                  </w:r>
                </w:p>
              </w:tc>
              <w:tc>
                <w:tcPr>
                  <w:tcW w:w="690" w:type="dxa"/>
                </w:tcPr>
                <w:p w14:paraId="493F2D97" w14:textId="5F134BD8"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3,683</w:t>
                  </w:r>
                </w:p>
              </w:tc>
              <w:tc>
                <w:tcPr>
                  <w:tcW w:w="690" w:type="dxa"/>
                </w:tcPr>
                <w:p w14:paraId="17C4D4E5" w14:textId="0E7CB3C8"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3,862</w:t>
                  </w:r>
                </w:p>
              </w:tc>
              <w:tc>
                <w:tcPr>
                  <w:tcW w:w="690" w:type="dxa"/>
                </w:tcPr>
                <w:p w14:paraId="75282344" w14:textId="4ECAA9C3"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4,081</w:t>
                  </w:r>
                </w:p>
              </w:tc>
              <w:tc>
                <w:tcPr>
                  <w:tcW w:w="690" w:type="dxa"/>
                </w:tcPr>
                <w:p w14:paraId="1FDDCBE2" w14:textId="4E889725"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4,287</w:t>
                  </w:r>
                </w:p>
              </w:tc>
              <w:tc>
                <w:tcPr>
                  <w:tcW w:w="688" w:type="dxa"/>
                </w:tcPr>
                <w:p w14:paraId="1AE37166" w14:textId="565B31DE"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4,499</w:t>
                  </w:r>
                </w:p>
              </w:tc>
            </w:tr>
            <w:tr w:rsidR="009E5D14" w:rsidRPr="003A3374" w14:paraId="5292AEA0"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73B1412F" w14:textId="09FD97EC" w:rsidR="009E5D14" w:rsidRPr="003A3374" w:rsidRDefault="00EC21B4" w:rsidP="009E5D14">
                  <w:pPr>
                    <w:pStyle w:val="TableText0"/>
                  </w:pPr>
                  <w:r w:rsidRPr="003A3374">
                    <w:t>Working capital</w:t>
                  </w:r>
                </w:p>
              </w:tc>
              <w:tc>
                <w:tcPr>
                  <w:tcW w:w="592" w:type="dxa"/>
                </w:tcPr>
                <w:p w14:paraId="721EA74D" w14:textId="574BA96D"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295</w:t>
                  </w:r>
                </w:p>
              </w:tc>
              <w:tc>
                <w:tcPr>
                  <w:tcW w:w="690" w:type="dxa"/>
                </w:tcPr>
                <w:p w14:paraId="1D051F4C" w14:textId="4951022B"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264</w:t>
                  </w:r>
                </w:p>
              </w:tc>
              <w:tc>
                <w:tcPr>
                  <w:tcW w:w="690" w:type="dxa"/>
                </w:tcPr>
                <w:p w14:paraId="688E76DB" w14:textId="28DEEDFE"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359</w:t>
                  </w:r>
                </w:p>
              </w:tc>
              <w:tc>
                <w:tcPr>
                  <w:tcW w:w="592" w:type="dxa"/>
                </w:tcPr>
                <w:p w14:paraId="3C729E01" w14:textId="0739DCA0"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125</w:t>
                  </w:r>
                </w:p>
              </w:tc>
              <w:tc>
                <w:tcPr>
                  <w:tcW w:w="592" w:type="dxa"/>
                </w:tcPr>
                <w:p w14:paraId="14245C2A" w14:textId="6E7D7774"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158</w:t>
                  </w:r>
                </w:p>
              </w:tc>
              <w:tc>
                <w:tcPr>
                  <w:tcW w:w="690" w:type="dxa"/>
                </w:tcPr>
                <w:p w14:paraId="51F07BE4" w14:textId="21B9AE8B"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76</w:t>
                  </w:r>
                </w:p>
              </w:tc>
              <w:tc>
                <w:tcPr>
                  <w:tcW w:w="690" w:type="dxa"/>
                </w:tcPr>
                <w:p w14:paraId="11CDC25B" w14:textId="5558CC38"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71</w:t>
                  </w:r>
                </w:p>
              </w:tc>
              <w:tc>
                <w:tcPr>
                  <w:tcW w:w="690" w:type="dxa"/>
                </w:tcPr>
                <w:p w14:paraId="1DA5DF73" w14:textId="602539CB"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111</w:t>
                  </w:r>
                </w:p>
              </w:tc>
              <w:tc>
                <w:tcPr>
                  <w:tcW w:w="690" w:type="dxa"/>
                </w:tcPr>
                <w:p w14:paraId="7F79EFB4" w14:textId="68C6775D"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124</w:t>
                  </w:r>
                </w:p>
              </w:tc>
              <w:tc>
                <w:tcPr>
                  <w:tcW w:w="688" w:type="dxa"/>
                </w:tcPr>
                <w:p w14:paraId="03EDBDB0" w14:textId="04C54D5D"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58</w:t>
                  </w:r>
                </w:p>
              </w:tc>
            </w:tr>
            <w:tr w:rsidR="009E5D14" w:rsidRPr="003A3374" w14:paraId="14A8AC05"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604217F9" w14:textId="52029EB4" w:rsidR="009E5D14" w:rsidRPr="003A3374" w:rsidRDefault="00EC21B4" w:rsidP="009E5D14">
                  <w:pPr>
                    <w:pStyle w:val="TableText0"/>
                  </w:pPr>
                  <w:r w:rsidRPr="003A3374">
                    <w:t>Net capex</w:t>
                  </w:r>
                </w:p>
              </w:tc>
              <w:tc>
                <w:tcPr>
                  <w:tcW w:w="592" w:type="dxa"/>
                </w:tcPr>
                <w:p w14:paraId="629EA237" w14:textId="1A5372EA"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(475)</w:t>
                  </w:r>
                </w:p>
              </w:tc>
              <w:tc>
                <w:tcPr>
                  <w:tcW w:w="690" w:type="dxa"/>
                </w:tcPr>
                <w:p w14:paraId="7AC2145C" w14:textId="67E11579"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(560)</w:t>
                  </w:r>
                </w:p>
              </w:tc>
              <w:tc>
                <w:tcPr>
                  <w:tcW w:w="690" w:type="dxa"/>
                </w:tcPr>
                <w:p w14:paraId="0293FB59" w14:textId="7B808F60"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(745)</w:t>
                  </w:r>
                </w:p>
              </w:tc>
              <w:tc>
                <w:tcPr>
                  <w:tcW w:w="592" w:type="dxa"/>
                </w:tcPr>
                <w:p w14:paraId="021E246E" w14:textId="444281CE"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(859)</w:t>
                  </w:r>
                </w:p>
              </w:tc>
              <w:tc>
                <w:tcPr>
                  <w:tcW w:w="592" w:type="dxa"/>
                </w:tcPr>
                <w:p w14:paraId="5968520C" w14:textId="66D5AAA4"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(1,081)</w:t>
                  </w:r>
                </w:p>
              </w:tc>
              <w:tc>
                <w:tcPr>
                  <w:tcW w:w="690" w:type="dxa"/>
                </w:tcPr>
                <w:p w14:paraId="12208F24" w14:textId="59755E8A"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(1,045)</w:t>
                  </w:r>
                </w:p>
              </w:tc>
              <w:tc>
                <w:tcPr>
                  <w:tcW w:w="690" w:type="dxa"/>
                </w:tcPr>
                <w:p w14:paraId="062022C9" w14:textId="78FF1835"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(1,065)</w:t>
                  </w:r>
                </w:p>
              </w:tc>
              <w:tc>
                <w:tcPr>
                  <w:tcW w:w="690" w:type="dxa"/>
                </w:tcPr>
                <w:p w14:paraId="19E3302B" w14:textId="4A6AC049"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(928)</w:t>
                  </w:r>
                </w:p>
              </w:tc>
              <w:tc>
                <w:tcPr>
                  <w:tcW w:w="690" w:type="dxa"/>
                </w:tcPr>
                <w:p w14:paraId="3BBBAF79" w14:textId="7879BB05"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(917)</w:t>
                  </w:r>
                </w:p>
              </w:tc>
              <w:tc>
                <w:tcPr>
                  <w:tcW w:w="688" w:type="dxa"/>
                </w:tcPr>
                <w:p w14:paraId="2A47843C" w14:textId="76C19274"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(951)</w:t>
                  </w:r>
                </w:p>
              </w:tc>
            </w:tr>
            <w:tr w:rsidR="009E5D14" w:rsidRPr="003A3374" w14:paraId="5BBCD479"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25DBF477" w14:textId="29C6BE12" w:rsidR="009E5D14" w:rsidRPr="003A3374" w:rsidRDefault="00EC21B4" w:rsidP="009E5D14">
                  <w:pPr>
                    <w:pStyle w:val="TableText0"/>
                  </w:pPr>
                  <w:r w:rsidRPr="003A3374">
                    <w:t>Other operating cash flow</w:t>
                  </w:r>
                </w:p>
              </w:tc>
              <w:tc>
                <w:tcPr>
                  <w:tcW w:w="592" w:type="dxa"/>
                </w:tcPr>
                <w:p w14:paraId="023E3900" w14:textId="03D83315"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(696)</w:t>
                  </w:r>
                </w:p>
              </w:tc>
              <w:tc>
                <w:tcPr>
                  <w:tcW w:w="690" w:type="dxa"/>
                </w:tcPr>
                <w:p w14:paraId="281D5838" w14:textId="7B61071B"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(742)</w:t>
                  </w:r>
                </w:p>
              </w:tc>
              <w:tc>
                <w:tcPr>
                  <w:tcW w:w="690" w:type="dxa"/>
                </w:tcPr>
                <w:p w14:paraId="08CE1E10" w14:textId="2EF3675B"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(324)</w:t>
                  </w:r>
                </w:p>
              </w:tc>
              <w:tc>
                <w:tcPr>
                  <w:tcW w:w="592" w:type="dxa"/>
                </w:tcPr>
                <w:p w14:paraId="6663FB64" w14:textId="0D38B4ED"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(533)</w:t>
                  </w:r>
                </w:p>
              </w:tc>
              <w:tc>
                <w:tcPr>
                  <w:tcW w:w="592" w:type="dxa"/>
                </w:tcPr>
                <w:p w14:paraId="24B01248" w14:textId="2D76B0DF"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(796)</w:t>
                  </w:r>
                </w:p>
              </w:tc>
              <w:tc>
                <w:tcPr>
                  <w:tcW w:w="690" w:type="dxa"/>
                </w:tcPr>
                <w:p w14:paraId="11BA1DAA" w14:textId="7723CFAE"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(878)</w:t>
                  </w:r>
                </w:p>
              </w:tc>
              <w:tc>
                <w:tcPr>
                  <w:tcW w:w="690" w:type="dxa"/>
                </w:tcPr>
                <w:p w14:paraId="2C10BD81" w14:textId="30592A88"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(1,008)</w:t>
                  </w:r>
                </w:p>
              </w:tc>
              <w:tc>
                <w:tcPr>
                  <w:tcW w:w="690" w:type="dxa"/>
                </w:tcPr>
                <w:p w14:paraId="1942C0ED" w14:textId="0530C897"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(1,103)</w:t>
                  </w:r>
                </w:p>
              </w:tc>
              <w:tc>
                <w:tcPr>
                  <w:tcW w:w="690" w:type="dxa"/>
                </w:tcPr>
                <w:p w14:paraId="30F00D61" w14:textId="01961A80"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(1,211)</w:t>
                  </w:r>
                </w:p>
              </w:tc>
              <w:tc>
                <w:tcPr>
                  <w:tcW w:w="688" w:type="dxa"/>
                </w:tcPr>
                <w:p w14:paraId="043E0E72" w14:textId="24792F2E"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(1,273)</w:t>
                  </w:r>
                </w:p>
              </w:tc>
            </w:tr>
            <w:tr w:rsidR="009E5D14" w:rsidRPr="003A3374" w14:paraId="23B97EA6"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76301479" w14:textId="63118806" w:rsidR="009E5D14" w:rsidRPr="003A3374" w:rsidRDefault="00EC21B4" w:rsidP="009E5D14">
                  <w:pPr>
                    <w:pStyle w:val="TableText0"/>
                  </w:pPr>
                  <w:r w:rsidRPr="003A3374">
                    <w:t>Equity free cash flow</w:t>
                  </w:r>
                </w:p>
              </w:tc>
              <w:tc>
                <w:tcPr>
                  <w:tcW w:w="592" w:type="dxa"/>
                </w:tcPr>
                <w:p w14:paraId="2D8E6317" w14:textId="2CC08D97"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924</w:t>
                  </w:r>
                </w:p>
              </w:tc>
              <w:tc>
                <w:tcPr>
                  <w:tcW w:w="690" w:type="dxa"/>
                </w:tcPr>
                <w:p w14:paraId="4A7C2A05" w14:textId="3A09BE5A"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1,460</w:t>
                  </w:r>
                </w:p>
              </w:tc>
              <w:tc>
                <w:tcPr>
                  <w:tcW w:w="690" w:type="dxa"/>
                </w:tcPr>
                <w:p w14:paraId="1864D24B" w14:textId="6276B906"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2,200</w:t>
                  </w:r>
                </w:p>
              </w:tc>
              <w:tc>
                <w:tcPr>
                  <w:tcW w:w="592" w:type="dxa"/>
                </w:tcPr>
                <w:p w14:paraId="6EE43DDE" w14:textId="091BF9C3"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1,860</w:t>
                  </w:r>
                </w:p>
              </w:tc>
              <w:tc>
                <w:tcPr>
                  <w:tcW w:w="592" w:type="dxa"/>
                </w:tcPr>
                <w:p w14:paraId="45265772" w14:textId="49DED2CD"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1,805</w:t>
                  </w:r>
                </w:p>
              </w:tc>
              <w:tc>
                <w:tcPr>
                  <w:tcW w:w="690" w:type="dxa"/>
                </w:tcPr>
                <w:p w14:paraId="6AF59C89" w14:textId="208A3B41"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1,835</w:t>
                  </w:r>
                </w:p>
              </w:tc>
              <w:tc>
                <w:tcPr>
                  <w:tcW w:w="690" w:type="dxa"/>
                </w:tcPr>
                <w:p w14:paraId="6B8311BA" w14:textId="687BC859"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1,860</w:t>
                  </w:r>
                </w:p>
              </w:tc>
              <w:tc>
                <w:tcPr>
                  <w:tcW w:w="690" w:type="dxa"/>
                </w:tcPr>
                <w:p w14:paraId="1E4C0462" w14:textId="004E9F72"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2,160</w:t>
                  </w:r>
                </w:p>
              </w:tc>
              <w:tc>
                <w:tcPr>
                  <w:tcW w:w="690" w:type="dxa"/>
                </w:tcPr>
                <w:p w14:paraId="6550E829" w14:textId="4AC2FC05"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2,284</w:t>
                  </w:r>
                </w:p>
              </w:tc>
              <w:tc>
                <w:tcPr>
                  <w:tcW w:w="688" w:type="dxa"/>
                </w:tcPr>
                <w:p w14:paraId="6BE74E73" w14:textId="1DBFBD6A"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2,334</w:t>
                  </w:r>
                </w:p>
              </w:tc>
            </w:tr>
            <w:tr w:rsidR="009E5D14" w:rsidRPr="003A3374" w14:paraId="229035A5"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1E3C7D4C" w14:textId="39405F0C" w:rsidR="009E5D14" w:rsidRPr="003A3374" w:rsidRDefault="00EC21B4" w:rsidP="009E5D14">
                  <w:pPr>
                    <w:pStyle w:val="TableText0"/>
                  </w:pPr>
                  <w:r w:rsidRPr="003A3374">
                    <w:t>Dividends paid</w:t>
                  </w:r>
                </w:p>
              </w:tc>
              <w:tc>
                <w:tcPr>
                  <w:tcW w:w="592" w:type="dxa"/>
                </w:tcPr>
                <w:p w14:paraId="119FA208" w14:textId="752E8CEA"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(386)</w:t>
                  </w:r>
                </w:p>
              </w:tc>
              <w:tc>
                <w:tcPr>
                  <w:tcW w:w="690" w:type="dxa"/>
                </w:tcPr>
                <w:p w14:paraId="3417C315" w14:textId="6F49D5C3"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(638)</w:t>
                  </w:r>
                </w:p>
              </w:tc>
              <w:tc>
                <w:tcPr>
                  <w:tcW w:w="690" w:type="dxa"/>
                </w:tcPr>
                <w:p w14:paraId="0EA3BC9F" w14:textId="07F57922"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(763)</w:t>
                  </w:r>
                </w:p>
              </w:tc>
              <w:tc>
                <w:tcPr>
                  <w:tcW w:w="592" w:type="dxa"/>
                </w:tcPr>
                <w:p w14:paraId="3A87D7E2" w14:textId="21EF0264"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(841)</w:t>
                  </w:r>
                </w:p>
              </w:tc>
              <w:tc>
                <w:tcPr>
                  <w:tcW w:w="592" w:type="dxa"/>
                </w:tcPr>
                <w:p w14:paraId="0871D4D1" w14:textId="296D7D74"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(910)</w:t>
                  </w:r>
                </w:p>
              </w:tc>
              <w:tc>
                <w:tcPr>
                  <w:tcW w:w="690" w:type="dxa"/>
                </w:tcPr>
                <w:p w14:paraId="11FE15FE" w14:textId="113B8257"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(923)</w:t>
                  </w:r>
                </w:p>
              </w:tc>
              <w:tc>
                <w:tcPr>
                  <w:tcW w:w="690" w:type="dxa"/>
                </w:tcPr>
                <w:p w14:paraId="5B9E705D" w14:textId="3D60CD50"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(943)</w:t>
                  </w:r>
                </w:p>
              </w:tc>
              <w:tc>
                <w:tcPr>
                  <w:tcW w:w="690" w:type="dxa"/>
                </w:tcPr>
                <w:p w14:paraId="68497760" w14:textId="3FDA1100"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(974)</w:t>
                  </w:r>
                </w:p>
              </w:tc>
              <w:tc>
                <w:tcPr>
                  <w:tcW w:w="690" w:type="dxa"/>
                </w:tcPr>
                <w:p w14:paraId="657584AD" w14:textId="28FFDEB1"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(1,006)</w:t>
                  </w:r>
                </w:p>
              </w:tc>
              <w:tc>
                <w:tcPr>
                  <w:tcW w:w="688" w:type="dxa"/>
                </w:tcPr>
                <w:p w14:paraId="686FC2C7" w14:textId="05861D24"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(1,060)</w:t>
                  </w:r>
                </w:p>
              </w:tc>
            </w:tr>
            <w:tr w:rsidR="009E5D14" w:rsidRPr="003A3374" w14:paraId="7321AEA2"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1166BD42" w14:textId="7CC98EB7" w:rsidR="009E5D14" w:rsidRPr="003A3374" w:rsidRDefault="00EC21B4" w:rsidP="009E5D14">
                  <w:pPr>
                    <w:pStyle w:val="TableText0"/>
                  </w:pPr>
                  <w:r w:rsidRPr="003A3374">
                    <w:t>Net acquisitions</w:t>
                  </w:r>
                </w:p>
              </w:tc>
              <w:tc>
                <w:tcPr>
                  <w:tcW w:w="592" w:type="dxa"/>
                </w:tcPr>
                <w:p w14:paraId="2D7736F0" w14:textId="300F26B0"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0</w:t>
                  </w:r>
                </w:p>
              </w:tc>
              <w:tc>
                <w:tcPr>
                  <w:tcW w:w="690" w:type="dxa"/>
                </w:tcPr>
                <w:p w14:paraId="5183643C" w14:textId="0F299699"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(5,401)</w:t>
                  </w:r>
                </w:p>
              </w:tc>
              <w:tc>
                <w:tcPr>
                  <w:tcW w:w="690" w:type="dxa"/>
                </w:tcPr>
                <w:p w14:paraId="38A943D7" w14:textId="482B5E86"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0</w:t>
                  </w:r>
                </w:p>
              </w:tc>
              <w:tc>
                <w:tcPr>
                  <w:tcW w:w="592" w:type="dxa"/>
                </w:tcPr>
                <w:p w14:paraId="509C541D" w14:textId="1BFDA1A4"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(282)</w:t>
                  </w:r>
                </w:p>
              </w:tc>
              <w:tc>
                <w:tcPr>
                  <w:tcW w:w="592" w:type="dxa"/>
                </w:tcPr>
                <w:p w14:paraId="1853C18B" w14:textId="5BADC187"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(1,524)</w:t>
                  </w:r>
                </w:p>
              </w:tc>
              <w:tc>
                <w:tcPr>
                  <w:tcW w:w="690" w:type="dxa"/>
                </w:tcPr>
                <w:p w14:paraId="60349F47" w14:textId="252ACDB3"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0</w:t>
                  </w:r>
                </w:p>
              </w:tc>
              <w:tc>
                <w:tcPr>
                  <w:tcW w:w="690" w:type="dxa"/>
                </w:tcPr>
                <w:p w14:paraId="5DCF3FF5" w14:textId="166CCED3"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0</w:t>
                  </w:r>
                </w:p>
              </w:tc>
              <w:tc>
                <w:tcPr>
                  <w:tcW w:w="690" w:type="dxa"/>
                </w:tcPr>
                <w:p w14:paraId="72D579AF" w14:textId="311D3D2D"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0</w:t>
                  </w:r>
                </w:p>
              </w:tc>
              <w:tc>
                <w:tcPr>
                  <w:tcW w:w="690" w:type="dxa"/>
                </w:tcPr>
                <w:p w14:paraId="02AA2D0F" w14:textId="0280E2F5"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0</w:t>
                  </w:r>
                </w:p>
              </w:tc>
              <w:tc>
                <w:tcPr>
                  <w:tcW w:w="688" w:type="dxa"/>
                </w:tcPr>
                <w:p w14:paraId="558F3CF0" w14:textId="0FDF9D15"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0</w:t>
                  </w:r>
                </w:p>
              </w:tc>
            </w:tr>
            <w:tr w:rsidR="009E5D14" w:rsidRPr="003A3374" w14:paraId="68CBA063"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6E357FD3" w14:textId="7DAE1D53" w:rsidR="009E5D14" w:rsidRPr="003A3374" w:rsidRDefault="00EC21B4" w:rsidP="009E5D14">
                  <w:pPr>
                    <w:pStyle w:val="TableText0"/>
                  </w:pPr>
                  <w:r w:rsidRPr="003A3374">
                    <w:t>Shares issued (bought)</w:t>
                  </w:r>
                </w:p>
              </w:tc>
              <w:tc>
                <w:tcPr>
                  <w:tcW w:w="592" w:type="dxa"/>
                </w:tcPr>
                <w:p w14:paraId="1575AEFA" w14:textId="15D3CCB5"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(115)</w:t>
                  </w:r>
                </w:p>
              </w:tc>
              <w:tc>
                <w:tcPr>
                  <w:tcW w:w="690" w:type="dxa"/>
                </w:tcPr>
                <w:p w14:paraId="5EC660E5" w14:textId="1969FDB7"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28</w:t>
                  </w:r>
                </w:p>
              </w:tc>
              <w:tc>
                <w:tcPr>
                  <w:tcW w:w="690" w:type="dxa"/>
                </w:tcPr>
                <w:p w14:paraId="7B80143E" w14:textId="68A97F45"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13</w:t>
                  </w:r>
                </w:p>
              </w:tc>
              <w:tc>
                <w:tcPr>
                  <w:tcW w:w="592" w:type="dxa"/>
                </w:tcPr>
                <w:p w14:paraId="7B9593AB" w14:textId="7BF6C6CB"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43</w:t>
                  </w:r>
                </w:p>
              </w:tc>
              <w:tc>
                <w:tcPr>
                  <w:tcW w:w="592" w:type="dxa"/>
                </w:tcPr>
                <w:p w14:paraId="344EFEC8" w14:textId="2B892870"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31</w:t>
                  </w:r>
                </w:p>
              </w:tc>
              <w:tc>
                <w:tcPr>
                  <w:tcW w:w="690" w:type="dxa"/>
                </w:tcPr>
                <w:p w14:paraId="55911BA4" w14:textId="1F4CA6B7"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(1,000)</w:t>
                  </w:r>
                </w:p>
              </w:tc>
              <w:tc>
                <w:tcPr>
                  <w:tcW w:w="690" w:type="dxa"/>
                </w:tcPr>
                <w:p w14:paraId="3ADE4C61" w14:textId="73FDE070"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(1,500)</w:t>
                  </w:r>
                </w:p>
              </w:tc>
              <w:tc>
                <w:tcPr>
                  <w:tcW w:w="690" w:type="dxa"/>
                </w:tcPr>
                <w:p w14:paraId="7D24EAFE" w14:textId="7DD64DA5"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(2,000)</w:t>
                  </w:r>
                </w:p>
              </w:tc>
              <w:tc>
                <w:tcPr>
                  <w:tcW w:w="690" w:type="dxa"/>
                </w:tcPr>
                <w:p w14:paraId="0C58169A" w14:textId="05148B82"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(2,000)</w:t>
                  </w:r>
                </w:p>
              </w:tc>
              <w:tc>
                <w:tcPr>
                  <w:tcW w:w="688" w:type="dxa"/>
                </w:tcPr>
                <w:p w14:paraId="2A67BD08" w14:textId="186CCF93"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(2,000)</w:t>
                  </w:r>
                </w:p>
              </w:tc>
            </w:tr>
            <w:tr w:rsidR="009E5D14" w:rsidRPr="003A3374" w14:paraId="47B295BD"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66D4F6EA" w14:textId="79296C9B" w:rsidR="009E5D14" w:rsidRPr="003A3374" w:rsidRDefault="00EC21B4" w:rsidP="009E5D14">
                  <w:pPr>
                    <w:pStyle w:val="TableText0"/>
                  </w:pPr>
                  <w:r w:rsidRPr="003A3374">
                    <w:t xml:space="preserve">Other </w:t>
                  </w:r>
                </w:p>
              </w:tc>
              <w:tc>
                <w:tcPr>
                  <w:tcW w:w="592" w:type="dxa"/>
                </w:tcPr>
                <w:p w14:paraId="13116001" w14:textId="22BFAA69"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(11)</w:t>
                  </w:r>
                </w:p>
              </w:tc>
              <w:tc>
                <w:tcPr>
                  <w:tcW w:w="690" w:type="dxa"/>
                </w:tcPr>
                <w:p w14:paraId="1C9CB68B" w14:textId="4DA37EE8"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144</w:t>
                  </w:r>
                </w:p>
              </w:tc>
              <w:tc>
                <w:tcPr>
                  <w:tcW w:w="690" w:type="dxa"/>
                </w:tcPr>
                <w:p w14:paraId="4313C478" w14:textId="36DFBA53"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(196)</w:t>
                  </w:r>
                </w:p>
              </w:tc>
              <w:tc>
                <w:tcPr>
                  <w:tcW w:w="592" w:type="dxa"/>
                </w:tcPr>
                <w:p w14:paraId="6864FE7E" w14:textId="14D16C71"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(321)</w:t>
                  </w:r>
                </w:p>
              </w:tc>
              <w:tc>
                <w:tcPr>
                  <w:tcW w:w="592" w:type="dxa"/>
                </w:tcPr>
                <w:p w14:paraId="05840BE2" w14:textId="636E3A79"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885</w:t>
                  </w:r>
                </w:p>
              </w:tc>
              <w:tc>
                <w:tcPr>
                  <w:tcW w:w="690" w:type="dxa"/>
                </w:tcPr>
                <w:p w14:paraId="35C883FE" w14:textId="498A4012"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(272)</w:t>
                  </w:r>
                </w:p>
              </w:tc>
              <w:tc>
                <w:tcPr>
                  <w:tcW w:w="690" w:type="dxa"/>
                </w:tcPr>
                <w:p w14:paraId="687C6529" w14:textId="4E246D99"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0</w:t>
                  </w:r>
                </w:p>
              </w:tc>
              <w:tc>
                <w:tcPr>
                  <w:tcW w:w="690" w:type="dxa"/>
                </w:tcPr>
                <w:p w14:paraId="0741D773" w14:textId="5A2E9018"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0</w:t>
                  </w:r>
                </w:p>
              </w:tc>
              <w:tc>
                <w:tcPr>
                  <w:tcW w:w="690" w:type="dxa"/>
                </w:tcPr>
                <w:p w14:paraId="03F30C6E" w14:textId="00093813"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0</w:t>
                  </w:r>
                </w:p>
              </w:tc>
              <w:tc>
                <w:tcPr>
                  <w:tcW w:w="688" w:type="dxa"/>
                </w:tcPr>
                <w:p w14:paraId="1E308D89" w14:textId="5A6382D4"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0</w:t>
                  </w:r>
                </w:p>
              </w:tc>
            </w:tr>
            <w:tr w:rsidR="009E5D14" w:rsidRPr="003A3374" w14:paraId="2A69D9AE"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29274CC0" w14:textId="4CDF4532" w:rsidR="009E5D14" w:rsidRPr="003A3374" w:rsidRDefault="00EC21B4" w:rsidP="009E5D14">
                  <w:pPr>
                    <w:pStyle w:val="TableText0"/>
                  </w:pPr>
                  <w:r w:rsidRPr="003A3374">
                    <w:t>Net cash flow</w:t>
                  </w:r>
                </w:p>
              </w:tc>
              <w:tc>
                <w:tcPr>
                  <w:tcW w:w="592" w:type="dxa"/>
                </w:tcPr>
                <w:p w14:paraId="63B83A77" w14:textId="25D87958"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412</w:t>
                  </w:r>
                </w:p>
              </w:tc>
              <w:tc>
                <w:tcPr>
                  <w:tcW w:w="690" w:type="dxa"/>
                </w:tcPr>
                <w:p w14:paraId="2DA7C378" w14:textId="1C778896"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(4,407)</w:t>
                  </w:r>
                </w:p>
              </w:tc>
              <w:tc>
                <w:tcPr>
                  <w:tcW w:w="690" w:type="dxa"/>
                </w:tcPr>
                <w:p w14:paraId="18029D13" w14:textId="429E091C"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1,254</w:t>
                  </w:r>
                </w:p>
              </w:tc>
              <w:tc>
                <w:tcPr>
                  <w:tcW w:w="592" w:type="dxa"/>
                </w:tcPr>
                <w:p w14:paraId="3750AA82" w14:textId="0651227A"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459</w:t>
                  </w:r>
                </w:p>
              </w:tc>
              <w:tc>
                <w:tcPr>
                  <w:tcW w:w="592" w:type="dxa"/>
                </w:tcPr>
                <w:p w14:paraId="2CAA1771" w14:textId="48820486"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287</w:t>
                  </w:r>
                </w:p>
              </w:tc>
              <w:tc>
                <w:tcPr>
                  <w:tcW w:w="690" w:type="dxa"/>
                </w:tcPr>
                <w:p w14:paraId="14521834" w14:textId="3F26E8FE"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(360)</w:t>
                  </w:r>
                </w:p>
              </w:tc>
              <w:tc>
                <w:tcPr>
                  <w:tcW w:w="690" w:type="dxa"/>
                </w:tcPr>
                <w:p w14:paraId="2C7747AD" w14:textId="6EF5B8AD"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(583)</w:t>
                  </w:r>
                </w:p>
              </w:tc>
              <w:tc>
                <w:tcPr>
                  <w:tcW w:w="690" w:type="dxa"/>
                </w:tcPr>
                <w:p w14:paraId="770587F1" w14:textId="0B048511"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(814)</w:t>
                  </w:r>
                </w:p>
              </w:tc>
              <w:tc>
                <w:tcPr>
                  <w:tcW w:w="690" w:type="dxa"/>
                </w:tcPr>
                <w:p w14:paraId="2A3D2F6C" w14:textId="690F5C20"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(722)</w:t>
                  </w:r>
                </w:p>
              </w:tc>
              <w:tc>
                <w:tcPr>
                  <w:tcW w:w="688" w:type="dxa"/>
                </w:tcPr>
                <w:p w14:paraId="08511A47" w14:textId="097097D8"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(726)</w:t>
                  </w:r>
                </w:p>
              </w:tc>
            </w:tr>
            <w:tr w:rsidR="009E5D14" w:rsidRPr="003A3374" w14:paraId="5FD301CB"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39D0B16B" w14:textId="77777777" w:rsidR="009E5D14" w:rsidRPr="003A3374" w:rsidRDefault="009E5D14" w:rsidP="009E5D14">
                  <w:pPr>
                    <w:pStyle w:val="TableText0"/>
                  </w:pPr>
                </w:p>
              </w:tc>
              <w:tc>
                <w:tcPr>
                  <w:tcW w:w="592" w:type="dxa"/>
                </w:tcPr>
                <w:p w14:paraId="16331B1C"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90" w:type="dxa"/>
                </w:tcPr>
                <w:p w14:paraId="41A3AE5B"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90" w:type="dxa"/>
                </w:tcPr>
                <w:p w14:paraId="3F64A0D7"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592" w:type="dxa"/>
                </w:tcPr>
                <w:p w14:paraId="127B3266"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592" w:type="dxa"/>
                </w:tcPr>
                <w:p w14:paraId="1B4921D0"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90" w:type="dxa"/>
                </w:tcPr>
                <w:p w14:paraId="5FA2E939"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90" w:type="dxa"/>
                </w:tcPr>
                <w:p w14:paraId="07DA268C"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90" w:type="dxa"/>
                </w:tcPr>
                <w:p w14:paraId="57057F7B"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90" w:type="dxa"/>
                </w:tcPr>
                <w:p w14:paraId="08F87B7C"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88" w:type="dxa"/>
                </w:tcPr>
                <w:p w14:paraId="3FA609CE"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r>
            <w:tr w:rsidR="009E5D14" w:rsidRPr="003A3374" w14:paraId="43B05E36" w14:textId="77777777" w:rsidTr="009E5D14">
              <w:tc>
                <w:tcPr>
                  <w:cnfStyle w:val="001000000000" w:firstRow="0" w:lastRow="0" w:firstColumn="1" w:lastColumn="0" w:oddVBand="0" w:evenVBand="0" w:oddHBand="0" w:evenHBand="0" w:firstRowFirstColumn="0" w:firstRowLastColumn="0" w:lastRowFirstColumn="0" w:lastRowLastColumn="0"/>
                  <w:tcW w:w="3033" w:type="dxa"/>
                  <w:shd w:val="clear" w:color="auto" w:fill="E6E3DF" w:themeFill="accent4"/>
                </w:tcPr>
                <w:p w14:paraId="3CF8C068" w14:textId="678DAEC9" w:rsidR="009E5D14" w:rsidRPr="003A3374" w:rsidRDefault="00EC21B4" w:rsidP="009E5D14">
                  <w:pPr>
                    <w:pStyle w:val="TableText0"/>
                    <w:rPr>
                      <w:b/>
                      <w:bCs/>
                    </w:rPr>
                  </w:pPr>
                  <w:r w:rsidRPr="003A3374">
                    <w:rPr>
                      <w:b/>
                      <w:bCs/>
                    </w:rPr>
                    <w:t>Balance sheet</w:t>
                  </w:r>
                </w:p>
              </w:tc>
              <w:tc>
                <w:tcPr>
                  <w:tcW w:w="592" w:type="dxa"/>
                  <w:shd w:val="clear" w:color="auto" w:fill="E6E3DF" w:themeFill="accent4"/>
                </w:tcPr>
                <w:p w14:paraId="2DFA32B2"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shd w:val="clear" w:color="auto" w:fill="E6E3DF" w:themeFill="accent4"/>
                </w:tcPr>
                <w:p w14:paraId="72779321"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shd w:val="clear" w:color="auto" w:fill="E6E3DF" w:themeFill="accent4"/>
                </w:tcPr>
                <w:p w14:paraId="7054493A"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592" w:type="dxa"/>
                  <w:shd w:val="clear" w:color="auto" w:fill="E6E3DF" w:themeFill="accent4"/>
                </w:tcPr>
                <w:p w14:paraId="6C8A3A2B"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592" w:type="dxa"/>
                  <w:shd w:val="clear" w:color="auto" w:fill="E6E3DF" w:themeFill="accent4"/>
                </w:tcPr>
                <w:p w14:paraId="0DE66674"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shd w:val="clear" w:color="auto" w:fill="E6E3DF" w:themeFill="accent4"/>
                </w:tcPr>
                <w:p w14:paraId="5AF53A18"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shd w:val="clear" w:color="auto" w:fill="E6E3DF" w:themeFill="accent4"/>
                </w:tcPr>
                <w:p w14:paraId="0CC28F47"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shd w:val="clear" w:color="auto" w:fill="E6E3DF" w:themeFill="accent4"/>
                </w:tcPr>
                <w:p w14:paraId="1EFF4121"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shd w:val="clear" w:color="auto" w:fill="E6E3DF" w:themeFill="accent4"/>
                </w:tcPr>
                <w:p w14:paraId="41725A84"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88" w:type="dxa"/>
                  <w:shd w:val="clear" w:color="auto" w:fill="E6E3DF" w:themeFill="accent4"/>
                </w:tcPr>
                <w:p w14:paraId="5B075763"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r>
            <w:tr w:rsidR="009E5D14" w:rsidRPr="003A3374" w14:paraId="6F96C4F9"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601B1103" w14:textId="17F0D5B2" w:rsidR="009E5D14" w:rsidRPr="003A3374" w:rsidRDefault="00EC21B4" w:rsidP="009E5D14">
                  <w:pPr>
                    <w:pStyle w:val="TableText0"/>
                  </w:pPr>
                  <w:r w:rsidRPr="003A3374">
                    <w:t>Fixed assets</w:t>
                  </w:r>
                </w:p>
              </w:tc>
              <w:tc>
                <w:tcPr>
                  <w:tcW w:w="592" w:type="dxa"/>
                </w:tcPr>
                <w:p w14:paraId="0968804D" w14:textId="56068798"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15,128</w:t>
                  </w:r>
                </w:p>
              </w:tc>
              <w:tc>
                <w:tcPr>
                  <w:tcW w:w="690" w:type="dxa"/>
                </w:tcPr>
                <w:p w14:paraId="090EC625" w14:textId="5610945D"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23,044</w:t>
                  </w:r>
                </w:p>
              </w:tc>
              <w:tc>
                <w:tcPr>
                  <w:tcW w:w="690" w:type="dxa"/>
                </w:tcPr>
                <w:p w14:paraId="16D42773" w14:textId="2A03C48A"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22,558</w:t>
                  </w:r>
                </w:p>
              </w:tc>
              <w:tc>
                <w:tcPr>
                  <w:tcW w:w="592" w:type="dxa"/>
                </w:tcPr>
                <w:p w14:paraId="63FA2E7B" w14:textId="5B1D86EC"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22,548</w:t>
                  </w:r>
                </w:p>
              </w:tc>
              <w:tc>
                <w:tcPr>
                  <w:tcW w:w="592" w:type="dxa"/>
                </w:tcPr>
                <w:p w14:paraId="0FD61E5F" w14:textId="78063ADE"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24,267</w:t>
                  </w:r>
                </w:p>
              </w:tc>
              <w:tc>
                <w:tcPr>
                  <w:tcW w:w="690" w:type="dxa"/>
                </w:tcPr>
                <w:p w14:paraId="2457D564" w14:textId="7384E9A1"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24,705</w:t>
                  </w:r>
                </w:p>
              </w:tc>
              <w:tc>
                <w:tcPr>
                  <w:tcW w:w="690" w:type="dxa"/>
                </w:tcPr>
                <w:p w14:paraId="58A21D9E" w14:textId="21D5AAE1"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24,870</w:t>
                  </w:r>
                </w:p>
              </w:tc>
              <w:tc>
                <w:tcPr>
                  <w:tcW w:w="690" w:type="dxa"/>
                </w:tcPr>
                <w:p w14:paraId="5E570A64" w14:textId="06546EEC"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24,882</w:t>
                  </w:r>
                </w:p>
              </w:tc>
              <w:tc>
                <w:tcPr>
                  <w:tcW w:w="690" w:type="dxa"/>
                </w:tcPr>
                <w:p w14:paraId="4C368FEB" w14:textId="7B556E06"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24,868</w:t>
                  </w:r>
                </w:p>
              </w:tc>
              <w:tc>
                <w:tcPr>
                  <w:tcW w:w="688" w:type="dxa"/>
                </w:tcPr>
                <w:p w14:paraId="643C124B" w14:textId="75F2173F"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24,872</w:t>
                  </w:r>
                </w:p>
              </w:tc>
            </w:tr>
            <w:tr w:rsidR="009E5D14" w:rsidRPr="003A3374" w14:paraId="31CAFC16"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060F7CB9" w14:textId="2802EC5A" w:rsidR="009E5D14" w:rsidRPr="003A3374" w:rsidRDefault="00EC21B4" w:rsidP="009E5D14">
                  <w:pPr>
                    <w:pStyle w:val="TableText0"/>
                  </w:pPr>
                  <w:r w:rsidRPr="003A3374">
                    <w:t>Working capital</w:t>
                  </w:r>
                </w:p>
              </w:tc>
              <w:tc>
                <w:tcPr>
                  <w:tcW w:w="592" w:type="dxa"/>
                </w:tcPr>
                <w:p w14:paraId="1B3066DA" w14:textId="01DB9082"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(634)</w:t>
                  </w:r>
                </w:p>
              </w:tc>
              <w:tc>
                <w:tcPr>
                  <w:tcW w:w="690" w:type="dxa"/>
                </w:tcPr>
                <w:p w14:paraId="2AE68207" w14:textId="3A71FBCD"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(775)</w:t>
                  </w:r>
                </w:p>
              </w:tc>
              <w:tc>
                <w:tcPr>
                  <w:tcW w:w="690" w:type="dxa"/>
                </w:tcPr>
                <w:p w14:paraId="68170F4C" w14:textId="3D8BCC95"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(1,206)</w:t>
                  </w:r>
                </w:p>
              </w:tc>
              <w:tc>
                <w:tcPr>
                  <w:tcW w:w="592" w:type="dxa"/>
                </w:tcPr>
                <w:p w14:paraId="57B2BEC2" w14:textId="45E701DC"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(1,331)</w:t>
                  </w:r>
                </w:p>
              </w:tc>
              <w:tc>
                <w:tcPr>
                  <w:tcW w:w="592" w:type="dxa"/>
                </w:tcPr>
                <w:p w14:paraId="7F4D04BF" w14:textId="737EF131"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(1,614)</w:t>
                  </w:r>
                </w:p>
              </w:tc>
              <w:tc>
                <w:tcPr>
                  <w:tcW w:w="690" w:type="dxa"/>
                </w:tcPr>
                <w:p w14:paraId="48BBFF49" w14:textId="2B361341"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(1,690)</w:t>
                  </w:r>
                </w:p>
              </w:tc>
              <w:tc>
                <w:tcPr>
                  <w:tcW w:w="690" w:type="dxa"/>
                </w:tcPr>
                <w:p w14:paraId="6F3D5C92" w14:textId="5033BC9A"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(1,761)</w:t>
                  </w:r>
                </w:p>
              </w:tc>
              <w:tc>
                <w:tcPr>
                  <w:tcW w:w="690" w:type="dxa"/>
                </w:tcPr>
                <w:p w14:paraId="20155111" w14:textId="3A270D53"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(1,872)</w:t>
                  </w:r>
                </w:p>
              </w:tc>
              <w:tc>
                <w:tcPr>
                  <w:tcW w:w="690" w:type="dxa"/>
                </w:tcPr>
                <w:p w14:paraId="6CD3AEBF" w14:textId="609DC86F"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(1,995)</w:t>
                  </w:r>
                </w:p>
              </w:tc>
              <w:tc>
                <w:tcPr>
                  <w:tcW w:w="688" w:type="dxa"/>
                </w:tcPr>
                <w:p w14:paraId="0FE3D0B9" w14:textId="6564F4CF"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(2,053)</w:t>
                  </w:r>
                </w:p>
              </w:tc>
            </w:tr>
            <w:tr w:rsidR="009E5D14" w:rsidRPr="003A3374" w14:paraId="40B0B7DB"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53359848" w14:textId="7C6DC834" w:rsidR="009E5D14" w:rsidRPr="003A3374" w:rsidRDefault="00EC21B4" w:rsidP="009E5D14">
                  <w:pPr>
                    <w:pStyle w:val="TableText0"/>
                  </w:pPr>
                  <w:r w:rsidRPr="003A3374">
                    <w:t>Net (debt)/cash</w:t>
                  </w:r>
                </w:p>
              </w:tc>
              <w:tc>
                <w:tcPr>
                  <w:tcW w:w="592" w:type="dxa"/>
                </w:tcPr>
                <w:p w14:paraId="4A1FD627" w14:textId="7DFC1880"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(5,700)</w:t>
                  </w:r>
                </w:p>
              </w:tc>
              <w:tc>
                <w:tcPr>
                  <w:tcW w:w="690" w:type="dxa"/>
                </w:tcPr>
                <w:p w14:paraId="42676165" w14:textId="2CBB0011"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(11,607)</w:t>
                  </w:r>
                </w:p>
              </w:tc>
              <w:tc>
                <w:tcPr>
                  <w:tcW w:w="690" w:type="dxa"/>
                </w:tcPr>
                <w:p w14:paraId="1310479F" w14:textId="66DE9626"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(10,206)</w:t>
                  </w:r>
                </w:p>
              </w:tc>
              <w:tc>
                <w:tcPr>
                  <w:tcW w:w="592" w:type="dxa"/>
                </w:tcPr>
                <w:p w14:paraId="72984FC3" w14:textId="2EB65A57"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(9,457)</w:t>
                  </w:r>
                </w:p>
              </w:tc>
              <w:tc>
                <w:tcPr>
                  <w:tcW w:w="592" w:type="dxa"/>
                </w:tcPr>
                <w:p w14:paraId="5838E419" w14:textId="3B553070"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(9,672)</w:t>
                  </w:r>
                </w:p>
              </w:tc>
              <w:tc>
                <w:tcPr>
                  <w:tcW w:w="690" w:type="dxa"/>
                </w:tcPr>
                <w:p w14:paraId="19938174" w14:textId="22697791"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(10,032)</w:t>
                  </w:r>
                </w:p>
              </w:tc>
              <w:tc>
                <w:tcPr>
                  <w:tcW w:w="690" w:type="dxa"/>
                </w:tcPr>
                <w:p w14:paraId="4ADA07F8" w14:textId="3F247CBC"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(10,615)</w:t>
                  </w:r>
                </w:p>
              </w:tc>
              <w:tc>
                <w:tcPr>
                  <w:tcW w:w="690" w:type="dxa"/>
                </w:tcPr>
                <w:p w14:paraId="2970A437" w14:textId="16C3DDC1"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(11,429)</w:t>
                  </w:r>
                </w:p>
              </w:tc>
              <w:tc>
                <w:tcPr>
                  <w:tcW w:w="690" w:type="dxa"/>
                </w:tcPr>
                <w:p w14:paraId="615893C4" w14:textId="028BC904"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(12,151)</w:t>
                  </w:r>
                </w:p>
              </w:tc>
              <w:tc>
                <w:tcPr>
                  <w:tcW w:w="688" w:type="dxa"/>
                </w:tcPr>
                <w:p w14:paraId="1E29B27A" w14:textId="12956796"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(12,877)</w:t>
                  </w:r>
                </w:p>
              </w:tc>
            </w:tr>
            <w:tr w:rsidR="009E5D14" w:rsidRPr="003A3374" w14:paraId="6FEB19F4"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568A159D" w14:textId="7DF17D3C" w:rsidR="009E5D14" w:rsidRPr="003A3374" w:rsidRDefault="00EC21B4" w:rsidP="009E5D14">
                  <w:pPr>
                    <w:pStyle w:val="TableText0"/>
                  </w:pPr>
                  <w:r w:rsidRPr="003A3374">
                    <w:t>Other assets/(liabilities)</w:t>
                  </w:r>
                </w:p>
              </w:tc>
              <w:tc>
                <w:tcPr>
                  <w:tcW w:w="592" w:type="dxa"/>
                </w:tcPr>
                <w:p w14:paraId="0A6C05B3" w14:textId="233DCCC9"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(2,769)</w:t>
                  </w:r>
                </w:p>
              </w:tc>
              <w:tc>
                <w:tcPr>
                  <w:tcW w:w="690" w:type="dxa"/>
                </w:tcPr>
                <w:p w14:paraId="6D235973" w14:textId="56CCCF59"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(3,452)</w:t>
                  </w:r>
                </w:p>
              </w:tc>
              <w:tc>
                <w:tcPr>
                  <w:tcW w:w="690" w:type="dxa"/>
                </w:tcPr>
                <w:p w14:paraId="002B7E2D" w14:textId="237DBEFA"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(3,699)</w:t>
                  </w:r>
                </w:p>
              </w:tc>
              <w:tc>
                <w:tcPr>
                  <w:tcW w:w="592" w:type="dxa"/>
                </w:tcPr>
                <w:p w14:paraId="1F943F52" w14:textId="6EB7FFFA"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(3,784)</w:t>
                  </w:r>
                </w:p>
              </w:tc>
              <w:tc>
                <w:tcPr>
                  <w:tcW w:w="592" w:type="dxa"/>
                </w:tcPr>
                <w:p w14:paraId="154DDE65" w14:textId="7E34E79D"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(3,996)</w:t>
                  </w:r>
                </w:p>
              </w:tc>
              <w:tc>
                <w:tcPr>
                  <w:tcW w:w="690" w:type="dxa"/>
                </w:tcPr>
                <w:p w14:paraId="675993FE" w14:textId="62318337"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(4,086)</w:t>
                  </w:r>
                </w:p>
              </w:tc>
              <w:tc>
                <w:tcPr>
                  <w:tcW w:w="690" w:type="dxa"/>
                </w:tcPr>
                <w:p w14:paraId="728F662A" w14:textId="770D1D80"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(4,091)</w:t>
                  </w:r>
                </w:p>
              </w:tc>
              <w:tc>
                <w:tcPr>
                  <w:tcW w:w="690" w:type="dxa"/>
                </w:tcPr>
                <w:p w14:paraId="024F52DF" w14:textId="0713A98F"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(4,089)</w:t>
                  </w:r>
                </w:p>
              </w:tc>
              <w:tc>
                <w:tcPr>
                  <w:tcW w:w="690" w:type="dxa"/>
                </w:tcPr>
                <w:p w14:paraId="382AE0FF" w14:textId="2FF9FCA4"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(4,082)</w:t>
                  </w:r>
                </w:p>
              </w:tc>
              <w:tc>
                <w:tcPr>
                  <w:tcW w:w="688" w:type="dxa"/>
                </w:tcPr>
                <w:p w14:paraId="60066204" w14:textId="44DA282C"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(4,071)</w:t>
                  </w:r>
                </w:p>
              </w:tc>
            </w:tr>
            <w:tr w:rsidR="009E5D14" w:rsidRPr="003A3374" w14:paraId="113B4936"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294F9210" w14:textId="0372EB12" w:rsidR="009E5D14" w:rsidRPr="003A3374" w:rsidRDefault="00EC21B4" w:rsidP="009E5D14">
                  <w:pPr>
                    <w:pStyle w:val="TableText0"/>
                  </w:pPr>
                  <w:r w:rsidRPr="003A3374">
                    <w:t>Net assets</w:t>
                  </w:r>
                </w:p>
              </w:tc>
              <w:tc>
                <w:tcPr>
                  <w:tcW w:w="592" w:type="dxa"/>
                </w:tcPr>
                <w:p w14:paraId="6CA3435B" w14:textId="1BF00BB4"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6,025</w:t>
                  </w:r>
                </w:p>
              </w:tc>
              <w:tc>
                <w:tcPr>
                  <w:tcW w:w="690" w:type="dxa"/>
                </w:tcPr>
                <w:p w14:paraId="4E5BE834" w14:textId="3AB3FE6E"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7,210</w:t>
                  </w:r>
                </w:p>
              </w:tc>
              <w:tc>
                <w:tcPr>
                  <w:tcW w:w="690" w:type="dxa"/>
                </w:tcPr>
                <w:p w14:paraId="36E7ED54" w14:textId="4B247AD3"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7,447</w:t>
                  </w:r>
                </w:p>
              </w:tc>
              <w:tc>
                <w:tcPr>
                  <w:tcW w:w="592" w:type="dxa"/>
                </w:tcPr>
                <w:p w14:paraId="7A889291" w14:textId="4A0D8E3F"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7,976</w:t>
                  </w:r>
                </w:p>
              </w:tc>
              <w:tc>
                <w:tcPr>
                  <w:tcW w:w="592" w:type="dxa"/>
                </w:tcPr>
                <w:p w14:paraId="646BC9D2" w14:textId="5C05651D"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8,985</w:t>
                  </w:r>
                </w:p>
              </w:tc>
              <w:tc>
                <w:tcPr>
                  <w:tcW w:w="690" w:type="dxa"/>
                </w:tcPr>
                <w:p w14:paraId="162A74F4" w14:textId="196A93CF"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8,897</w:t>
                  </w:r>
                </w:p>
              </w:tc>
              <w:tc>
                <w:tcPr>
                  <w:tcW w:w="690" w:type="dxa"/>
                </w:tcPr>
                <w:p w14:paraId="75D56B2F" w14:textId="4B83B3DE"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8,403</w:t>
                  </w:r>
                </w:p>
              </w:tc>
              <w:tc>
                <w:tcPr>
                  <w:tcW w:w="690" w:type="dxa"/>
                </w:tcPr>
                <w:p w14:paraId="177DF345" w14:textId="6647998E"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7,493</w:t>
                  </w:r>
                </w:p>
              </w:tc>
              <w:tc>
                <w:tcPr>
                  <w:tcW w:w="690" w:type="dxa"/>
                </w:tcPr>
                <w:p w14:paraId="55EA6805" w14:textId="59E59623"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6,640</w:t>
                  </w:r>
                </w:p>
              </w:tc>
              <w:tc>
                <w:tcPr>
                  <w:tcW w:w="688" w:type="dxa"/>
                </w:tcPr>
                <w:p w14:paraId="1CA56C5F" w14:textId="21AF9B74"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5,871</w:t>
                  </w:r>
                </w:p>
              </w:tc>
            </w:tr>
            <w:tr w:rsidR="009E5D14" w:rsidRPr="003A3374" w14:paraId="31BDE5AA"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2A746826" w14:textId="27007FC2" w:rsidR="009E5D14" w:rsidRPr="003A3374" w:rsidRDefault="00EC21B4" w:rsidP="009E5D14">
                  <w:pPr>
                    <w:pStyle w:val="TableText0"/>
                  </w:pPr>
                  <w:r w:rsidRPr="003A3374">
                    <w:t>Invested capital (operating)</w:t>
                  </w:r>
                </w:p>
              </w:tc>
              <w:tc>
                <w:tcPr>
                  <w:tcW w:w="592" w:type="dxa"/>
                </w:tcPr>
                <w:p w14:paraId="4ECC30E0" w14:textId="6EE19AD9"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13,455</w:t>
                  </w:r>
                </w:p>
              </w:tc>
              <w:tc>
                <w:tcPr>
                  <w:tcW w:w="690" w:type="dxa"/>
                </w:tcPr>
                <w:p w14:paraId="0A7BEEA0" w14:textId="3DA862C8"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17,779</w:t>
                  </w:r>
                </w:p>
              </w:tc>
              <w:tc>
                <w:tcPr>
                  <w:tcW w:w="690" w:type="dxa"/>
                </w:tcPr>
                <w:p w14:paraId="4F7E1D28" w14:textId="2C15B990"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19,666</w:t>
                  </w:r>
                </w:p>
              </w:tc>
              <w:tc>
                <w:tcPr>
                  <w:tcW w:w="592" w:type="dxa"/>
                </w:tcPr>
                <w:p w14:paraId="343167BD" w14:textId="2EA177F8"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19,030</w:t>
                  </w:r>
                </w:p>
              </w:tc>
              <w:tc>
                <w:tcPr>
                  <w:tcW w:w="592" w:type="dxa"/>
                </w:tcPr>
                <w:p w14:paraId="6665A030" w14:textId="02D6CF5B"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20,559</w:t>
                  </w:r>
                </w:p>
              </w:tc>
              <w:tc>
                <w:tcPr>
                  <w:tcW w:w="690" w:type="dxa"/>
                </w:tcPr>
                <w:p w14:paraId="63BF4C2B" w14:textId="1D1D9387"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20,751</w:t>
                  </w:r>
                </w:p>
              </w:tc>
              <w:tc>
                <w:tcPr>
                  <w:tcW w:w="690" w:type="dxa"/>
                </w:tcPr>
                <w:p w14:paraId="3CD9FBB1" w14:textId="38B9FE8C"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21,103</w:t>
                  </w:r>
                </w:p>
              </w:tc>
              <w:tc>
                <w:tcPr>
                  <w:tcW w:w="690" w:type="dxa"/>
                </w:tcPr>
                <w:p w14:paraId="119988A0" w14:textId="5959BC82"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21,111</w:t>
                  </w:r>
                </w:p>
              </w:tc>
              <w:tc>
                <w:tcPr>
                  <w:tcW w:w="690" w:type="dxa"/>
                </w:tcPr>
                <w:p w14:paraId="4A1B1500" w14:textId="7058FC11"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20,998</w:t>
                  </w:r>
                </w:p>
              </w:tc>
              <w:tc>
                <w:tcPr>
                  <w:tcW w:w="688" w:type="dxa"/>
                </w:tcPr>
                <w:p w14:paraId="0C0187A8" w14:textId="27203944"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20,901</w:t>
                  </w:r>
                </w:p>
              </w:tc>
            </w:tr>
            <w:tr w:rsidR="009E5D14" w:rsidRPr="003A3374" w14:paraId="14FA53E0"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5D2075FC" w14:textId="3F4D35D1" w:rsidR="009E5D14" w:rsidRPr="003A3374" w:rsidRDefault="00EC21B4" w:rsidP="009E5D14">
                  <w:pPr>
                    <w:pStyle w:val="TableText0"/>
                  </w:pPr>
                  <w:r w:rsidRPr="003A3374">
                    <w:t>ROIC (operating)</w:t>
                  </w:r>
                </w:p>
              </w:tc>
              <w:tc>
                <w:tcPr>
                  <w:tcW w:w="592" w:type="dxa"/>
                </w:tcPr>
                <w:p w14:paraId="415B2C79" w14:textId="4820A3D2"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6.9%</w:t>
                  </w:r>
                </w:p>
              </w:tc>
              <w:tc>
                <w:tcPr>
                  <w:tcW w:w="690" w:type="dxa"/>
                </w:tcPr>
                <w:p w14:paraId="61C5F552" w14:textId="6800699F"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8.1%</w:t>
                  </w:r>
                </w:p>
              </w:tc>
              <w:tc>
                <w:tcPr>
                  <w:tcW w:w="690" w:type="dxa"/>
                </w:tcPr>
                <w:p w14:paraId="0261430E" w14:textId="372CE1E9"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8.6%</w:t>
                  </w:r>
                </w:p>
              </w:tc>
              <w:tc>
                <w:tcPr>
                  <w:tcW w:w="592" w:type="dxa"/>
                </w:tcPr>
                <w:p w14:paraId="685611A7" w14:textId="672D2B5D"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9.6%</w:t>
                  </w:r>
                </w:p>
              </w:tc>
              <w:tc>
                <w:tcPr>
                  <w:tcW w:w="592" w:type="dxa"/>
                </w:tcPr>
                <w:p w14:paraId="48F01BE5" w14:textId="629A3DDE"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9.9%</w:t>
                  </w:r>
                </w:p>
              </w:tc>
              <w:tc>
                <w:tcPr>
                  <w:tcW w:w="690" w:type="dxa"/>
                </w:tcPr>
                <w:p w14:paraId="3E6B0412" w14:textId="2193EB48"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10.3%</w:t>
                  </w:r>
                </w:p>
              </w:tc>
              <w:tc>
                <w:tcPr>
                  <w:tcW w:w="690" w:type="dxa"/>
                </w:tcPr>
                <w:p w14:paraId="2A880540" w14:textId="57E64D1D"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10.7%</w:t>
                  </w:r>
                </w:p>
              </w:tc>
              <w:tc>
                <w:tcPr>
                  <w:tcW w:w="690" w:type="dxa"/>
                </w:tcPr>
                <w:p w14:paraId="3F3E3281" w14:textId="7E93CF76"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11.5%</w:t>
                  </w:r>
                </w:p>
              </w:tc>
              <w:tc>
                <w:tcPr>
                  <w:tcW w:w="690" w:type="dxa"/>
                </w:tcPr>
                <w:p w14:paraId="502458ED" w14:textId="76297D0B"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12.2%</w:t>
                  </w:r>
                </w:p>
              </w:tc>
              <w:tc>
                <w:tcPr>
                  <w:tcW w:w="688" w:type="dxa"/>
                </w:tcPr>
                <w:p w14:paraId="1D7462AD" w14:textId="470687ED"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13.0%</w:t>
                  </w:r>
                </w:p>
              </w:tc>
            </w:tr>
            <w:tr w:rsidR="009E5D14" w:rsidRPr="003A3374" w14:paraId="3B6C700F"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627087B9" w14:textId="77777777" w:rsidR="009E5D14" w:rsidRPr="003A3374" w:rsidRDefault="009E5D14" w:rsidP="009E5D14">
                  <w:pPr>
                    <w:pStyle w:val="TableText0"/>
                  </w:pPr>
                </w:p>
              </w:tc>
              <w:tc>
                <w:tcPr>
                  <w:tcW w:w="592" w:type="dxa"/>
                </w:tcPr>
                <w:p w14:paraId="1213ABC3"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90" w:type="dxa"/>
                </w:tcPr>
                <w:p w14:paraId="17B10C5E"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90" w:type="dxa"/>
                </w:tcPr>
                <w:p w14:paraId="7E343249"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592" w:type="dxa"/>
                </w:tcPr>
                <w:p w14:paraId="337A06F1"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592" w:type="dxa"/>
                </w:tcPr>
                <w:p w14:paraId="6B691F18"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90" w:type="dxa"/>
                </w:tcPr>
                <w:p w14:paraId="3ADAC9DD"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90" w:type="dxa"/>
                </w:tcPr>
                <w:p w14:paraId="767EFDB8"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90" w:type="dxa"/>
                </w:tcPr>
                <w:p w14:paraId="00D88544"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90" w:type="dxa"/>
                </w:tcPr>
                <w:p w14:paraId="0D7D3A47"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88" w:type="dxa"/>
                </w:tcPr>
                <w:p w14:paraId="18316E98"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r>
            <w:tr w:rsidR="009E5D14" w:rsidRPr="003A3374" w14:paraId="68435D6E" w14:textId="77777777" w:rsidTr="009E5D14">
              <w:tc>
                <w:tcPr>
                  <w:cnfStyle w:val="001000000000" w:firstRow="0" w:lastRow="0" w:firstColumn="1" w:lastColumn="0" w:oddVBand="0" w:evenVBand="0" w:oddHBand="0" w:evenHBand="0" w:firstRowFirstColumn="0" w:firstRowLastColumn="0" w:lastRowFirstColumn="0" w:lastRowLastColumn="0"/>
                  <w:tcW w:w="3033" w:type="dxa"/>
                  <w:shd w:val="clear" w:color="auto" w:fill="E6E3DF" w:themeFill="accent4"/>
                </w:tcPr>
                <w:p w14:paraId="4A13BF6F" w14:textId="705C6153" w:rsidR="009E5D14" w:rsidRPr="003A3374" w:rsidRDefault="00EC21B4" w:rsidP="009E5D14">
                  <w:pPr>
                    <w:pStyle w:val="TableText0"/>
                    <w:rPr>
                      <w:b/>
                      <w:bCs/>
                    </w:rPr>
                  </w:pPr>
                  <w:r w:rsidRPr="003A3374">
                    <w:rPr>
                      <w:b/>
                      <w:bCs/>
                    </w:rPr>
                    <w:t>Redburn core metrics</w:t>
                  </w:r>
                </w:p>
              </w:tc>
              <w:tc>
                <w:tcPr>
                  <w:tcW w:w="592" w:type="dxa"/>
                  <w:shd w:val="clear" w:color="auto" w:fill="E6E3DF" w:themeFill="accent4"/>
                </w:tcPr>
                <w:p w14:paraId="72A3EE85"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shd w:val="clear" w:color="auto" w:fill="E6E3DF" w:themeFill="accent4"/>
                </w:tcPr>
                <w:p w14:paraId="1602656C"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shd w:val="clear" w:color="auto" w:fill="E6E3DF" w:themeFill="accent4"/>
                </w:tcPr>
                <w:p w14:paraId="74F99282"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592" w:type="dxa"/>
                  <w:shd w:val="clear" w:color="auto" w:fill="E6E3DF" w:themeFill="accent4"/>
                </w:tcPr>
                <w:p w14:paraId="257680DC"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592" w:type="dxa"/>
                  <w:shd w:val="clear" w:color="auto" w:fill="E6E3DF" w:themeFill="accent4"/>
                </w:tcPr>
                <w:p w14:paraId="4E3A46AC"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shd w:val="clear" w:color="auto" w:fill="E6E3DF" w:themeFill="accent4"/>
                </w:tcPr>
                <w:p w14:paraId="2CB60AA7"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shd w:val="clear" w:color="auto" w:fill="E6E3DF" w:themeFill="accent4"/>
                </w:tcPr>
                <w:p w14:paraId="5EC37E29"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shd w:val="clear" w:color="auto" w:fill="E6E3DF" w:themeFill="accent4"/>
                </w:tcPr>
                <w:p w14:paraId="0CCBCE67"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shd w:val="clear" w:color="auto" w:fill="E6E3DF" w:themeFill="accent4"/>
                </w:tcPr>
                <w:p w14:paraId="01BA014A"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88" w:type="dxa"/>
                  <w:shd w:val="clear" w:color="auto" w:fill="E6E3DF" w:themeFill="accent4"/>
                </w:tcPr>
                <w:p w14:paraId="57D02C61"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r>
            <w:tr w:rsidR="009E5D14" w:rsidRPr="003A3374" w14:paraId="6EAACE62"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7B642DC8" w14:textId="043A37F3" w:rsidR="009E5D14" w:rsidRPr="003A3374" w:rsidRDefault="00EC21B4" w:rsidP="009E5D14">
                  <w:pPr>
                    <w:pStyle w:val="TableText0"/>
                  </w:pPr>
                  <w:r w:rsidRPr="003A3374">
                    <w:t>Core EBITDA</w:t>
                  </w:r>
                </w:p>
              </w:tc>
              <w:tc>
                <w:tcPr>
                  <w:tcW w:w="592" w:type="dxa"/>
                </w:tcPr>
                <w:p w14:paraId="4D3D5647" w14:textId="1E59F65C"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1,432</w:t>
                  </w:r>
                </w:p>
              </w:tc>
              <w:tc>
                <w:tcPr>
                  <w:tcW w:w="690" w:type="dxa"/>
                </w:tcPr>
                <w:p w14:paraId="4523CF1D" w14:textId="308CA0A5"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2,345</w:t>
                  </w:r>
                </w:p>
              </w:tc>
              <w:tc>
                <w:tcPr>
                  <w:tcW w:w="690" w:type="dxa"/>
                </w:tcPr>
                <w:p w14:paraId="09CD65E7" w14:textId="584FFDD1"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2,747</w:t>
                  </w:r>
                </w:p>
              </w:tc>
              <w:tc>
                <w:tcPr>
                  <w:tcW w:w="592" w:type="dxa"/>
                </w:tcPr>
                <w:p w14:paraId="27CB04A5" w14:textId="7955A59B"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3,033</w:t>
                  </w:r>
                </w:p>
              </w:tc>
              <w:tc>
                <w:tcPr>
                  <w:tcW w:w="592" w:type="dxa"/>
                </w:tcPr>
                <w:p w14:paraId="327DEA7C" w14:textId="6FE709ED"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3,260</w:t>
                  </w:r>
                </w:p>
              </w:tc>
              <w:tc>
                <w:tcPr>
                  <w:tcW w:w="690" w:type="dxa"/>
                </w:tcPr>
                <w:p w14:paraId="239967E6" w14:textId="52531834"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3,587</w:t>
                  </w:r>
                </w:p>
              </w:tc>
              <w:tc>
                <w:tcPr>
                  <w:tcW w:w="690" w:type="dxa"/>
                </w:tcPr>
                <w:p w14:paraId="4F3395A8" w14:textId="64C8712F"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3,802</w:t>
                  </w:r>
                </w:p>
              </w:tc>
              <w:tc>
                <w:tcPr>
                  <w:tcW w:w="690" w:type="dxa"/>
                </w:tcPr>
                <w:p w14:paraId="0901233A" w14:textId="52993DF6"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4,051</w:t>
                  </w:r>
                </w:p>
              </w:tc>
              <w:tc>
                <w:tcPr>
                  <w:tcW w:w="690" w:type="dxa"/>
                </w:tcPr>
                <w:p w14:paraId="0BB12FB5" w14:textId="5E3A90D2"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4,272</w:t>
                  </w:r>
                </w:p>
              </w:tc>
              <w:tc>
                <w:tcPr>
                  <w:tcW w:w="688" w:type="dxa"/>
                </w:tcPr>
                <w:p w14:paraId="277FD8BF" w14:textId="3657E106"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4,499</w:t>
                  </w:r>
                </w:p>
              </w:tc>
            </w:tr>
            <w:tr w:rsidR="009E5D14" w:rsidRPr="003A3374" w14:paraId="7E44855A"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29BC6BE1" w14:textId="28B91D17" w:rsidR="009E5D14" w:rsidRPr="003A3374" w:rsidRDefault="00EC21B4" w:rsidP="009E5D14">
                  <w:pPr>
                    <w:pStyle w:val="TableText0"/>
                  </w:pPr>
                  <w:r w:rsidRPr="003A3374">
                    <w:t>Core EBIT</w:t>
                  </w:r>
                </w:p>
              </w:tc>
              <w:tc>
                <w:tcPr>
                  <w:tcW w:w="592" w:type="dxa"/>
                </w:tcPr>
                <w:p w14:paraId="3C836E54" w14:textId="1F0093C2"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826</w:t>
                  </w:r>
                </w:p>
              </w:tc>
              <w:tc>
                <w:tcPr>
                  <w:tcW w:w="690" w:type="dxa"/>
                </w:tcPr>
                <w:p w14:paraId="192C7352" w14:textId="1D8ADED5"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1,619</w:t>
                  </w:r>
                </w:p>
              </w:tc>
              <w:tc>
                <w:tcPr>
                  <w:tcW w:w="690" w:type="dxa"/>
                </w:tcPr>
                <w:p w14:paraId="5950CC5B" w14:textId="76323B4B"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1,975</w:t>
                  </w:r>
                </w:p>
              </w:tc>
              <w:tc>
                <w:tcPr>
                  <w:tcW w:w="592" w:type="dxa"/>
                </w:tcPr>
                <w:p w14:paraId="0BBCA869" w14:textId="636708F9"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2,279</w:t>
                  </w:r>
                </w:p>
              </w:tc>
              <w:tc>
                <w:tcPr>
                  <w:tcW w:w="592" w:type="dxa"/>
                </w:tcPr>
                <w:p w14:paraId="5F958674" w14:textId="03777DFE"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2,399</w:t>
                  </w:r>
                </w:p>
              </w:tc>
              <w:tc>
                <w:tcPr>
                  <w:tcW w:w="690" w:type="dxa"/>
                </w:tcPr>
                <w:p w14:paraId="065406D5" w14:textId="3828301B"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2,707</w:t>
                  </w:r>
                </w:p>
              </w:tc>
              <w:tc>
                <w:tcPr>
                  <w:tcW w:w="690" w:type="dxa"/>
                </w:tcPr>
                <w:p w14:paraId="6096C210" w14:textId="05BBDDA7"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2,902</w:t>
                  </w:r>
                </w:p>
              </w:tc>
              <w:tc>
                <w:tcPr>
                  <w:tcW w:w="690" w:type="dxa"/>
                </w:tcPr>
                <w:p w14:paraId="129FD1DB" w14:textId="24E48CF2"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3,134</w:t>
                  </w:r>
                </w:p>
              </w:tc>
              <w:tc>
                <w:tcPr>
                  <w:tcW w:w="690" w:type="dxa"/>
                </w:tcPr>
                <w:p w14:paraId="18428392" w14:textId="6AE40C64"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3,342</w:t>
                  </w:r>
                </w:p>
              </w:tc>
              <w:tc>
                <w:tcPr>
                  <w:tcW w:w="688" w:type="dxa"/>
                </w:tcPr>
                <w:p w14:paraId="4ABE36AE" w14:textId="5558DC4C"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3,553</w:t>
                  </w:r>
                </w:p>
              </w:tc>
            </w:tr>
            <w:tr w:rsidR="009E5D14" w:rsidRPr="003A3374" w14:paraId="4B1D20A8"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25BCCD3A" w14:textId="05B47A32" w:rsidR="009E5D14" w:rsidRPr="003A3374" w:rsidRDefault="00EC21B4" w:rsidP="009E5D14">
                  <w:pPr>
                    <w:pStyle w:val="TableText0"/>
                  </w:pPr>
                  <w:r w:rsidRPr="003A3374">
                    <w:t>Core EPS</w:t>
                  </w:r>
                </w:p>
              </w:tc>
              <w:tc>
                <w:tcPr>
                  <w:tcW w:w="592" w:type="dxa"/>
                </w:tcPr>
                <w:p w14:paraId="5719E38A" w14:textId="2DF31E6C"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1.19</w:t>
                  </w:r>
                </w:p>
              </w:tc>
              <w:tc>
                <w:tcPr>
                  <w:tcW w:w="690" w:type="dxa"/>
                </w:tcPr>
                <w:p w14:paraId="173B0B30" w14:textId="34935940"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2.57</w:t>
                  </w:r>
                </w:p>
              </w:tc>
              <w:tc>
                <w:tcPr>
                  <w:tcW w:w="690" w:type="dxa"/>
                </w:tcPr>
                <w:p w14:paraId="4F28F30C" w14:textId="3E40B394"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3.12</w:t>
                  </w:r>
                </w:p>
              </w:tc>
              <w:tc>
                <w:tcPr>
                  <w:tcW w:w="592" w:type="dxa"/>
                </w:tcPr>
                <w:p w14:paraId="7100FF8E" w14:textId="4D1C9318"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3.55</w:t>
                  </w:r>
                </w:p>
              </w:tc>
              <w:tc>
                <w:tcPr>
                  <w:tcW w:w="592" w:type="dxa"/>
                </w:tcPr>
                <w:p w14:paraId="4E58CF84" w14:textId="350351D5"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3.53</w:t>
                  </w:r>
                </w:p>
              </w:tc>
              <w:tc>
                <w:tcPr>
                  <w:tcW w:w="690" w:type="dxa"/>
                </w:tcPr>
                <w:p w14:paraId="401DC834" w14:textId="218579F1"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3.97</w:t>
                  </w:r>
                </w:p>
              </w:tc>
              <w:tc>
                <w:tcPr>
                  <w:tcW w:w="690" w:type="dxa"/>
                </w:tcPr>
                <w:p w14:paraId="51965725" w14:textId="5D97B039"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4.39</w:t>
                  </w:r>
                </w:p>
              </w:tc>
              <w:tc>
                <w:tcPr>
                  <w:tcW w:w="690" w:type="dxa"/>
                </w:tcPr>
                <w:p w14:paraId="0F9A01A2" w14:textId="699CDB73"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4.88</w:t>
                  </w:r>
                </w:p>
              </w:tc>
              <w:tc>
                <w:tcPr>
                  <w:tcW w:w="690" w:type="dxa"/>
                </w:tcPr>
                <w:p w14:paraId="223D5981" w14:textId="0DC75364"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5.42</w:t>
                  </w:r>
                </w:p>
              </w:tc>
              <w:tc>
                <w:tcPr>
                  <w:tcW w:w="688" w:type="dxa"/>
                </w:tcPr>
                <w:p w14:paraId="269F5F70" w14:textId="7515A45C"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6.16</w:t>
                  </w:r>
                </w:p>
              </w:tc>
            </w:tr>
            <w:tr w:rsidR="009E5D14" w:rsidRPr="003A3374" w14:paraId="220FC3CC"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377AA61F" w14:textId="77777777" w:rsidR="009E5D14" w:rsidRPr="003A3374" w:rsidRDefault="009E5D14" w:rsidP="009E5D14">
                  <w:pPr>
                    <w:pStyle w:val="TableText0"/>
                  </w:pPr>
                </w:p>
              </w:tc>
              <w:tc>
                <w:tcPr>
                  <w:tcW w:w="592" w:type="dxa"/>
                </w:tcPr>
                <w:p w14:paraId="7743CBF9"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90" w:type="dxa"/>
                </w:tcPr>
                <w:p w14:paraId="7EF5120E"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90" w:type="dxa"/>
                </w:tcPr>
                <w:p w14:paraId="1AC29401"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592" w:type="dxa"/>
                </w:tcPr>
                <w:p w14:paraId="35B4BA03"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592" w:type="dxa"/>
                </w:tcPr>
                <w:p w14:paraId="7150E226"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90" w:type="dxa"/>
                </w:tcPr>
                <w:p w14:paraId="4700BC92"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90" w:type="dxa"/>
                </w:tcPr>
                <w:p w14:paraId="024F151E"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90" w:type="dxa"/>
                </w:tcPr>
                <w:p w14:paraId="2EE9DED7"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90" w:type="dxa"/>
                </w:tcPr>
                <w:p w14:paraId="5D16A7C3"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c>
                <w:tcPr>
                  <w:tcW w:w="688" w:type="dxa"/>
                </w:tcPr>
                <w:p w14:paraId="492EC386"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pPr>
                </w:p>
              </w:tc>
            </w:tr>
            <w:tr w:rsidR="009E5D14" w:rsidRPr="003A3374" w14:paraId="3C0957D5" w14:textId="77777777" w:rsidTr="009E5D14">
              <w:tc>
                <w:tcPr>
                  <w:cnfStyle w:val="001000000000" w:firstRow="0" w:lastRow="0" w:firstColumn="1" w:lastColumn="0" w:oddVBand="0" w:evenVBand="0" w:oddHBand="0" w:evenHBand="0" w:firstRowFirstColumn="0" w:firstRowLastColumn="0" w:lastRowFirstColumn="0" w:lastRowLastColumn="0"/>
                  <w:tcW w:w="3033" w:type="dxa"/>
                  <w:shd w:val="clear" w:color="auto" w:fill="E6E3DF" w:themeFill="accent4"/>
                </w:tcPr>
                <w:p w14:paraId="51D733F6" w14:textId="73AA75BD" w:rsidR="009E5D14" w:rsidRPr="003A3374" w:rsidRDefault="00EC21B4" w:rsidP="009E5D14">
                  <w:pPr>
                    <w:pStyle w:val="TableText0"/>
                    <w:rPr>
                      <w:b/>
                      <w:bCs/>
                    </w:rPr>
                  </w:pPr>
                  <w:r w:rsidRPr="003A3374">
                    <w:rPr>
                      <w:b/>
                      <w:bCs/>
                    </w:rPr>
                    <w:t>Valuation</w:t>
                  </w:r>
                </w:p>
              </w:tc>
              <w:tc>
                <w:tcPr>
                  <w:tcW w:w="592" w:type="dxa"/>
                  <w:shd w:val="clear" w:color="auto" w:fill="E6E3DF" w:themeFill="accent4"/>
                </w:tcPr>
                <w:p w14:paraId="47F14FD0"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shd w:val="clear" w:color="auto" w:fill="E6E3DF" w:themeFill="accent4"/>
                </w:tcPr>
                <w:p w14:paraId="0F8FCA8A"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shd w:val="clear" w:color="auto" w:fill="E6E3DF" w:themeFill="accent4"/>
                </w:tcPr>
                <w:p w14:paraId="1A59B9CC"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592" w:type="dxa"/>
                  <w:shd w:val="clear" w:color="auto" w:fill="E6E3DF" w:themeFill="accent4"/>
                </w:tcPr>
                <w:p w14:paraId="7F397A48"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592" w:type="dxa"/>
                  <w:shd w:val="clear" w:color="auto" w:fill="E6E3DF" w:themeFill="accent4"/>
                </w:tcPr>
                <w:p w14:paraId="5B151EAE"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shd w:val="clear" w:color="auto" w:fill="E6E3DF" w:themeFill="accent4"/>
                </w:tcPr>
                <w:p w14:paraId="5446E33C"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shd w:val="clear" w:color="auto" w:fill="E6E3DF" w:themeFill="accent4"/>
                </w:tcPr>
                <w:p w14:paraId="3E884F76"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shd w:val="clear" w:color="auto" w:fill="E6E3DF" w:themeFill="accent4"/>
                </w:tcPr>
                <w:p w14:paraId="0E5D3378"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90" w:type="dxa"/>
                  <w:shd w:val="clear" w:color="auto" w:fill="E6E3DF" w:themeFill="accent4"/>
                </w:tcPr>
                <w:p w14:paraId="288C2EA7"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88" w:type="dxa"/>
                  <w:shd w:val="clear" w:color="auto" w:fill="E6E3DF" w:themeFill="accent4"/>
                </w:tcPr>
                <w:p w14:paraId="24E68F04" w14:textId="77777777" w:rsidR="009E5D14" w:rsidRPr="003A3374" w:rsidRDefault="009E5D14" w:rsidP="009E5D14">
                  <w:pPr>
                    <w:pStyle w:val="TableText0"/>
                    <w:cnfStyle w:val="000000000000" w:firstRow="0" w:lastRow="0" w:firstColumn="0" w:lastColumn="0" w:oddVBand="0" w:evenVBand="0" w:oddHBand="0" w:evenHBand="0" w:firstRowFirstColumn="0" w:firstRowLastColumn="0" w:lastRowFirstColumn="0" w:lastRowLastColumn="0"/>
                    <w:rPr>
                      <w:b/>
                      <w:bCs/>
                    </w:rPr>
                  </w:pPr>
                </w:p>
              </w:tc>
            </w:tr>
            <w:tr w:rsidR="009E5D14" w:rsidRPr="003A3374" w14:paraId="4BF00DA9"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4D7B55E1" w14:textId="0B9A04D1" w:rsidR="009E5D14" w:rsidRPr="003A3374" w:rsidRDefault="00EC21B4" w:rsidP="009E5D14">
                  <w:pPr>
                    <w:pStyle w:val="TableText0"/>
                  </w:pPr>
                  <w:r w:rsidRPr="003A3374">
                    <w:t>Closing price (€)</w:t>
                  </w:r>
                </w:p>
              </w:tc>
              <w:tc>
                <w:tcPr>
                  <w:tcW w:w="592" w:type="dxa"/>
                </w:tcPr>
                <w:p w14:paraId="0F9A67DE" w14:textId="50DE68E6"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39.50</w:t>
                  </w:r>
                </w:p>
              </w:tc>
              <w:tc>
                <w:tcPr>
                  <w:tcW w:w="690" w:type="dxa"/>
                </w:tcPr>
                <w:p w14:paraId="318F5BEF" w14:textId="4AE8074B"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49.08</w:t>
                  </w:r>
                </w:p>
              </w:tc>
              <w:tc>
                <w:tcPr>
                  <w:tcW w:w="690" w:type="dxa"/>
                </w:tcPr>
                <w:p w14:paraId="63C6A0B6" w14:textId="5E25658F"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52.00</w:t>
                  </w:r>
                </w:p>
              </w:tc>
              <w:tc>
                <w:tcPr>
                  <w:tcW w:w="592" w:type="dxa"/>
                </w:tcPr>
                <w:p w14:paraId="56104B7F" w14:textId="32996B5B"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59.50</w:t>
                  </w:r>
                </w:p>
              </w:tc>
              <w:tc>
                <w:tcPr>
                  <w:tcW w:w="592" w:type="dxa"/>
                </w:tcPr>
                <w:p w14:paraId="4A2D17C2" w14:textId="3681EE87"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75.00</w:t>
                  </w:r>
                </w:p>
              </w:tc>
              <w:tc>
                <w:tcPr>
                  <w:tcW w:w="690" w:type="dxa"/>
                </w:tcPr>
                <w:p w14:paraId="3EF55866" w14:textId="2980364D"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77.20</w:t>
                  </w:r>
                </w:p>
              </w:tc>
              <w:tc>
                <w:tcPr>
                  <w:tcW w:w="690" w:type="dxa"/>
                </w:tcPr>
                <w:p w14:paraId="654D229C" w14:textId="17CF8AEC"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77.20</w:t>
                  </w:r>
                </w:p>
              </w:tc>
              <w:tc>
                <w:tcPr>
                  <w:tcW w:w="690" w:type="dxa"/>
                </w:tcPr>
                <w:p w14:paraId="5B35A78B" w14:textId="7E035A81"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77.20</w:t>
                  </w:r>
                </w:p>
              </w:tc>
              <w:tc>
                <w:tcPr>
                  <w:tcW w:w="690" w:type="dxa"/>
                </w:tcPr>
                <w:p w14:paraId="3469566A" w14:textId="4F7AABC9"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77.20</w:t>
                  </w:r>
                </w:p>
              </w:tc>
              <w:tc>
                <w:tcPr>
                  <w:tcW w:w="688" w:type="dxa"/>
                </w:tcPr>
                <w:p w14:paraId="4824EEF5" w14:textId="6896342B"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77.20</w:t>
                  </w:r>
                </w:p>
              </w:tc>
            </w:tr>
            <w:tr w:rsidR="009E5D14" w:rsidRPr="003A3374" w14:paraId="25A4C36C"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5348F25F" w14:textId="6363E5E0" w:rsidR="009E5D14" w:rsidRPr="003A3374" w:rsidRDefault="00EC21B4" w:rsidP="009E5D14">
                  <w:pPr>
                    <w:pStyle w:val="TableText0"/>
                  </w:pPr>
                  <w:r w:rsidRPr="003A3374">
                    <w:t>Market cap</w:t>
                  </w:r>
                </w:p>
              </w:tc>
              <w:tc>
                <w:tcPr>
                  <w:tcW w:w="592" w:type="dxa"/>
                </w:tcPr>
                <w:p w14:paraId="30870885" w14:textId="055EE41E"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17,973</w:t>
                  </w:r>
                </w:p>
              </w:tc>
              <w:tc>
                <w:tcPr>
                  <w:tcW w:w="690" w:type="dxa"/>
                </w:tcPr>
                <w:p w14:paraId="475EA045" w14:textId="621F4593"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22,380</w:t>
                  </w:r>
                </w:p>
              </w:tc>
              <w:tc>
                <w:tcPr>
                  <w:tcW w:w="690" w:type="dxa"/>
                </w:tcPr>
                <w:p w14:paraId="14375BA0" w14:textId="44F888E5"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23,764</w:t>
                  </w:r>
                </w:p>
              </w:tc>
              <w:tc>
                <w:tcPr>
                  <w:tcW w:w="592" w:type="dxa"/>
                </w:tcPr>
                <w:p w14:paraId="2AC2B376" w14:textId="1E925CA7"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27,311</w:t>
                  </w:r>
                </w:p>
              </w:tc>
              <w:tc>
                <w:tcPr>
                  <w:tcW w:w="592" w:type="dxa"/>
                </w:tcPr>
                <w:p w14:paraId="0A6B8166" w14:textId="4413CCCB"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34,500</w:t>
                  </w:r>
                </w:p>
              </w:tc>
              <w:tc>
                <w:tcPr>
                  <w:tcW w:w="690" w:type="dxa"/>
                </w:tcPr>
                <w:p w14:paraId="594FDD20" w14:textId="2D79AF8F"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35,085</w:t>
                  </w:r>
                </w:p>
              </w:tc>
              <w:tc>
                <w:tcPr>
                  <w:tcW w:w="690" w:type="dxa"/>
                </w:tcPr>
                <w:p w14:paraId="67E301DE" w14:textId="27485BAE"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33,835</w:t>
                  </w:r>
                </w:p>
              </w:tc>
              <w:tc>
                <w:tcPr>
                  <w:tcW w:w="690" w:type="dxa"/>
                </w:tcPr>
                <w:p w14:paraId="0ACB9B69" w14:textId="64403458"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32,085</w:t>
                  </w:r>
                </w:p>
              </w:tc>
              <w:tc>
                <w:tcPr>
                  <w:tcW w:w="690" w:type="dxa"/>
                </w:tcPr>
                <w:p w14:paraId="4015C4FD" w14:textId="3EA9377C"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30,085</w:t>
                  </w:r>
                </w:p>
              </w:tc>
              <w:tc>
                <w:tcPr>
                  <w:tcW w:w="688" w:type="dxa"/>
                </w:tcPr>
                <w:p w14:paraId="1E330071" w14:textId="4A45310D"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28,085</w:t>
                  </w:r>
                </w:p>
              </w:tc>
            </w:tr>
            <w:tr w:rsidR="009E5D14" w:rsidRPr="003A3374" w14:paraId="3907F61E"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3CE9CDF1" w14:textId="406F7BB4" w:rsidR="009E5D14" w:rsidRPr="003A3374" w:rsidRDefault="00EC21B4" w:rsidP="009E5D14">
                  <w:pPr>
                    <w:pStyle w:val="TableText0"/>
                  </w:pPr>
                  <w:r w:rsidRPr="003A3374">
                    <w:t>Enterprise value</w:t>
                  </w:r>
                </w:p>
              </w:tc>
              <w:tc>
                <w:tcPr>
                  <w:tcW w:w="592" w:type="dxa"/>
                </w:tcPr>
                <w:p w14:paraId="708E69DE" w14:textId="0CC2BCC6"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23,638</w:t>
                  </w:r>
                </w:p>
              </w:tc>
              <w:tc>
                <w:tcPr>
                  <w:tcW w:w="690" w:type="dxa"/>
                </w:tcPr>
                <w:p w14:paraId="22806941" w14:textId="4FB738B0"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31,685</w:t>
                  </w:r>
                </w:p>
              </w:tc>
              <w:tc>
                <w:tcPr>
                  <w:tcW w:w="690" w:type="dxa"/>
                </w:tcPr>
                <w:p w14:paraId="3352A2FA" w14:textId="6ED9A80A"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34,500</w:t>
                  </w:r>
                </w:p>
              </w:tc>
              <w:tc>
                <w:tcPr>
                  <w:tcW w:w="592" w:type="dxa"/>
                </w:tcPr>
                <w:p w14:paraId="04432BCA" w14:textId="140C14DA"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36,653</w:t>
                  </w:r>
                </w:p>
              </w:tc>
              <w:tc>
                <w:tcPr>
                  <w:tcW w:w="592" w:type="dxa"/>
                </w:tcPr>
                <w:p w14:paraId="1FF38521" w14:textId="4D8D12DC"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44,781</w:t>
                  </w:r>
                </w:p>
              </w:tc>
              <w:tc>
                <w:tcPr>
                  <w:tcW w:w="690" w:type="dxa"/>
                </w:tcPr>
                <w:p w14:paraId="5C4704EC" w14:textId="3FD69A08"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44,755</w:t>
                  </w:r>
                </w:p>
              </w:tc>
              <w:tc>
                <w:tcPr>
                  <w:tcW w:w="690" w:type="dxa"/>
                </w:tcPr>
                <w:p w14:paraId="2B94CBF2" w14:textId="76E41D98"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44,103</w:t>
                  </w:r>
                </w:p>
              </w:tc>
              <w:tc>
                <w:tcPr>
                  <w:tcW w:w="690" w:type="dxa"/>
                </w:tcPr>
                <w:p w14:paraId="0660C036" w14:textId="2C2A10FC"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43,041</w:t>
                  </w:r>
                </w:p>
              </w:tc>
              <w:tc>
                <w:tcPr>
                  <w:tcW w:w="690" w:type="dxa"/>
                </w:tcPr>
                <w:p w14:paraId="48BA7B0F" w14:textId="25DD979A"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41,799</w:t>
                  </w:r>
                </w:p>
              </w:tc>
              <w:tc>
                <w:tcPr>
                  <w:tcW w:w="688" w:type="dxa"/>
                </w:tcPr>
                <w:p w14:paraId="350FC511" w14:textId="46CE905C"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40,512</w:t>
                  </w:r>
                </w:p>
              </w:tc>
            </w:tr>
            <w:tr w:rsidR="009E5D14" w:rsidRPr="003A3374" w14:paraId="7471CF41"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0179A7AE" w14:textId="4013F91A" w:rsidR="009E5D14" w:rsidRPr="003A3374" w:rsidRDefault="00EC21B4" w:rsidP="009E5D14">
                  <w:pPr>
                    <w:pStyle w:val="TableText0"/>
                  </w:pPr>
                  <w:r w:rsidRPr="003A3374">
                    <w:t>EV/EBITDA</w:t>
                  </w:r>
                </w:p>
              </w:tc>
              <w:tc>
                <w:tcPr>
                  <w:tcW w:w="592" w:type="dxa"/>
                </w:tcPr>
                <w:p w14:paraId="33227C54" w14:textId="43598716"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16.5</w:t>
                  </w:r>
                </w:p>
              </w:tc>
              <w:tc>
                <w:tcPr>
                  <w:tcW w:w="690" w:type="dxa"/>
                </w:tcPr>
                <w:p w14:paraId="4D086C3F" w14:textId="0AB193B5"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13.5</w:t>
                  </w:r>
                </w:p>
              </w:tc>
              <w:tc>
                <w:tcPr>
                  <w:tcW w:w="690" w:type="dxa"/>
                </w:tcPr>
                <w:p w14:paraId="572D8809" w14:textId="0D70FF82"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12.6</w:t>
                  </w:r>
                </w:p>
              </w:tc>
              <w:tc>
                <w:tcPr>
                  <w:tcW w:w="592" w:type="dxa"/>
                </w:tcPr>
                <w:p w14:paraId="08C8AD05" w14:textId="6E6CDA6B"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12.1</w:t>
                  </w:r>
                </w:p>
              </w:tc>
              <w:tc>
                <w:tcPr>
                  <w:tcW w:w="592" w:type="dxa"/>
                </w:tcPr>
                <w:p w14:paraId="15A253F0" w14:textId="77197F27"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13.7</w:t>
                  </w:r>
                </w:p>
              </w:tc>
              <w:tc>
                <w:tcPr>
                  <w:tcW w:w="690" w:type="dxa"/>
                </w:tcPr>
                <w:p w14:paraId="0F7ADDBB" w14:textId="4FE5CA0F"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12.5</w:t>
                  </w:r>
                </w:p>
              </w:tc>
              <w:tc>
                <w:tcPr>
                  <w:tcW w:w="690" w:type="dxa"/>
                </w:tcPr>
                <w:p w14:paraId="7799039B" w14:textId="465BA618"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11.6</w:t>
                  </w:r>
                </w:p>
              </w:tc>
              <w:tc>
                <w:tcPr>
                  <w:tcW w:w="690" w:type="dxa"/>
                </w:tcPr>
                <w:p w14:paraId="442C45BF" w14:textId="2556BF6C"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10.6</w:t>
                  </w:r>
                </w:p>
              </w:tc>
              <w:tc>
                <w:tcPr>
                  <w:tcW w:w="690" w:type="dxa"/>
                </w:tcPr>
                <w:p w14:paraId="717C94B7" w14:textId="1CB2B8E2"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9.8</w:t>
                  </w:r>
                </w:p>
              </w:tc>
              <w:tc>
                <w:tcPr>
                  <w:tcW w:w="688" w:type="dxa"/>
                </w:tcPr>
                <w:p w14:paraId="536212A3" w14:textId="2B335119"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9.0</w:t>
                  </w:r>
                </w:p>
              </w:tc>
            </w:tr>
            <w:tr w:rsidR="009E5D14" w:rsidRPr="003A3374" w14:paraId="5D59749C"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4D28DADC" w14:textId="520BD325" w:rsidR="009E5D14" w:rsidRPr="003A3374" w:rsidRDefault="00EC21B4" w:rsidP="009E5D14">
                  <w:pPr>
                    <w:pStyle w:val="TableText0"/>
                  </w:pPr>
                  <w:r w:rsidRPr="003A3374">
                    <w:t>EV/EBIT</w:t>
                  </w:r>
                </w:p>
              </w:tc>
              <w:tc>
                <w:tcPr>
                  <w:tcW w:w="592" w:type="dxa"/>
                </w:tcPr>
                <w:p w14:paraId="336119A4" w14:textId="40C82153"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28.6</w:t>
                  </w:r>
                </w:p>
              </w:tc>
              <w:tc>
                <w:tcPr>
                  <w:tcW w:w="690" w:type="dxa"/>
                </w:tcPr>
                <w:p w14:paraId="2F217BC0" w14:textId="726C3C49"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19.6</w:t>
                  </w:r>
                </w:p>
              </w:tc>
              <w:tc>
                <w:tcPr>
                  <w:tcW w:w="690" w:type="dxa"/>
                </w:tcPr>
                <w:p w14:paraId="3295400E" w14:textId="01CDAD76"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17.5</w:t>
                  </w:r>
                </w:p>
              </w:tc>
              <w:tc>
                <w:tcPr>
                  <w:tcW w:w="592" w:type="dxa"/>
                </w:tcPr>
                <w:p w14:paraId="22C7219E" w14:textId="20164BFE"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16.1</w:t>
                  </w:r>
                </w:p>
              </w:tc>
              <w:tc>
                <w:tcPr>
                  <w:tcW w:w="592" w:type="dxa"/>
                </w:tcPr>
                <w:p w14:paraId="4C617DA5" w14:textId="228324E1"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18.7</w:t>
                  </w:r>
                </w:p>
              </w:tc>
              <w:tc>
                <w:tcPr>
                  <w:tcW w:w="690" w:type="dxa"/>
                </w:tcPr>
                <w:p w14:paraId="531DF536" w14:textId="28A3AD05"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16.5</w:t>
                  </w:r>
                </w:p>
              </w:tc>
              <w:tc>
                <w:tcPr>
                  <w:tcW w:w="690" w:type="dxa"/>
                </w:tcPr>
                <w:p w14:paraId="3F550364" w14:textId="4478DAAE"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15.2</w:t>
                  </w:r>
                </w:p>
              </w:tc>
              <w:tc>
                <w:tcPr>
                  <w:tcW w:w="690" w:type="dxa"/>
                </w:tcPr>
                <w:p w14:paraId="3B6FE6F3" w14:textId="60C02CB2"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13.7</w:t>
                  </w:r>
                </w:p>
              </w:tc>
              <w:tc>
                <w:tcPr>
                  <w:tcW w:w="690" w:type="dxa"/>
                </w:tcPr>
                <w:p w14:paraId="4EFBC707" w14:textId="0403066A"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12.5</w:t>
                  </w:r>
                </w:p>
              </w:tc>
              <w:tc>
                <w:tcPr>
                  <w:tcW w:w="688" w:type="dxa"/>
                </w:tcPr>
                <w:p w14:paraId="2C0F2DB6" w14:textId="1029D915"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11.4</w:t>
                  </w:r>
                </w:p>
              </w:tc>
            </w:tr>
            <w:tr w:rsidR="009E5D14" w:rsidRPr="003A3374" w14:paraId="7AF9326A"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4BDB682D" w14:textId="4276715D" w:rsidR="009E5D14" w:rsidRPr="003A3374" w:rsidRDefault="00EC21B4" w:rsidP="009E5D14">
                  <w:pPr>
                    <w:pStyle w:val="TableText0"/>
                  </w:pPr>
                  <w:r w:rsidRPr="003A3374">
                    <w:t>P/E</w:t>
                  </w:r>
                </w:p>
              </w:tc>
              <w:tc>
                <w:tcPr>
                  <w:tcW w:w="592" w:type="dxa"/>
                </w:tcPr>
                <w:p w14:paraId="3B386894" w14:textId="5BDF9848"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33.2</w:t>
                  </w:r>
                </w:p>
              </w:tc>
              <w:tc>
                <w:tcPr>
                  <w:tcW w:w="690" w:type="dxa"/>
                </w:tcPr>
                <w:p w14:paraId="7E10D49F" w14:textId="12DE5605"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19.1</w:t>
                  </w:r>
                </w:p>
              </w:tc>
              <w:tc>
                <w:tcPr>
                  <w:tcW w:w="690" w:type="dxa"/>
                </w:tcPr>
                <w:p w14:paraId="66B9D650" w14:textId="0D9DE19D"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16.7</w:t>
                  </w:r>
                </w:p>
              </w:tc>
              <w:tc>
                <w:tcPr>
                  <w:tcW w:w="592" w:type="dxa"/>
                </w:tcPr>
                <w:p w14:paraId="025FB354" w14:textId="479D6489"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16.8</w:t>
                  </w:r>
                </w:p>
              </w:tc>
              <w:tc>
                <w:tcPr>
                  <w:tcW w:w="592" w:type="dxa"/>
                </w:tcPr>
                <w:p w14:paraId="2C6F3F16" w14:textId="72FB1FE3"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21.3</w:t>
                  </w:r>
                </w:p>
              </w:tc>
              <w:tc>
                <w:tcPr>
                  <w:tcW w:w="690" w:type="dxa"/>
                </w:tcPr>
                <w:p w14:paraId="42D3F0DB" w14:textId="407D23ED"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18.7</w:t>
                  </w:r>
                </w:p>
              </w:tc>
              <w:tc>
                <w:tcPr>
                  <w:tcW w:w="690" w:type="dxa"/>
                </w:tcPr>
                <w:p w14:paraId="57CBE570" w14:textId="496C0698"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17.2</w:t>
                  </w:r>
                </w:p>
              </w:tc>
              <w:tc>
                <w:tcPr>
                  <w:tcW w:w="690" w:type="dxa"/>
                </w:tcPr>
                <w:p w14:paraId="442DD866" w14:textId="233ECBF0"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15.8</w:t>
                  </w:r>
                </w:p>
              </w:tc>
              <w:tc>
                <w:tcPr>
                  <w:tcW w:w="690" w:type="dxa"/>
                </w:tcPr>
                <w:p w14:paraId="2DD38B4F" w14:textId="376994D0"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14.2</w:t>
                  </w:r>
                </w:p>
              </w:tc>
              <w:tc>
                <w:tcPr>
                  <w:tcW w:w="688" w:type="dxa"/>
                </w:tcPr>
                <w:p w14:paraId="27942FC4" w14:textId="5FF08965"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12.5</w:t>
                  </w:r>
                </w:p>
              </w:tc>
            </w:tr>
            <w:tr w:rsidR="009E5D14" w:rsidRPr="003A3374" w14:paraId="7D7EBA66"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450FFFE6" w14:textId="0C298B83" w:rsidR="009E5D14" w:rsidRPr="003A3374" w:rsidRDefault="00EC21B4" w:rsidP="009E5D14">
                  <w:pPr>
                    <w:pStyle w:val="TableText0"/>
                  </w:pPr>
                  <w:r w:rsidRPr="003A3374">
                    <w:t>Dividend yield</w:t>
                  </w:r>
                </w:p>
              </w:tc>
              <w:tc>
                <w:tcPr>
                  <w:tcW w:w="592" w:type="dxa"/>
                </w:tcPr>
                <w:p w14:paraId="11D8E9E8" w14:textId="3180CCA4"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2.2%</w:t>
                  </w:r>
                </w:p>
              </w:tc>
              <w:tc>
                <w:tcPr>
                  <w:tcW w:w="690" w:type="dxa"/>
                </w:tcPr>
                <w:p w14:paraId="49922A78" w14:textId="2B020930"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2.9%</w:t>
                  </w:r>
                </w:p>
              </w:tc>
              <w:tc>
                <w:tcPr>
                  <w:tcW w:w="690" w:type="dxa"/>
                </w:tcPr>
                <w:p w14:paraId="0774187C" w14:textId="64D2A166"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3.2%</w:t>
                  </w:r>
                </w:p>
              </w:tc>
              <w:tc>
                <w:tcPr>
                  <w:tcW w:w="592" w:type="dxa"/>
                </w:tcPr>
                <w:p w14:paraId="0BDC0D30" w14:textId="3D831B42"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3.1%</w:t>
                  </w:r>
                </w:p>
              </w:tc>
              <w:tc>
                <w:tcPr>
                  <w:tcW w:w="592" w:type="dxa"/>
                </w:tcPr>
                <w:p w14:paraId="13F2B080" w14:textId="0C98B3E8"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2.6%</w:t>
                  </w:r>
                </w:p>
              </w:tc>
              <w:tc>
                <w:tcPr>
                  <w:tcW w:w="690" w:type="dxa"/>
                </w:tcPr>
                <w:p w14:paraId="6069CB9B" w14:textId="334613D9"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2.7%</w:t>
                  </w:r>
                </w:p>
              </w:tc>
              <w:tc>
                <w:tcPr>
                  <w:tcW w:w="690" w:type="dxa"/>
                </w:tcPr>
                <w:p w14:paraId="55B4E07C" w14:textId="61E3C62E"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2.8%</w:t>
                  </w:r>
                </w:p>
              </w:tc>
              <w:tc>
                <w:tcPr>
                  <w:tcW w:w="690" w:type="dxa"/>
                </w:tcPr>
                <w:p w14:paraId="1714D376" w14:textId="21802CA0"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3.1%</w:t>
                  </w:r>
                </w:p>
              </w:tc>
              <w:tc>
                <w:tcPr>
                  <w:tcW w:w="690" w:type="dxa"/>
                </w:tcPr>
                <w:p w14:paraId="15010440" w14:textId="2E45A7F6"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3.5%</w:t>
                  </w:r>
                </w:p>
              </w:tc>
              <w:tc>
                <w:tcPr>
                  <w:tcW w:w="688" w:type="dxa"/>
                </w:tcPr>
                <w:p w14:paraId="630CCF6F" w14:textId="32AED1F3"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3.9%</w:t>
                  </w:r>
                </w:p>
              </w:tc>
            </w:tr>
            <w:tr w:rsidR="009E5D14" w:rsidRPr="003A3374" w14:paraId="546A7F83" w14:textId="77777777" w:rsidTr="009E5D14">
              <w:tc>
                <w:tcPr>
                  <w:cnfStyle w:val="001000000000" w:firstRow="0" w:lastRow="0" w:firstColumn="1" w:lastColumn="0" w:oddVBand="0" w:evenVBand="0" w:oddHBand="0" w:evenHBand="0" w:firstRowFirstColumn="0" w:firstRowLastColumn="0" w:lastRowFirstColumn="0" w:lastRowLastColumn="0"/>
                  <w:tcW w:w="3033" w:type="dxa"/>
                </w:tcPr>
                <w:p w14:paraId="01C1DC89" w14:textId="281A3D21" w:rsidR="009E5D14" w:rsidRPr="003A3374" w:rsidRDefault="00EC21B4" w:rsidP="009E5D14">
                  <w:pPr>
                    <w:pStyle w:val="TableText0"/>
                  </w:pPr>
                  <w:r w:rsidRPr="003A3374">
                    <w:t>Equity free cash yield</w:t>
                  </w:r>
                </w:p>
              </w:tc>
              <w:tc>
                <w:tcPr>
                  <w:tcW w:w="592" w:type="dxa"/>
                </w:tcPr>
                <w:p w14:paraId="05362274" w14:textId="6F158C7A"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5.1%</w:t>
                  </w:r>
                </w:p>
              </w:tc>
              <w:tc>
                <w:tcPr>
                  <w:tcW w:w="690" w:type="dxa"/>
                </w:tcPr>
                <w:p w14:paraId="08D475D7" w14:textId="2AB205AD"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6.5%</w:t>
                  </w:r>
                </w:p>
              </w:tc>
              <w:tc>
                <w:tcPr>
                  <w:tcW w:w="690" w:type="dxa"/>
                </w:tcPr>
                <w:p w14:paraId="59B97E54" w14:textId="67F2AE4A" w:rsidR="009E5D14" w:rsidRPr="003A3374" w:rsidRDefault="00EC21B4" w:rsidP="009E5D14">
                  <w:pPr>
                    <w:pStyle w:val="TableText0"/>
                    <w:cnfStyle w:val="000000000000" w:firstRow="0" w:lastRow="0" w:firstColumn="0" w:lastColumn="0" w:oddVBand="0" w:evenVBand="0" w:oddHBand="0" w:evenHBand="0" w:firstRowFirstColumn="0" w:firstRowLastColumn="0" w:lastRowFirstColumn="0" w:lastRowLastColumn="0"/>
                  </w:pPr>
                  <w:r w:rsidRPr="003A3374">
                    <w:t>9.3%</w:t>
                  </w:r>
                </w:p>
              </w:tc>
              <w:tc>
                <w:tcPr>
                  <w:tcW w:w="592" w:type="dxa"/>
                </w:tcPr>
                <w:p w14:paraId="3C30472B" w14:textId="16CC1B81"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6.8%</w:t>
                  </w:r>
                </w:p>
              </w:tc>
              <w:tc>
                <w:tcPr>
                  <w:tcW w:w="592" w:type="dxa"/>
                </w:tcPr>
                <w:p w14:paraId="232709B9" w14:textId="73AF642B"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5.2%</w:t>
                  </w:r>
                </w:p>
              </w:tc>
              <w:tc>
                <w:tcPr>
                  <w:tcW w:w="690" w:type="dxa"/>
                </w:tcPr>
                <w:p w14:paraId="2BACD487" w14:textId="414144C3"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5.2%</w:t>
                  </w:r>
                </w:p>
              </w:tc>
              <w:tc>
                <w:tcPr>
                  <w:tcW w:w="690" w:type="dxa"/>
                </w:tcPr>
                <w:p w14:paraId="2061FC1D" w14:textId="5F573557"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5.5%</w:t>
                  </w:r>
                </w:p>
              </w:tc>
              <w:tc>
                <w:tcPr>
                  <w:tcW w:w="690" w:type="dxa"/>
                </w:tcPr>
                <w:p w14:paraId="6A11996F" w14:textId="13FEF905"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6.7%</w:t>
                  </w:r>
                </w:p>
              </w:tc>
              <w:tc>
                <w:tcPr>
                  <w:tcW w:w="690" w:type="dxa"/>
                </w:tcPr>
                <w:p w14:paraId="40381A4E" w14:textId="27A00513"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7.6%</w:t>
                  </w:r>
                </w:p>
              </w:tc>
              <w:tc>
                <w:tcPr>
                  <w:tcW w:w="688" w:type="dxa"/>
                </w:tcPr>
                <w:p w14:paraId="4355FA27" w14:textId="3ACF990C" w:rsidR="009E5D14" w:rsidRPr="003A3374" w:rsidRDefault="00C223C5" w:rsidP="009E5D14">
                  <w:pPr>
                    <w:pStyle w:val="TableText0"/>
                    <w:cnfStyle w:val="000000000000" w:firstRow="0" w:lastRow="0" w:firstColumn="0" w:lastColumn="0" w:oddVBand="0" w:evenVBand="0" w:oddHBand="0" w:evenHBand="0" w:firstRowFirstColumn="0" w:firstRowLastColumn="0" w:lastRowFirstColumn="0" w:lastRowLastColumn="0"/>
                  </w:pPr>
                  <w:r w:rsidRPr="003A3374">
                    <w:t>8.3%</w:t>
                  </w:r>
                </w:p>
              </w:tc>
            </w:tr>
          </w:tbl>
          <w:p w14:paraId="7E628F93" w14:textId="77777777" w:rsidR="009E5D14" w:rsidRPr="003A3374" w:rsidRDefault="009E5D14" w:rsidP="00A8292A">
            <w:pPr>
              <w:pStyle w:val="Tableplaceholder"/>
            </w:pPr>
          </w:p>
        </w:tc>
      </w:tr>
      <w:tr w:rsidR="009E5D14" w:rsidRPr="003A3374" w14:paraId="6A32ED04" w14:textId="77777777" w:rsidTr="009E5D14">
        <w:trPr>
          <w:cantSplit/>
        </w:trPr>
        <w:tc>
          <w:tcPr>
            <w:tcW w:w="9638" w:type="dxa"/>
            <w:tcBorders>
              <w:top w:val="single" w:sz="8" w:space="0" w:color="000000" w:themeColor="text1"/>
            </w:tcBorders>
          </w:tcPr>
          <w:p w14:paraId="570B5E71" w14:textId="36033164" w:rsidR="009E5D14" w:rsidRPr="003A3374" w:rsidRDefault="009E5D14" w:rsidP="009E5D14">
            <w:pPr>
              <w:pStyle w:val="TableSource"/>
            </w:pPr>
            <w:r w:rsidRPr="003A3374">
              <w:t>Source: Rothschild &amp; Co Redburn, company</w:t>
            </w:r>
          </w:p>
        </w:tc>
      </w:tr>
      <w:bookmarkEnd w:id="122"/>
    </w:tbl>
    <w:p w14:paraId="3EBB95BC" w14:textId="77777777" w:rsidR="009E5D14" w:rsidRPr="003A3374" w:rsidRDefault="009E5D14" w:rsidP="00694885">
      <w:pPr>
        <w:pStyle w:val="Tablespaceafter"/>
      </w:pPr>
    </w:p>
    <w:p w14:paraId="37C156A6" w14:textId="17718042" w:rsidR="00DF0339" w:rsidRPr="003A3374" w:rsidRDefault="00DF0339">
      <w:pPr>
        <w:jc w:val="left"/>
        <w:rPr>
          <w:color w:val="000000" w:themeColor="text1"/>
        </w:rPr>
      </w:pPr>
      <w:r w:rsidRPr="003A3374">
        <w:br w:type="page"/>
      </w:r>
    </w:p>
    <w:tbl>
      <w:tblPr>
        <w:tblStyle w:val="TableGrid"/>
        <w:tblW w:w="9639" w:type="dxa"/>
        <w:tblLayout w:type="fixed"/>
        <w:tblCellMar>
          <w:left w:w="0" w:type="dxa"/>
          <w:right w:w="0" w:type="dxa"/>
        </w:tblCellMar>
        <w:tblLook w:val="01E0" w:firstRow="1" w:lastRow="1" w:firstColumn="1" w:lastColumn="1" w:noHBand="0" w:noVBand="0"/>
      </w:tblPr>
      <w:tblGrid>
        <w:gridCol w:w="3023"/>
        <w:gridCol w:w="284"/>
        <w:gridCol w:w="3024"/>
        <w:gridCol w:w="284"/>
        <w:gridCol w:w="3024"/>
      </w:tblGrid>
      <w:tr w:rsidR="00B76039" w:rsidRPr="00ED7675" w14:paraId="7821BF9F" w14:textId="77777777" w:rsidTr="00DF0B24">
        <w:trPr>
          <w:cantSplit/>
          <w:trHeight w:val="3969"/>
        </w:trPr>
        <w:tc>
          <w:tcPr>
            <w:tcW w:w="3022" w:type="dxa"/>
          </w:tcPr>
          <w:p w14:paraId="02098DD4" w14:textId="7741F218" w:rsidR="00B76039" w:rsidRPr="003A3374" w:rsidRDefault="00B76039" w:rsidP="009A315C">
            <w:pPr>
              <w:pStyle w:val="AnalystName"/>
            </w:pPr>
            <w:bookmarkStart w:id="123" w:name="AnalystContacts"/>
            <w:bookmarkStart w:id="124" w:name="_Hlk138175182"/>
            <w:r w:rsidRPr="003A3374">
              <w:lastRenderedPageBreak/>
              <w:t>Charlie Higgs</w:t>
            </w:r>
          </w:p>
          <w:p w14:paraId="4392B071" w14:textId="5E7C002D" w:rsidR="00B76039" w:rsidRPr="003A3374" w:rsidRDefault="00B76039" w:rsidP="009A315C">
            <w:pPr>
              <w:pStyle w:val="Analystdesignation"/>
            </w:pPr>
            <w:r w:rsidRPr="003A3374">
              <w:t>Consumer Staples Research</w:t>
            </w:r>
          </w:p>
          <w:p w14:paraId="6D87C241" w14:textId="77777777" w:rsidR="00B76039" w:rsidRPr="003A3374" w:rsidRDefault="00B76039" w:rsidP="009A315C">
            <w:pPr>
              <w:pStyle w:val="AnalystName"/>
            </w:pPr>
            <w:r w:rsidRPr="003A3374">
              <w:t>Rothschild &amp; Co Redburn</w:t>
            </w:r>
          </w:p>
          <w:p w14:paraId="0C343B57" w14:textId="77777777" w:rsidR="00B76039" w:rsidRPr="003A3374" w:rsidRDefault="00B76039" w:rsidP="0081650D">
            <w:pPr>
              <w:pStyle w:val="AnalystAddress"/>
            </w:pPr>
            <w:r w:rsidRPr="003A3374">
              <w:t>Capital House</w:t>
            </w:r>
          </w:p>
          <w:p w14:paraId="4AD538AB" w14:textId="77777777" w:rsidR="00B76039" w:rsidRPr="003A3374" w:rsidRDefault="00B76039" w:rsidP="0081650D">
            <w:pPr>
              <w:pStyle w:val="AnalystAddress"/>
            </w:pPr>
            <w:r w:rsidRPr="003A3374">
              <w:t>85 King William Street</w:t>
            </w:r>
          </w:p>
          <w:p w14:paraId="70EBDD92" w14:textId="77777777" w:rsidR="00B76039" w:rsidRPr="003A3374" w:rsidRDefault="00B76039" w:rsidP="0081650D">
            <w:pPr>
              <w:pStyle w:val="AnalystAddress"/>
            </w:pPr>
            <w:r w:rsidRPr="003A3374">
              <w:t>London EC4N 7BL</w:t>
            </w:r>
          </w:p>
          <w:p w14:paraId="23A027FF" w14:textId="43F10F3F" w:rsidR="00B76039" w:rsidRPr="003A3374" w:rsidRDefault="00B76039" w:rsidP="009A315C">
            <w:pPr>
              <w:pStyle w:val="AnalystContact"/>
              <w:rPr>
                <w:lang w:val="de-DE"/>
              </w:rPr>
            </w:pPr>
            <w:r w:rsidRPr="003A3374">
              <w:rPr>
                <w:lang w:val="de-DE"/>
              </w:rPr>
              <w:t>D +44 20 7000 2177</w:t>
            </w:r>
          </w:p>
          <w:p w14:paraId="522B2226" w14:textId="77777777" w:rsidR="00B76039" w:rsidRPr="003A3374" w:rsidRDefault="00B76039" w:rsidP="009A315C">
            <w:pPr>
              <w:pStyle w:val="AnalystContact"/>
              <w:rPr>
                <w:lang w:val="de-DE"/>
              </w:rPr>
            </w:pPr>
            <w:r w:rsidRPr="003A3374">
              <w:rPr>
                <w:lang w:val="de-DE"/>
              </w:rPr>
              <w:t>T +44 (0)20 7000 2020</w:t>
            </w:r>
          </w:p>
          <w:p w14:paraId="6DBD829E" w14:textId="3FEC18E5" w:rsidR="00B76039" w:rsidRPr="003A3374" w:rsidRDefault="00B76039" w:rsidP="00B76039">
            <w:pPr>
              <w:pStyle w:val="AnalystEmail"/>
              <w:rPr>
                <w:lang w:val="de-DE"/>
              </w:rPr>
            </w:pPr>
            <w:r w:rsidRPr="003A3374">
              <w:rPr>
                <w:lang w:val="de-DE"/>
              </w:rPr>
              <w:t>E Charlie.Higgs@rothschildandco.com</w:t>
            </w:r>
          </w:p>
          <w:p w14:paraId="7DF479AB" w14:textId="77777777" w:rsidR="00B76039" w:rsidRPr="003A3374" w:rsidRDefault="00B76039" w:rsidP="00DF0B24">
            <w:pPr>
              <w:pStyle w:val="AnalystContact"/>
              <w:rPr>
                <w:lang w:val="de-DE"/>
              </w:rPr>
            </w:pPr>
          </w:p>
        </w:tc>
        <w:tc>
          <w:tcPr>
            <w:tcW w:w="284" w:type="dxa"/>
          </w:tcPr>
          <w:p w14:paraId="26EC8D62" w14:textId="77777777" w:rsidR="00B76039" w:rsidRPr="003A3374" w:rsidRDefault="00B76039" w:rsidP="00DF0B24">
            <w:pPr>
              <w:pStyle w:val="AnalystContact"/>
              <w:rPr>
                <w:lang w:val="de-DE"/>
              </w:rPr>
            </w:pPr>
          </w:p>
        </w:tc>
        <w:tc>
          <w:tcPr>
            <w:tcW w:w="3022" w:type="dxa"/>
          </w:tcPr>
          <w:p w14:paraId="5BF8B09B" w14:textId="77777777" w:rsidR="00B76039" w:rsidRPr="003A3374" w:rsidRDefault="00B76039" w:rsidP="00DF0B24">
            <w:pPr>
              <w:pStyle w:val="AnalystContact"/>
              <w:rPr>
                <w:lang w:val="de-DE"/>
              </w:rPr>
            </w:pPr>
          </w:p>
        </w:tc>
        <w:tc>
          <w:tcPr>
            <w:tcW w:w="284" w:type="dxa"/>
          </w:tcPr>
          <w:p w14:paraId="6E9C1980" w14:textId="77777777" w:rsidR="00B76039" w:rsidRPr="003A3374" w:rsidRDefault="00B76039" w:rsidP="00DF0B24">
            <w:pPr>
              <w:pStyle w:val="AnalystContact"/>
              <w:rPr>
                <w:lang w:val="de-DE"/>
              </w:rPr>
            </w:pPr>
          </w:p>
        </w:tc>
        <w:tc>
          <w:tcPr>
            <w:tcW w:w="3022" w:type="dxa"/>
          </w:tcPr>
          <w:p w14:paraId="758B329E" w14:textId="77777777" w:rsidR="00B76039" w:rsidRPr="003A3374" w:rsidRDefault="00B76039" w:rsidP="00DF0B24">
            <w:pPr>
              <w:pStyle w:val="AnalystContact"/>
              <w:rPr>
                <w:lang w:val="de-DE"/>
              </w:rPr>
            </w:pPr>
          </w:p>
        </w:tc>
      </w:tr>
      <w:tr w:rsidR="00B76039" w:rsidRPr="00ED7675" w14:paraId="16671F23" w14:textId="77777777" w:rsidTr="00B76039">
        <w:trPr>
          <w:cantSplit/>
          <w:trHeight w:val="20"/>
        </w:trPr>
        <w:tc>
          <w:tcPr>
            <w:tcW w:w="3022" w:type="dxa"/>
          </w:tcPr>
          <w:p w14:paraId="41C12A14" w14:textId="77777777" w:rsidR="00B76039" w:rsidRPr="003A3374" w:rsidRDefault="00B76039" w:rsidP="00DF0B24">
            <w:pPr>
              <w:pStyle w:val="1pt"/>
              <w:rPr>
                <w:lang w:val="de-DE"/>
              </w:rPr>
            </w:pPr>
          </w:p>
        </w:tc>
        <w:tc>
          <w:tcPr>
            <w:tcW w:w="284" w:type="dxa"/>
          </w:tcPr>
          <w:p w14:paraId="2A7809B9" w14:textId="77777777" w:rsidR="00B76039" w:rsidRPr="003A3374" w:rsidRDefault="00B76039" w:rsidP="00DF0B24">
            <w:pPr>
              <w:pStyle w:val="1pt"/>
              <w:rPr>
                <w:lang w:val="de-DE"/>
              </w:rPr>
            </w:pPr>
          </w:p>
        </w:tc>
        <w:tc>
          <w:tcPr>
            <w:tcW w:w="3022" w:type="dxa"/>
          </w:tcPr>
          <w:p w14:paraId="5A19CA7C" w14:textId="77777777" w:rsidR="00B76039" w:rsidRPr="003A3374" w:rsidRDefault="00B76039" w:rsidP="00DF0B24">
            <w:pPr>
              <w:pStyle w:val="1pt"/>
              <w:rPr>
                <w:lang w:val="de-DE"/>
              </w:rPr>
            </w:pPr>
          </w:p>
        </w:tc>
        <w:tc>
          <w:tcPr>
            <w:tcW w:w="284" w:type="dxa"/>
          </w:tcPr>
          <w:p w14:paraId="2A79CD71" w14:textId="77777777" w:rsidR="00B76039" w:rsidRPr="003A3374" w:rsidRDefault="00B76039" w:rsidP="00DF0B24">
            <w:pPr>
              <w:pStyle w:val="1pt"/>
              <w:rPr>
                <w:lang w:val="de-DE"/>
              </w:rPr>
            </w:pPr>
          </w:p>
        </w:tc>
        <w:tc>
          <w:tcPr>
            <w:tcW w:w="3022" w:type="dxa"/>
          </w:tcPr>
          <w:p w14:paraId="1DCB2C17" w14:textId="77777777" w:rsidR="00B76039" w:rsidRPr="003A3374" w:rsidRDefault="00B76039" w:rsidP="00DF0B24">
            <w:pPr>
              <w:pStyle w:val="1pt"/>
              <w:rPr>
                <w:lang w:val="de-DE"/>
              </w:rPr>
            </w:pPr>
          </w:p>
        </w:tc>
      </w:tr>
    </w:tbl>
    <w:bookmarkEnd w:id="123"/>
    <w:p w14:paraId="41990ED4" w14:textId="0B3AE10B" w:rsidR="008A64A9" w:rsidRPr="003A3374" w:rsidRDefault="008A64A9" w:rsidP="00AD085B">
      <w:pPr>
        <w:pStyle w:val="Webaddress"/>
      </w:pPr>
      <w:r w:rsidRPr="003A3374">
        <w:fldChar w:fldCharType="begin"/>
      </w:r>
      <w:r w:rsidR="00685CB3" w:rsidRPr="003A3374">
        <w:instrText>HYPERLINK "https://redburn.rothschildandco.com/"</w:instrText>
      </w:r>
      <w:r w:rsidRPr="003A3374">
        <w:fldChar w:fldCharType="separate"/>
      </w:r>
      <w:r w:rsidR="003F3211" w:rsidRPr="003A3374">
        <w:t>https://</w:t>
      </w:r>
      <w:r w:rsidR="005563B3" w:rsidRPr="003A3374">
        <w:t>redburn.rothschildandco.com</w:t>
      </w:r>
      <w:r w:rsidR="003F3211" w:rsidRPr="003A3374">
        <w:t>/</w:t>
      </w:r>
      <w:r w:rsidRPr="003A3374">
        <w:fldChar w:fldCharType="end"/>
      </w:r>
    </w:p>
    <w:bookmarkEnd w:id="124"/>
    <w:p w14:paraId="27DAAF03" w14:textId="0F35F3E9" w:rsidR="007E5322" w:rsidRPr="003A3374" w:rsidRDefault="007E5322">
      <w:pPr>
        <w:jc w:val="left"/>
        <w:rPr>
          <w:color w:val="000000" w:themeColor="text1"/>
          <w:position w:val="4"/>
        </w:rPr>
      </w:pPr>
      <w:r w:rsidRPr="003A3374">
        <w:br w:type="page"/>
      </w:r>
    </w:p>
    <w:p w14:paraId="7EE4D2A3" w14:textId="77777777" w:rsidR="007E5322" w:rsidRPr="003A3374" w:rsidRDefault="007E5322" w:rsidP="007E5322">
      <w:pPr>
        <w:pStyle w:val="AnalystContact"/>
        <w:rPr>
          <w:sz w:val="12"/>
          <w:szCs w:val="12"/>
        </w:rPr>
      </w:pPr>
      <w:r w:rsidRPr="003A3374">
        <w:rPr>
          <w:sz w:val="12"/>
          <w:szCs w:val="12"/>
        </w:rPr>
        <w:lastRenderedPageBreak/>
        <w:t>This report has been issued by Redburn (Europe) Limited (‘Rothschild &amp; Co Redburn’), authorised and regulated by the Financial Conduct Authority (“FCA”) and registered as an investment adviser with the Securities and Exchange Commission (“SEC”). This report is intended for use by Professional Clients and Eligible Counterparties only. Rothschild &amp; Co Redburn is a member of the Rothschild &amp; Co group (“R&amp;Co”). Redburn (Europe) Limited is registered in England (company number: 4710622). Our registered office is New Court, St. Swithin’s Lane, London, EC4N 8AL. The FCA's registered office is 12 Endeavour Square, London E20 1JN.</w:t>
      </w:r>
    </w:p>
    <w:p w14:paraId="2B71C02F" w14:textId="77777777" w:rsidR="007E5322" w:rsidRPr="003A3374" w:rsidRDefault="007E5322" w:rsidP="007E5322">
      <w:pPr>
        <w:pStyle w:val="AnalystContact"/>
        <w:rPr>
          <w:sz w:val="12"/>
          <w:szCs w:val="12"/>
        </w:rPr>
      </w:pPr>
      <w:r w:rsidRPr="003A3374">
        <w:rPr>
          <w:sz w:val="12"/>
          <w:szCs w:val="12"/>
        </w:rPr>
        <w:t>All of Rothschild &amp; Co Redburn’s investment research is written by employees whose job title is “Analyst”.</w:t>
      </w:r>
    </w:p>
    <w:p w14:paraId="45E6A669" w14:textId="684A7C4C" w:rsidR="007E5322" w:rsidRPr="003A3374" w:rsidRDefault="007E5322" w:rsidP="007E5322">
      <w:pPr>
        <w:pStyle w:val="AnalystContact"/>
        <w:rPr>
          <w:sz w:val="12"/>
          <w:szCs w:val="12"/>
        </w:rPr>
      </w:pPr>
      <w:r w:rsidRPr="003A3374">
        <w:rPr>
          <w:sz w:val="12"/>
          <w:szCs w:val="12"/>
        </w:rPr>
        <w:t>This research was completed at 2025-11-20 1</w:t>
      </w:r>
      <w:r w:rsidR="003A3374">
        <w:rPr>
          <w:sz w:val="12"/>
          <w:szCs w:val="12"/>
        </w:rPr>
        <w:t>6:29</w:t>
      </w:r>
      <w:r w:rsidRPr="003A3374">
        <w:rPr>
          <w:sz w:val="12"/>
          <w:szCs w:val="12"/>
        </w:rPr>
        <w:t>.</w:t>
      </w:r>
    </w:p>
    <w:p w14:paraId="3C8AF418" w14:textId="77777777" w:rsidR="007E5322" w:rsidRPr="003A3374" w:rsidRDefault="007E5322" w:rsidP="007E5322">
      <w:pPr>
        <w:pStyle w:val="AnalystContact"/>
        <w:rPr>
          <w:sz w:val="12"/>
          <w:szCs w:val="12"/>
        </w:rPr>
      </w:pPr>
      <w:r w:rsidRPr="003A3374">
        <w:rPr>
          <w:sz w:val="12"/>
          <w:szCs w:val="12"/>
        </w:rPr>
        <w:t>This research was published at 2025-11-21 06:30.</w:t>
      </w:r>
    </w:p>
    <w:p w14:paraId="39C3106A" w14:textId="77777777" w:rsidR="007E5322" w:rsidRPr="003A3374" w:rsidRDefault="007E5322" w:rsidP="007E5322">
      <w:pPr>
        <w:pStyle w:val="AnalystContact"/>
        <w:rPr>
          <w:sz w:val="12"/>
          <w:szCs w:val="12"/>
        </w:rPr>
      </w:pPr>
      <w:r w:rsidRPr="003A3374">
        <w:rPr>
          <w:sz w:val="12"/>
          <w:szCs w:val="12"/>
        </w:rPr>
        <w:t>This research was priced as of close 2025-11-19.</w:t>
      </w:r>
    </w:p>
    <w:p w14:paraId="0B59883B" w14:textId="77777777" w:rsidR="007E5322" w:rsidRPr="003A3374" w:rsidRDefault="007E5322" w:rsidP="007E5322">
      <w:pPr>
        <w:pStyle w:val="AnalystContact"/>
        <w:rPr>
          <w:sz w:val="12"/>
          <w:szCs w:val="12"/>
        </w:rPr>
      </w:pPr>
      <w:r w:rsidRPr="003A3374">
        <w:rPr>
          <w:sz w:val="12"/>
          <w:szCs w:val="12"/>
        </w:rPr>
        <w:t>Unless specified, all dates and times in the document are UK standard time.</w:t>
      </w:r>
    </w:p>
    <w:p w14:paraId="04CBEB1F" w14:textId="77777777" w:rsidR="007E5322" w:rsidRPr="003A3374" w:rsidRDefault="007E5322" w:rsidP="007E5322">
      <w:pPr>
        <w:pStyle w:val="AnalystContact"/>
        <w:rPr>
          <w:sz w:val="12"/>
          <w:szCs w:val="12"/>
        </w:rPr>
      </w:pPr>
      <w:r w:rsidRPr="003A3374">
        <w:rPr>
          <w:sz w:val="12"/>
          <w:szCs w:val="12"/>
        </w:rPr>
        <w:t>Where this report reaches conclusions or recommendations, the basis of valuation, methodology and/or the underlying assumptions on which those conclusions are based appear in the relevant commentary.</w:t>
      </w:r>
    </w:p>
    <w:p w14:paraId="1E07B3C5" w14:textId="52CEB934" w:rsidR="007E5322" w:rsidRPr="003A3374" w:rsidRDefault="007E5322" w:rsidP="007E5322">
      <w:pPr>
        <w:pStyle w:val="AnalystContact"/>
        <w:rPr>
          <w:sz w:val="12"/>
          <w:szCs w:val="12"/>
        </w:rPr>
      </w:pPr>
      <w:r w:rsidRPr="003A3374">
        <w:rPr>
          <w:sz w:val="12"/>
          <w:szCs w:val="12"/>
        </w:rPr>
        <w:t>A redacted version of the full model in which certain worksheets have been removed and any links to the removed worksheets have been hardcoded is available at </w:t>
      </w:r>
      <w:hyperlink r:id="rId89" w:tgtFrame="_blank" w:history="1">
        <w:r w:rsidRPr="003A3374">
          <w:rPr>
            <w:rStyle w:val="Hyperlink"/>
            <w:sz w:val="12"/>
            <w:szCs w:val="12"/>
          </w:rPr>
          <w:t>https://redburn.rothschildandco.com/</w:t>
        </w:r>
      </w:hyperlink>
      <w:r w:rsidRPr="003A3374">
        <w:rPr>
          <w:sz w:val="12"/>
          <w:szCs w:val="12"/>
        </w:rPr>
        <w:t>. Information in the model (including share prices, forex rates, consensus etc.) is not live as any links are hardcoded on the date of upload. Our intention in providing this model service is to give our clients access to a comprehensive, working model, which is entirely consistent with our published forecasts for the subject issuer. If you experience any technical difficulties with the spreadsheet, please contact numbers@redburnatlantic.com. If you have questions regarding the logic of, or assumptions made in the model, please contact the Analyst directly.</w:t>
      </w:r>
    </w:p>
    <w:p w14:paraId="28884630" w14:textId="77777777" w:rsidR="007E5322" w:rsidRPr="003A3374" w:rsidRDefault="007E5322" w:rsidP="007E5322">
      <w:pPr>
        <w:pStyle w:val="AnalystContact"/>
        <w:rPr>
          <w:sz w:val="12"/>
          <w:szCs w:val="12"/>
        </w:rPr>
      </w:pPr>
      <w:r w:rsidRPr="003A3374">
        <w:rPr>
          <w:sz w:val="12"/>
          <w:szCs w:val="12"/>
        </w:rPr>
        <w:t>Buy: Rothschild &amp; Co Redburn argues that the stock price will rise by at least 15% over one year. For high beta stocks the hurdle rate may be commensurately higher.</w:t>
      </w:r>
    </w:p>
    <w:p w14:paraId="0EF96D11" w14:textId="77777777" w:rsidR="007E5322" w:rsidRPr="003A3374" w:rsidRDefault="007E5322" w:rsidP="007E5322">
      <w:pPr>
        <w:pStyle w:val="AnalystContact"/>
        <w:rPr>
          <w:sz w:val="12"/>
          <w:szCs w:val="12"/>
        </w:rPr>
      </w:pPr>
      <w:r w:rsidRPr="003A3374">
        <w:rPr>
          <w:sz w:val="12"/>
          <w:szCs w:val="12"/>
        </w:rPr>
        <w:t>Sell: Rothschild &amp; Co Redburn argues that the stock price will be lower over one year.</w:t>
      </w:r>
    </w:p>
    <w:p w14:paraId="11D9DF8C" w14:textId="77777777" w:rsidR="007E5322" w:rsidRPr="003A3374" w:rsidRDefault="007E5322" w:rsidP="007E5322">
      <w:pPr>
        <w:pStyle w:val="AnalystContact"/>
        <w:rPr>
          <w:sz w:val="12"/>
          <w:szCs w:val="12"/>
        </w:rPr>
      </w:pPr>
      <w:r w:rsidRPr="003A3374">
        <w:rPr>
          <w:sz w:val="12"/>
          <w:szCs w:val="12"/>
        </w:rPr>
        <w:t>Neutral: Rothschild &amp; Co Redburn argues that the stock price will trade within the above ranges.</w:t>
      </w:r>
    </w:p>
    <w:p w14:paraId="6E61C470" w14:textId="77777777" w:rsidR="007E5322" w:rsidRPr="003A3374" w:rsidRDefault="007E5322" w:rsidP="007E5322">
      <w:pPr>
        <w:pStyle w:val="AnalystContact"/>
        <w:rPr>
          <w:sz w:val="12"/>
          <w:szCs w:val="12"/>
        </w:rPr>
      </w:pPr>
      <w:r w:rsidRPr="003A3374">
        <w:rPr>
          <w:sz w:val="12"/>
          <w:szCs w:val="12"/>
        </w:rPr>
        <w:t>Rothschild &amp; Co Redburn has no timetable for the publication of research material. Material is published when an Analyst believes a report is warranted, and not to any timetable specified in advance.</w:t>
      </w:r>
    </w:p>
    <w:p w14:paraId="37BA00F0" w14:textId="2FDB5EF4" w:rsidR="007E5322" w:rsidRPr="003A3374" w:rsidRDefault="007E5322" w:rsidP="007E5322">
      <w:pPr>
        <w:pStyle w:val="AnalystContact"/>
        <w:rPr>
          <w:sz w:val="12"/>
          <w:szCs w:val="12"/>
        </w:rPr>
      </w:pPr>
      <w:r w:rsidRPr="003A3374">
        <w:rPr>
          <w:sz w:val="12"/>
          <w:szCs w:val="12"/>
        </w:rPr>
        <w:t>Rothschild &amp; Co Redburn or another member of the R&amp;Co group may offer investment banking services to issuers that are the subject of investment recommendations. Should this be the case, information about the nature of the service provided and the relationship between the issuer and Rothschild &amp; Co Redburn will be disclosed on Rothschild &amp; Co Redburn’s disclosure webpage </w:t>
      </w:r>
      <w:hyperlink r:id="rId90" w:tgtFrame="_blank" w:history="1">
        <w:r w:rsidRPr="003A3374">
          <w:rPr>
            <w:rStyle w:val="Hyperlink"/>
            <w:sz w:val="12"/>
            <w:szCs w:val="12"/>
          </w:rPr>
          <w:t>https://disclosures.redburn.rothschildandco.com/</w:t>
        </w:r>
      </w:hyperlink>
      <w:r w:rsidRPr="003A3374">
        <w:rPr>
          <w:sz w:val="12"/>
          <w:szCs w:val="12"/>
        </w:rPr>
        <w:t>. In addition, employees that make or produce investment recommendations may receive a remuneration based upon various factors including overall firm revenues, which include investment banking revenues. Analyst remunerations are not linked to investment banking or capital markets transactions activities.</w:t>
      </w:r>
    </w:p>
    <w:p w14:paraId="75C2C197" w14:textId="77777777" w:rsidR="007E5322" w:rsidRPr="003A3374" w:rsidRDefault="007E5322" w:rsidP="007E5322">
      <w:pPr>
        <w:pStyle w:val="AnalystContact"/>
        <w:rPr>
          <w:sz w:val="12"/>
          <w:szCs w:val="12"/>
        </w:rPr>
      </w:pPr>
      <w:r w:rsidRPr="003A3374">
        <w:rPr>
          <w:sz w:val="12"/>
          <w:szCs w:val="12"/>
        </w:rPr>
        <w:t>Each Analyst is primarily responsible for the content of their investment recommendations, and in whole or in part, certifies that all of the views expressed accurately reflect his or her personal views about any and all of the subject securities or issuers.</w:t>
      </w:r>
    </w:p>
    <w:p w14:paraId="4B89A5DB" w14:textId="7BD62BD3" w:rsidR="007E5322" w:rsidRPr="003A3374" w:rsidRDefault="007E5322" w:rsidP="007E5322">
      <w:pPr>
        <w:pStyle w:val="AnalystContact"/>
        <w:rPr>
          <w:sz w:val="12"/>
          <w:szCs w:val="12"/>
        </w:rPr>
      </w:pPr>
      <w:r w:rsidRPr="003A3374">
        <w:rPr>
          <w:sz w:val="12"/>
          <w:szCs w:val="12"/>
        </w:rPr>
        <w:t>Rothschild &amp; Co Redburn’s Conflicts of Interest Policy is set out in Regulatory Information at </w:t>
      </w:r>
      <w:hyperlink r:id="rId91" w:tgtFrame="_blank" w:history="1">
        <w:r w:rsidRPr="003A3374">
          <w:rPr>
            <w:rStyle w:val="Hyperlink"/>
            <w:sz w:val="12"/>
            <w:szCs w:val="12"/>
          </w:rPr>
          <w:t>www.rothschildandco.com</w:t>
        </w:r>
      </w:hyperlink>
      <w:r w:rsidRPr="003A3374">
        <w:rPr>
          <w:sz w:val="12"/>
          <w:szCs w:val="12"/>
        </w:rPr>
        <w:t>.</w:t>
      </w:r>
    </w:p>
    <w:p w14:paraId="7AACA0E4" w14:textId="090E1D1A" w:rsidR="007E5322" w:rsidRPr="003A3374" w:rsidRDefault="007E5322" w:rsidP="007E5322">
      <w:pPr>
        <w:pStyle w:val="AnalystContact"/>
        <w:rPr>
          <w:sz w:val="12"/>
          <w:szCs w:val="12"/>
        </w:rPr>
      </w:pPr>
      <w:r w:rsidRPr="003A3374">
        <w:rPr>
          <w:sz w:val="12"/>
          <w:szCs w:val="12"/>
        </w:rPr>
        <w:t>Rothschild &amp; Co Redburn has made previous recommendations concerning the same financial instrument or issuer during the preceding 12-month period. These recommendations can be found at </w:t>
      </w:r>
      <w:hyperlink r:id="rId92" w:tgtFrame="_blank" w:history="1">
        <w:r w:rsidRPr="003A3374">
          <w:rPr>
            <w:rStyle w:val="Hyperlink"/>
            <w:sz w:val="12"/>
            <w:szCs w:val="12"/>
          </w:rPr>
          <w:t>https://redburn.rothschildandco.com/companies/rbid/3014dbba-53e2-4302-9358-60cb6198c2df</w:t>
        </w:r>
      </w:hyperlink>
      <w:r w:rsidRPr="003A3374">
        <w:rPr>
          <w:sz w:val="12"/>
          <w:szCs w:val="12"/>
        </w:rPr>
        <w:t>.</w:t>
      </w:r>
    </w:p>
    <w:p w14:paraId="4BA53EF7" w14:textId="2D6E9DEA" w:rsidR="007E5322" w:rsidRPr="003A3374" w:rsidRDefault="007E5322" w:rsidP="007E5322">
      <w:pPr>
        <w:pStyle w:val="AnalystContact"/>
        <w:rPr>
          <w:sz w:val="12"/>
          <w:szCs w:val="12"/>
        </w:rPr>
      </w:pPr>
      <w:r w:rsidRPr="003A3374">
        <w:rPr>
          <w:noProof/>
          <w:sz w:val="12"/>
          <w:szCs w:val="12"/>
        </w:rPr>
        <w:drawing>
          <wp:inline distT="0" distB="0" distL="0" distR="0" wp14:anchorId="2DADC82B" wp14:editId="2A784C5D">
            <wp:extent cx="4859655" cy="1619885"/>
            <wp:effectExtent l="0" t="0" r="0" b="0"/>
            <wp:docPr id="212846106" name="Picture 2" descr="Price and Recomendatio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ice and Recomendation History"/>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859655" cy="1619885"/>
                    </a:xfrm>
                    <a:prstGeom prst="rect">
                      <a:avLst/>
                    </a:prstGeom>
                    <a:noFill/>
                    <a:ln>
                      <a:noFill/>
                    </a:ln>
                  </pic:spPr>
                </pic:pic>
              </a:graphicData>
            </a:graphic>
          </wp:inline>
        </w:drawing>
      </w:r>
    </w:p>
    <w:tbl>
      <w:tblPr>
        <w:tblW w:w="10354" w:type="dxa"/>
        <w:tblCellMar>
          <w:top w:w="15" w:type="dxa"/>
          <w:left w:w="15" w:type="dxa"/>
          <w:bottom w:w="15" w:type="dxa"/>
          <w:right w:w="15" w:type="dxa"/>
        </w:tblCellMar>
        <w:tblLook w:val="04A0" w:firstRow="1" w:lastRow="0" w:firstColumn="1" w:lastColumn="0" w:noHBand="0" w:noVBand="1"/>
      </w:tblPr>
      <w:tblGrid>
        <w:gridCol w:w="1410"/>
        <w:gridCol w:w="1127"/>
        <w:gridCol w:w="1517"/>
        <w:gridCol w:w="1061"/>
        <w:gridCol w:w="2623"/>
        <w:gridCol w:w="2616"/>
      </w:tblGrid>
      <w:tr w:rsidR="007E5322" w:rsidRPr="003A3374" w14:paraId="54DDE636" w14:textId="77777777" w:rsidTr="003C36B6">
        <w:trPr>
          <w:trHeight w:val="226"/>
          <w:tblHeader/>
        </w:trPr>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1D6D788D" w14:textId="77777777" w:rsidR="007E5322" w:rsidRPr="003A3374" w:rsidRDefault="007E5322" w:rsidP="007E5322">
            <w:pPr>
              <w:pStyle w:val="AnalystContact"/>
              <w:rPr>
                <w:b/>
                <w:bCs/>
                <w:sz w:val="12"/>
                <w:szCs w:val="12"/>
              </w:rPr>
            </w:pPr>
            <w:r w:rsidRPr="003A3374">
              <w:rPr>
                <w:b/>
                <w:bCs/>
                <w:sz w:val="12"/>
                <w:szCs w:val="12"/>
              </w:rPr>
              <w:t>1</w:t>
            </w:r>
          </w:p>
        </w:tc>
        <w:tc>
          <w:tcPr>
            <w:tcW w:w="0" w:type="auto"/>
            <w:gridSpan w:val="2"/>
            <w:tcBorders>
              <w:top w:val="single" w:sz="2" w:space="0" w:color="auto"/>
              <w:left w:val="single" w:sz="6" w:space="0" w:color="auto"/>
              <w:bottom w:val="single" w:sz="2" w:space="0" w:color="auto"/>
              <w:right w:val="single" w:sz="6" w:space="0" w:color="auto"/>
            </w:tcBorders>
            <w:shd w:val="clear" w:color="auto" w:fill="FFFFFF"/>
            <w:vAlign w:val="center"/>
            <w:hideMark/>
          </w:tcPr>
          <w:p w14:paraId="0BB68581" w14:textId="77777777" w:rsidR="007E5322" w:rsidRPr="003A3374" w:rsidRDefault="007E5322" w:rsidP="007E5322">
            <w:pPr>
              <w:pStyle w:val="AnalystContact"/>
              <w:rPr>
                <w:b/>
                <w:bCs/>
                <w:sz w:val="12"/>
                <w:szCs w:val="12"/>
              </w:rPr>
            </w:pPr>
            <w:r w:rsidRPr="003A3374">
              <w:rPr>
                <w:b/>
                <w:bCs/>
                <w:sz w:val="12"/>
                <w:szCs w:val="12"/>
              </w:rPr>
              <w:t>Coverage Universe</w:t>
            </w:r>
          </w:p>
        </w:tc>
        <w:tc>
          <w:tcPr>
            <w:tcW w:w="0" w:type="auto"/>
            <w:gridSpan w:val="2"/>
            <w:tcBorders>
              <w:top w:val="single" w:sz="2" w:space="0" w:color="auto"/>
              <w:left w:val="single" w:sz="6" w:space="0" w:color="auto"/>
              <w:bottom w:val="single" w:sz="2" w:space="0" w:color="auto"/>
              <w:right w:val="single" w:sz="6" w:space="0" w:color="auto"/>
            </w:tcBorders>
            <w:shd w:val="clear" w:color="auto" w:fill="FFFFFF"/>
            <w:vAlign w:val="center"/>
            <w:hideMark/>
          </w:tcPr>
          <w:p w14:paraId="742C55E4" w14:textId="77777777" w:rsidR="007E5322" w:rsidRPr="003A3374" w:rsidRDefault="007E5322" w:rsidP="007E5322">
            <w:pPr>
              <w:pStyle w:val="AnalystContact"/>
              <w:rPr>
                <w:b/>
                <w:bCs/>
                <w:sz w:val="12"/>
                <w:szCs w:val="12"/>
              </w:rPr>
            </w:pPr>
            <w:r w:rsidRPr="003A3374">
              <w:rPr>
                <w:b/>
                <w:bCs/>
                <w:sz w:val="12"/>
                <w:szCs w:val="12"/>
              </w:rPr>
              <w:t>Investment Banking Client</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63E7F639" w14:textId="77777777" w:rsidR="007E5322" w:rsidRPr="003A3374" w:rsidRDefault="007E5322" w:rsidP="007E5322">
            <w:pPr>
              <w:pStyle w:val="AnalystContact"/>
              <w:rPr>
                <w:b/>
                <w:bCs/>
                <w:sz w:val="12"/>
                <w:szCs w:val="12"/>
              </w:rPr>
            </w:pPr>
            <w:r w:rsidRPr="003A3374">
              <w:rPr>
                <w:b/>
                <w:bCs/>
                <w:sz w:val="12"/>
                <w:szCs w:val="12"/>
              </w:rPr>
              <w:t>1</w:t>
            </w:r>
          </w:p>
        </w:tc>
      </w:tr>
      <w:tr w:rsidR="007E5322" w:rsidRPr="003A3374" w14:paraId="024FDE4B" w14:textId="77777777" w:rsidTr="003C36B6">
        <w:trPr>
          <w:trHeight w:val="226"/>
          <w:tblHeader/>
        </w:trPr>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5FD588F8" w14:textId="77777777" w:rsidR="007E5322" w:rsidRPr="003A3374" w:rsidRDefault="007E5322" w:rsidP="007E5322">
            <w:pPr>
              <w:pStyle w:val="AnalystContact"/>
              <w:rPr>
                <w:b/>
                <w:bCs/>
                <w:sz w:val="12"/>
                <w:szCs w:val="12"/>
              </w:rPr>
            </w:pPr>
            <w:r w:rsidRPr="003A3374">
              <w:rPr>
                <w:b/>
                <w:bCs/>
                <w:sz w:val="12"/>
                <w:szCs w:val="12"/>
              </w:rPr>
              <w:t>1</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1DF48CC1" w14:textId="77777777" w:rsidR="007E5322" w:rsidRPr="003A3374" w:rsidRDefault="007E5322" w:rsidP="007E5322">
            <w:pPr>
              <w:pStyle w:val="AnalystContact"/>
              <w:rPr>
                <w:b/>
                <w:bCs/>
                <w:sz w:val="12"/>
                <w:szCs w:val="12"/>
              </w:rPr>
            </w:pPr>
            <w:r w:rsidRPr="003A3374">
              <w:rPr>
                <w:b/>
                <w:bCs/>
                <w:sz w:val="12"/>
                <w:szCs w:val="12"/>
              </w:rPr>
              <w:t>Count</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49C888DA" w14:textId="77777777" w:rsidR="007E5322" w:rsidRPr="003A3374" w:rsidRDefault="007E5322" w:rsidP="007E5322">
            <w:pPr>
              <w:pStyle w:val="AnalystContact"/>
              <w:rPr>
                <w:b/>
                <w:bCs/>
                <w:sz w:val="12"/>
                <w:szCs w:val="12"/>
              </w:rPr>
            </w:pPr>
            <w:r w:rsidRPr="003A3374">
              <w:rPr>
                <w:b/>
                <w:bCs/>
                <w:sz w:val="12"/>
                <w:szCs w:val="12"/>
              </w:rPr>
              <w:t>%</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2D36EAA3" w14:textId="77777777" w:rsidR="007E5322" w:rsidRPr="003A3374" w:rsidRDefault="007E5322" w:rsidP="007E5322">
            <w:pPr>
              <w:pStyle w:val="AnalystContact"/>
              <w:rPr>
                <w:b/>
                <w:bCs/>
                <w:sz w:val="12"/>
                <w:szCs w:val="12"/>
              </w:rPr>
            </w:pPr>
            <w:r w:rsidRPr="003A3374">
              <w:rPr>
                <w:b/>
                <w:bCs/>
                <w:sz w:val="12"/>
                <w:szCs w:val="12"/>
              </w:rPr>
              <w:t>Count</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2ED44815" w14:textId="77777777" w:rsidR="007E5322" w:rsidRPr="003A3374" w:rsidRDefault="007E5322" w:rsidP="007E5322">
            <w:pPr>
              <w:pStyle w:val="AnalystContact"/>
              <w:rPr>
                <w:b/>
                <w:bCs/>
                <w:sz w:val="12"/>
                <w:szCs w:val="12"/>
              </w:rPr>
            </w:pPr>
            <w:r w:rsidRPr="003A3374">
              <w:rPr>
                <w:b/>
                <w:bCs/>
                <w:sz w:val="12"/>
                <w:szCs w:val="12"/>
              </w:rPr>
              <w:t>% Total IB Client</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20DE1171" w14:textId="77777777" w:rsidR="007E5322" w:rsidRPr="003A3374" w:rsidRDefault="007E5322" w:rsidP="007E5322">
            <w:pPr>
              <w:pStyle w:val="AnalystContact"/>
              <w:rPr>
                <w:b/>
                <w:bCs/>
                <w:sz w:val="12"/>
                <w:szCs w:val="12"/>
              </w:rPr>
            </w:pPr>
            <w:r w:rsidRPr="003A3374">
              <w:rPr>
                <w:b/>
                <w:bCs/>
                <w:sz w:val="12"/>
                <w:szCs w:val="12"/>
              </w:rPr>
              <w:t>% Rating Category</w:t>
            </w:r>
          </w:p>
        </w:tc>
      </w:tr>
      <w:tr w:rsidR="007E5322" w:rsidRPr="003A3374" w14:paraId="43F9349D" w14:textId="77777777" w:rsidTr="003C36B6">
        <w:trPr>
          <w:trHeight w:val="245"/>
        </w:trPr>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4D0F863D" w14:textId="77777777" w:rsidR="007E5322" w:rsidRPr="003A3374" w:rsidRDefault="007E5322" w:rsidP="007E5322">
            <w:pPr>
              <w:pStyle w:val="AnalystContact"/>
              <w:rPr>
                <w:sz w:val="12"/>
                <w:szCs w:val="12"/>
              </w:rPr>
            </w:pPr>
            <w:r w:rsidRPr="003A3374">
              <w:rPr>
                <w:sz w:val="12"/>
                <w:szCs w:val="12"/>
              </w:rPr>
              <w:t>Buy</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679DA555" w14:textId="77777777" w:rsidR="007E5322" w:rsidRPr="003A3374" w:rsidRDefault="007E5322" w:rsidP="007E5322">
            <w:pPr>
              <w:pStyle w:val="AnalystContact"/>
              <w:rPr>
                <w:sz w:val="12"/>
                <w:szCs w:val="12"/>
              </w:rPr>
            </w:pPr>
            <w:r w:rsidRPr="003A3374">
              <w:rPr>
                <w:sz w:val="12"/>
                <w:szCs w:val="12"/>
              </w:rPr>
              <w:t>264</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25DC9030" w14:textId="77777777" w:rsidR="007E5322" w:rsidRPr="003A3374" w:rsidRDefault="007E5322" w:rsidP="007E5322">
            <w:pPr>
              <w:pStyle w:val="AnalystContact"/>
              <w:rPr>
                <w:sz w:val="12"/>
                <w:szCs w:val="12"/>
              </w:rPr>
            </w:pPr>
            <w:r w:rsidRPr="003A3374">
              <w:rPr>
                <w:sz w:val="12"/>
                <w:szCs w:val="12"/>
              </w:rPr>
              <w:t>45.99 %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199440E8" w14:textId="77777777" w:rsidR="007E5322" w:rsidRPr="003A3374" w:rsidRDefault="007E5322" w:rsidP="007E5322">
            <w:pPr>
              <w:pStyle w:val="AnalystContact"/>
              <w:rPr>
                <w:sz w:val="12"/>
                <w:szCs w:val="12"/>
              </w:rPr>
            </w:pPr>
            <w:r w:rsidRPr="003A3374">
              <w:rPr>
                <w:sz w:val="12"/>
                <w:szCs w:val="12"/>
              </w:rPr>
              <w:t>36</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678AB1FC" w14:textId="77777777" w:rsidR="007E5322" w:rsidRPr="003A3374" w:rsidRDefault="007E5322" w:rsidP="007E5322">
            <w:pPr>
              <w:pStyle w:val="AnalystContact"/>
              <w:rPr>
                <w:sz w:val="12"/>
                <w:szCs w:val="12"/>
              </w:rPr>
            </w:pPr>
            <w:r w:rsidRPr="003A3374">
              <w:rPr>
                <w:sz w:val="12"/>
                <w:szCs w:val="12"/>
              </w:rPr>
              <w:t>47.37 %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4EDB091B" w14:textId="77777777" w:rsidR="007E5322" w:rsidRPr="003A3374" w:rsidRDefault="007E5322" w:rsidP="007E5322">
            <w:pPr>
              <w:pStyle w:val="AnalystContact"/>
              <w:rPr>
                <w:sz w:val="12"/>
                <w:szCs w:val="12"/>
              </w:rPr>
            </w:pPr>
            <w:r w:rsidRPr="003A3374">
              <w:rPr>
                <w:sz w:val="12"/>
                <w:szCs w:val="12"/>
              </w:rPr>
              <w:t>13.64 %</w:t>
            </w:r>
          </w:p>
        </w:tc>
      </w:tr>
      <w:tr w:rsidR="007E5322" w:rsidRPr="003A3374" w14:paraId="39AEBDCC" w14:textId="77777777" w:rsidTr="003C36B6">
        <w:trPr>
          <w:trHeight w:val="226"/>
        </w:trPr>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4A6442C7" w14:textId="77777777" w:rsidR="007E5322" w:rsidRPr="003A3374" w:rsidRDefault="007E5322" w:rsidP="007E5322">
            <w:pPr>
              <w:pStyle w:val="AnalystContact"/>
              <w:rPr>
                <w:sz w:val="12"/>
                <w:szCs w:val="12"/>
              </w:rPr>
            </w:pPr>
            <w:r w:rsidRPr="003A3374">
              <w:rPr>
                <w:sz w:val="12"/>
                <w:szCs w:val="12"/>
              </w:rPr>
              <w:t>Neutral</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03629AAC" w14:textId="77777777" w:rsidR="007E5322" w:rsidRPr="003A3374" w:rsidRDefault="007E5322" w:rsidP="007E5322">
            <w:pPr>
              <w:pStyle w:val="AnalystContact"/>
              <w:rPr>
                <w:sz w:val="12"/>
                <w:szCs w:val="12"/>
              </w:rPr>
            </w:pPr>
            <w:r w:rsidRPr="003A3374">
              <w:rPr>
                <w:sz w:val="12"/>
                <w:szCs w:val="12"/>
              </w:rPr>
              <w:t>243</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78D46BCF" w14:textId="77777777" w:rsidR="007E5322" w:rsidRPr="003A3374" w:rsidRDefault="007E5322" w:rsidP="007E5322">
            <w:pPr>
              <w:pStyle w:val="AnalystContact"/>
              <w:rPr>
                <w:sz w:val="12"/>
                <w:szCs w:val="12"/>
              </w:rPr>
            </w:pPr>
            <w:r w:rsidRPr="003A3374">
              <w:rPr>
                <w:sz w:val="12"/>
                <w:szCs w:val="12"/>
              </w:rPr>
              <w:t>42.33 %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0838CE4D" w14:textId="77777777" w:rsidR="007E5322" w:rsidRPr="003A3374" w:rsidRDefault="007E5322" w:rsidP="007E5322">
            <w:pPr>
              <w:pStyle w:val="AnalystContact"/>
              <w:rPr>
                <w:sz w:val="12"/>
                <w:szCs w:val="12"/>
              </w:rPr>
            </w:pPr>
            <w:r w:rsidRPr="003A3374">
              <w:rPr>
                <w:sz w:val="12"/>
                <w:szCs w:val="12"/>
              </w:rPr>
              <w:t>33</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064F1B3F" w14:textId="77777777" w:rsidR="007E5322" w:rsidRPr="003A3374" w:rsidRDefault="007E5322" w:rsidP="007E5322">
            <w:pPr>
              <w:pStyle w:val="AnalystContact"/>
              <w:rPr>
                <w:sz w:val="12"/>
                <w:szCs w:val="12"/>
              </w:rPr>
            </w:pPr>
            <w:r w:rsidRPr="003A3374">
              <w:rPr>
                <w:sz w:val="12"/>
                <w:szCs w:val="12"/>
              </w:rPr>
              <w:t>43.42 %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23D4E700" w14:textId="77777777" w:rsidR="007E5322" w:rsidRPr="003A3374" w:rsidRDefault="007E5322" w:rsidP="007E5322">
            <w:pPr>
              <w:pStyle w:val="AnalystContact"/>
              <w:rPr>
                <w:sz w:val="12"/>
                <w:szCs w:val="12"/>
              </w:rPr>
            </w:pPr>
            <w:r w:rsidRPr="003A3374">
              <w:rPr>
                <w:sz w:val="12"/>
                <w:szCs w:val="12"/>
              </w:rPr>
              <w:t>13.58 %</w:t>
            </w:r>
          </w:p>
        </w:tc>
      </w:tr>
      <w:tr w:rsidR="007E5322" w:rsidRPr="003A3374" w14:paraId="556404A4" w14:textId="77777777" w:rsidTr="003C36B6">
        <w:trPr>
          <w:trHeight w:val="226"/>
        </w:trPr>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7FB409EE" w14:textId="77777777" w:rsidR="007E5322" w:rsidRPr="003A3374" w:rsidRDefault="007E5322" w:rsidP="007E5322">
            <w:pPr>
              <w:pStyle w:val="AnalystContact"/>
              <w:rPr>
                <w:sz w:val="12"/>
                <w:szCs w:val="12"/>
              </w:rPr>
            </w:pPr>
            <w:r w:rsidRPr="003A3374">
              <w:rPr>
                <w:sz w:val="12"/>
                <w:szCs w:val="12"/>
              </w:rPr>
              <w:t>Not Rated</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38EDF2F6" w14:textId="77777777" w:rsidR="007E5322" w:rsidRPr="003A3374" w:rsidRDefault="007E5322" w:rsidP="007E5322">
            <w:pPr>
              <w:pStyle w:val="AnalystContact"/>
              <w:rPr>
                <w:sz w:val="12"/>
                <w:szCs w:val="12"/>
              </w:rPr>
            </w:pPr>
            <w:r w:rsidRPr="003A3374">
              <w:rPr>
                <w:sz w:val="12"/>
                <w:szCs w:val="12"/>
              </w:rPr>
              <w:t>17</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1B8E98D1" w14:textId="77777777" w:rsidR="007E5322" w:rsidRPr="003A3374" w:rsidRDefault="007E5322" w:rsidP="007E5322">
            <w:pPr>
              <w:pStyle w:val="AnalystContact"/>
              <w:rPr>
                <w:sz w:val="12"/>
                <w:szCs w:val="12"/>
              </w:rPr>
            </w:pPr>
            <w:r w:rsidRPr="003A3374">
              <w:rPr>
                <w:sz w:val="12"/>
                <w:szCs w:val="12"/>
              </w:rPr>
              <w:t>2.96 %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48894E69" w14:textId="77777777" w:rsidR="007E5322" w:rsidRPr="003A3374" w:rsidRDefault="007E5322" w:rsidP="007E5322">
            <w:pPr>
              <w:pStyle w:val="AnalystContact"/>
              <w:rPr>
                <w:sz w:val="12"/>
                <w:szCs w:val="12"/>
              </w:rPr>
            </w:pPr>
            <w:r w:rsidRPr="003A3374">
              <w:rPr>
                <w:sz w:val="12"/>
                <w:szCs w:val="12"/>
              </w:rPr>
              <w:t>6</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5691ECBB" w14:textId="77777777" w:rsidR="007E5322" w:rsidRPr="003A3374" w:rsidRDefault="007E5322" w:rsidP="007E5322">
            <w:pPr>
              <w:pStyle w:val="AnalystContact"/>
              <w:rPr>
                <w:sz w:val="12"/>
                <w:szCs w:val="12"/>
              </w:rPr>
            </w:pPr>
            <w:r w:rsidRPr="003A3374">
              <w:rPr>
                <w:sz w:val="12"/>
                <w:szCs w:val="12"/>
              </w:rPr>
              <w:t>7.89 %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3733B2ED" w14:textId="77777777" w:rsidR="007E5322" w:rsidRPr="003A3374" w:rsidRDefault="007E5322" w:rsidP="007E5322">
            <w:pPr>
              <w:pStyle w:val="AnalystContact"/>
              <w:rPr>
                <w:sz w:val="12"/>
                <w:szCs w:val="12"/>
              </w:rPr>
            </w:pPr>
            <w:r w:rsidRPr="003A3374">
              <w:rPr>
                <w:sz w:val="12"/>
                <w:szCs w:val="12"/>
              </w:rPr>
              <w:t>35.29 %</w:t>
            </w:r>
          </w:p>
        </w:tc>
      </w:tr>
      <w:tr w:rsidR="007E5322" w:rsidRPr="003A3374" w14:paraId="418702D9" w14:textId="77777777" w:rsidTr="003C36B6">
        <w:trPr>
          <w:trHeight w:val="226"/>
        </w:trPr>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7912D98C" w14:textId="77777777" w:rsidR="007E5322" w:rsidRPr="003A3374" w:rsidRDefault="007E5322" w:rsidP="007E5322">
            <w:pPr>
              <w:pStyle w:val="AnalystContact"/>
              <w:rPr>
                <w:sz w:val="12"/>
                <w:szCs w:val="12"/>
              </w:rPr>
            </w:pPr>
            <w:r w:rsidRPr="003A3374">
              <w:rPr>
                <w:sz w:val="12"/>
                <w:szCs w:val="12"/>
              </w:rPr>
              <w:t>Sell</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6330C51F" w14:textId="77777777" w:rsidR="007E5322" w:rsidRPr="003A3374" w:rsidRDefault="007E5322" w:rsidP="007E5322">
            <w:pPr>
              <w:pStyle w:val="AnalystContact"/>
              <w:rPr>
                <w:sz w:val="12"/>
                <w:szCs w:val="12"/>
              </w:rPr>
            </w:pPr>
            <w:r w:rsidRPr="003A3374">
              <w:rPr>
                <w:sz w:val="12"/>
                <w:szCs w:val="12"/>
              </w:rPr>
              <w:t>50</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61071A70" w14:textId="77777777" w:rsidR="007E5322" w:rsidRPr="003A3374" w:rsidRDefault="007E5322" w:rsidP="007E5322">
            <w:pPr>
              <w:pStyle w:val="AnalystContact"/>
              <w:rPr>
                <w:sz w:val="12"/>
                <w:szCs w:val="12"/>
              </w:rPr>
            </w:pPr>
            <w:r w:rsidRPr="003A3374">
              <w:rPr>
                <w:sz w:val="12"/>
                <w:szCs w:val="12"/>
              </w:rPr>
              <w:t>8.71 %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688E3545" w14:textId="77777777" w:rsidR="007E5322" w:rsidRPr="003A3374" w:rsidRDefault="007E5322" w:rsidP="007E5322">
            <w:pPr>
              <w:pStyle w:val="AnalystContact"/>
              <w:rPr>
                <w:sz w:val="12"/>
                <w:szCs w:val="12"/>
              </w:rPr>
            </w:pPr>
            <w:r w:rsidRPr="003A3374">
              <w:rPr>
                <w:sz w:val="12"/>
                <w:szCs w:val="12"/>
              </w:rPr>
              <w:t>1</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329E7833" w14:textId="77777777" w:rsidR="007E5322" w:rsidRPr="003A3374" w:rsidRDefault="007E5322" w:rsidP="007E5322">
            <w:pPr>
              <w:pStyle w:val="AnalystContact"/>
              <w:rPr>
                <w:sz w:val="12"/>
                <w:szCs w:val="12"/>
              </w:rPr>
            </w:pPr>
            <w:r w:rsidRPr="003A3374">
              <w:rPr>
                <w:sz w:val="12"/>
                <w:szCs w:val="12"/>
              </w:rPr>
              <w:t>1.32 %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04761818" w14:textId="77777777" w:rsidR="007E5322" w:rsidRPr="003A3374" w:rsidRDefault="007E5322" w:rsidP="007E5322">
            <w:pPr>
              <w:pStyle w:val="AnalystContact"/>
              <w:rPr>
                <w:sz w:val="12"/>
                <w:szCs w:val="12"/>
              </w:rPr>
            </w:pPr>
            <w:r w:rsidRPr="003A3374">
              <w:rPr>
                <w:sz w:val="12"/>
                <w:szCs w:val="12"/>
              </w:rPr>
              <w:t>2.00 %</w:t>
            </w:r>
          </w:p>
        </w:tc>
      </w:tr>
      <w:tr w:rsidR="007E5322" w:rsidRPr="003A3374" w14:paraId="3ED5A243" w14:textId="77777777" w:rsidTr="003C36B6">
        <w:trPr>
          <w:trHeight w:val="245"/>
        </w:trPr>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73850629" w14:textId="77777777" w:rsidR="007E5322" w:rsidRPr="003A3374" w:rsidRDefault="007E5322" w:rsidP="007E5322">
            <w:pPr>
              <w:pStyle w:val="AnalystContact"/>
              <w:rPr>
                <w:sz w:val="12"/>
                <w:szCs w:val="12"/>
              </w:rPr>
            </w:pPr>
            <w:r w:rsidRPr="003A3374">
              <w:rPr>
                <w:sz w:val="12"/>
                <w:szCs w:val="12"/>
              </w:rPr>
              <w:t>Total</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514A5019" w14:textId="77777777" w:rsidR="007E5322" w:rsidRPr="003A3374" w:rsidRDefault="007E5322" w:rsidP="007E5322">
            <w:pPr>
              <w:pStyle w:val="AnalystContact"/>
              <w:rPr>
                <w:sz w:val="12"/>
                <w:szCs w:val="12"/>
              </w:rPr>
            </w:pPr>
            <w:r w:rsidRPr="003A3374">
              <w:rPr>
                <w:sz w:val="12"/>
                <w:szCs w:val="12"/>
              </w:rPr>
              <w:t>574</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2AEFBD01" w14:textId="77777777" w:rsidR="007E5322" w:rsidRPr="003A3374" w:rsidRDefault="007E5322" w:rsidP="007E5322">
            <w:pPr>
              <w:pStyle w:val="AnalystContact"/>
              <w:rPr>
                <w:sz w:val="12"/>
                <w:szCs w:val="12"/>
              </w:rPr>
            </w:pPr>
            <w:r w:rsidRPr="003A3374">
              <w:rPr>
                <w:sz w:val="12"/>
                <w:szCs w:val="12"/>
              </w:rPr>
              <w:t>100.00 %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4A3294BF" w14:textId="77777777" w:rsidR="007E5322" w:rsidRPr="003A3374" w:rsidRDefault="007E5322" w:rsidP="007E5322">
            <w:pPr>
              <w:pStyle w:val="AnalystContact"/>
              <w:rPr>
                <w:sz w:val="12"/>
                <w:szCs w:val="12"/>
              </w:rPr>
            </w:pPr>
            <w:r w:rsidRPr="003A3374">
              <w:rPr>
                <w:sz w:val="12"/>
                <w:szCs w:val="12"/>
              </w:rPr>
              <w:t>76</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118144DF" w14:textId="77777777" w:rsidR="007E5322" w:rsidRPr="003A3374" w:rsidRDefault="007E5322" w:rsidP="007E5322">
            <w:pPr>
              <w:pStyle w:val="AnalystContact"/>
              <w:rPr>
                <w:sz w:val="12"/>
                <w:szCs w:val="12"/>
              </w:rPr>
            </w:pPr>
            <w:r w:rsidRPr="003A3374">
              <w:rPr>
                <w:sz w:val="12"/>
                <w:szCs w:val="12"/>
              </w:rPr>
              <w:t>100.00 %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273BDE8E" w14:textId="77777777" w:rsidR="007E5322" w:rsidRPr="003A3374" w:rsidRDefault="007E5322" w:rsidP="007E5322">
            <w:pPr>
              <w:pStyle w:val="AnalystContact"/>
              <w:rPr>
                <w:sz w:val="12"/>
                <w:szCs w:val="12"/>
              </w:rPr>
            </w:pPr>
            <w:r w:rsidRPr="003A3374">
              <w:rPr>
                <w:sz w:val="12"/>
                <w:szCs w:val="12"/>
              </w:rPr>
              <w:t>13.24 %</w:t>
            </w:r>
          </w:p>
        </w:tc>
      </w:tr>
    </w:tbl>
    <w:p w14:paraId="24BEB26B" w14:textId="77777777" w:rsidR="007E5322" w:rsidRPr="003A3374" w:rsidRDefault="007E5322" w:rsidP="007E5322">
      <w:pPr>
        <w:pStyle w:val="AnalystContact"/>
        <w:rPr>
          <w:sz w:val="12"/>
          <w:szCs w:val="12"/>
        </w:rPr>
      </w:pPr>
      <w:r w:rsidRPr="003A3374">
        <w:rPr>
          <w:i/>
          <w:iCs/>
          <w:sz w:val="12"/>
          <w:szCs w:val="12"/>
        </w:rPr>
        <w:t>Data relating to R&amp;Co relates to the period (which is less than 12 months) since Rothschild &amp; Co Redburn has been a member of the R&amp;Co group</w:t>
      </w:r>
    </w:p>
    <w:p w14:paraId="42CF70B0" w14:textId="77777777" w:rsidR="007E5322" w:rsidRPr="003A3374" w:rsidRDefault="007E5322" w:rsidP="007E5322">
      <w:pPr>
        <w:pStyle w:val="AnalystContact"/>
        <w:rPr>
          <w:sz w:val="12"/>
          <w:szCs w:val="12"/>
        </w:rPr>
      </w:pPr>
      <w:r w:rsidRPr="003A3374">
        <w:rPr>
          <w:sz w:val="12"/>
          <w:szCs w:val="12"/>
        </w:rPr>
        <w:t>Research reports are solely for the information of the addressee only and is not an offer, or solicitation of an offer, to sell, or buy, any securities or any derivative instruments or any other rights pertaining thereto. The information used to create or provide research reports are compiled from sources believed to be reliable, however, neither Rothschild &amp; Co Redburn nor any of its officers or employees, make any representations or warranties as to its accuracy or completeness. Any opinions, forecasts or estimates expressed constitute a judgement, as at the date of the research report, that is subject to change without notice. Rothschild &amp; Co Redburn has no obligation to update those opinions, forecasts or estimates. The recipient agrees that Rothschild &amp; Co Redburn shall have no liability for any misstatement or omission or fact or any opinion expressed, nor for the consequences of any reliance upon any statement, conclusion or opinion.  Rothschild &amp; Co Redburn may have disseminated information contained in research reports prior to their publication. Research reports do not have regard to the specific investment objectives, financial situation and the particular needs of any specific person who may receive them. Nothing in our research reports should be construed as investment, tax, legal, accounting, regulatory or other advice or as creating a fiduciary relationship.</w:t>
      </w:r>
    </w:p>
    <w:p w14:paraId="2B22E429" w14:textId="77777777" w:rsidR="007E5322" w:rsidRPr="003A3374" w:rsidRDefault="007E5322" w:rsidP="007E5322">
      <w:pPr>
        <w:pStyle w:val="AnalystContact"/>
        <w:rPr>
          <w:sz w:val="12"/>
          <w:szCs w:val="12"/>
        </w:rPr>
      </w:pPr>
      <w:r w:rsidRPr="003A3374">
        <w:rPr>
          <w:sz w:val="12"/>
          <w:szCs w:val="12"/>
        </w:rPr>
        <w:t>Rothschild &amp; Co Redburn’s products and services are intended distribution in the United States only to Major U.S. Institutional Investors as that term is defined for purposes of SEC Rule 15a-6.</w:t>
      </w:r>
    </w:p>
    <w:p w14:paraId="7497B2A9" w14:textId="77777777" w:rsidR="007E5322" w:rsidRPr="003A3374" w:rsidRDefault="007E5322" w:rsidP="007E5322">
      <w:pPr>
        <w:pStyle w:val="AnalystContact"/>
        <w:rPr>
          <w:sz w:val="12"/>
          <w:szCs w:val="12"/>
        </w:rPr>
      </w:pPr>
      <w:r w:rsidRPr="003A3374">
        <w:rPr>
          <w:sz w:val="12"/>
          <w:szCs w:val="12"/>
        </w:rPr>
        <w:t>Redburn (Europe) Limited is not a member of the Financial Industry Regulatory Authority (“FINRA”), and as such its Analysts are not subject to FINRA’s rules on research analysts and research reports, including FINRA restrictions on communications with a subject issuer, public appearances, and trading securities held by a research analyst account. Redburn (Europe) Limited is a correspondent of Redburn (USA) LLC, a SEC-registered broker-dealer. All US persons receiving research reports and wishing to buy or sell the securities discussed herein should do so through a representative of Redburn (USA) LLC.</w:t>
      </w:r>
    </w:p>
    <w:p w14:paraId="23DAF6BB" w14:textId="5CF03805" w:rsidR="00DE4360" w:rsidRPr="003A3374" w:rsidRDefault="007E5322" w:rsidP="003C36B6">
      <w:pPr>
        <w:pStyle w:val="AnalystContact"/>
        <w:rPr>
          <w:sz w:val="12"/>
          <w:szCs w:val="12"/>
        </w:rPr>
      </w:pPr>
      <w:r w:rsidRPr="003A3374">
        <w:rPr>
          <w:sz w:val="12"/>
          <w:szCs w:val="12"/>
        </w:rPr>
        <w:t>© 2025 - Redburn (Europe) Limited (trading as Rothschild &amp; Co Redburn)</w:t>
      </w:r>
    </w:p>
    <w:sectPr w:rsidR="00DE4360" w:rsidRPr="003A3374" w:rsidSect="007F01F0">
      <w:headerReference w:type="default" r:id="rId94"/>
      <w:footerReference w:type="even" r:id="rId95"/>
      <w:footerReference w:type="default" r:id="rId96"/>
      <w:headerReference w:type="first" r:id="rId97"/>
      <w:footerReference w:type="first" r:id="rId98"/>
      <w:pgSz w:w="11906" w:h="16838" w:code="9"/>
      <w:pgMar w:top="1701" w:right="3119" w:bottom="1474" w:left="1134" w:header="56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99D1D" w14:textId="77777777" w:rsidR="00E25FD6" w:rsidRPr="00D676D8" w:rsidRDefault="00E25FD6" w:rsidP="00591CCF">
      <w:r w:rsidRPr="00D676D8">
        <w:separator/>
      </w:r>
    </w:p>
  </w:endnote>
  <w:endnote w:type="continuationSeparator" w:id="0">
    <w:p w14:paraId="1E8B1CC5" w14:textId="77777777" w:rsidR="00E25FD6" w:rsidRPr="00D676D8" w:rsidRDefault="00E25FD6" w:rsidP="00591CCF">
      <w:r w:rsidRPr="00D676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embedRegular r:id="rId1" w:fontKey="{4D0E95D7-E1F7-4625-BA07-1ED8A3C9AE13}"/>
    <w:embedBold r:id="rId2" w:fontKey="{65B5FB1D-60F1-4CC0-87CA-90FF9EA08926}"/>
    <w:embedItalic r:id="rId3" w:fontKey="{673BA49F-8FFC-4F34-9572-9596592CD8D2}"/>
    <w:embedBoldItalic r:id="rId4" w:fontKey="{A6F63345-743D-4352-9251-9BE0A555951B}"/>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inion Pro">
    <w:altName w:val="Times New Roman"/>
    <w:panose1 w:val="00000000000000000000"/>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embedRegular r:id="rId5" w:fontKey="{C7A78BA7-B14F-45C6-97B4-8750A1EEE439}"/>
    <w:embedBold r:id="rId6" w:fontKey="{BC3AAA7C-534A-40F0-92CA-F0261148E163}"/>
    <w:embedItalic r:id="rId7" w:fontKey="{B93969C7-5DF1-4279-A000-E874CEE9BA20}"/>
    <w:embedBoldItalic r:id="rId8" w:fontKey="{61056CBB-01F5-4179-BA56-C2D45877B931}"/>
  </w:font>
  <w:font w:name="Calluna">
    <w:altName w:val="Calibri"/>
    <w:panose1 w:val="00000500000000000000"/>
    <w:charset w:val="00"/>
    <w:family w:val="auto"/>
    <w:pitch w:val="variable"/>
    <w:sig w:usb0="00000007" w:usb1="00000001" w:usb2="00000000" w:usb3="00000000" w:csb0="00000093" w:csb1="00000000"/>
    <w:embedRegular r:id="rId9" w:fontKey="{CF3B20B6-A839-47B5-8B8B-19ED97F85DD0}"/>
    <w:embedBold r:id="rId10" w:fontKey="{522E1B0D-45D6-4759-8FF0-C65A36812DEB}"/>
    <w:embedItalic r:id="rId11" w:fontKey="{05F5CB80-F28E-4E85-8A8B-98FC6145A906}"/>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2" w:fontKey="{287660FC-FF3F-43E9-82CA-65142BC8263A}"/>
  </w:font>
  <w:font w:name="Dotum">
    <w:altName w:val="돋움"/>
    <w:panose1 w:val="020B0600000101010101"/>
    <w:charset w:val="81"/>
    <w:family w:val="swiss"/>
    <w:pitch w:val="variable"/>
    <w:sig w:usb0="B00002AF" w:usb1="69D77CFB" w:usb2="00000030" w:usb3="00000000" w:csb0="0008009F" w:csb1="00000000"/>
  </w:font>
  <w:font w:name="HelveticaNeueLT Std">
    <w:altName w:val="Arial"/>
    <w:panose1 w:val="00000000000000000000"/>
    <w:charset w:val="00"/>
    <w:family w:val="swiss"/>
    <w:notTrueType/>
    <w:pitch w:val="variable"/>
    <w:sig w:usb0="800000AF" w:usb1="4000204A"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2CE78" w14:textId="374C0E33" w:rsidR="00B515C6" w:rsidRPr="00D676D8" w:rsidRDefault="00B515C6">
    <w:pPr>
      <w:pStyle w:val="Footer"/>
    </w:pPr>
    <w:r w:rsidRPr="00D676D8">
      <w:rPr>
        <w:noProof/>
      </w:rPr>
      <mc:AlternateContent>
        <mc:Choice Requires="wps">
          <w:drawing>
            <wp:anchor distT="0" distB="0" distL="0" distR="0" simplePos="0" relativeHeight="251658241" behindDoc="0" locked="0" layoutInCell="1" allowOverlap="1" wp14:anchorId="7BC996E9" wp14:editId="763707E6">
              <wp:simplePos x="635" y="635"/>
              <wp:positionH relativeFrom="page">
                <wp:align>center</wp:align>
              </wp:positionH>
              <wp:positionV relativeFrom="page">
                <wp:align>bottom</wp:align>
              </wp:positionV>
              <wp:extent cx="603885" cy="436245"/>
              <wp:effectExtent l="0" t="0" r="5715" b="0"/>
              <wp:wrapNone/>
              <wp:docPr id="235900711"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3885" cy="436245"/>
                      </a:xfrm>
                      <a:prstGeom prst="rect">
                        <a:avLst/>
                      </a:prstGeom>
                      <a:noFill/>
                      <a:ln>
                        <a:noFill/>
                      </a:ln>
                    </wps:spPr>
                    <wps:txbx>
                      <w:txbxContent>
                        <w:p w14:paraId="5EA33867" w14:textId="36B7BBDC" w:rsidR="00B515C6" w:rsidRPr="00D676D8" w:rsidRDefault="00B515C6" w:rsidP="00B515C6">
                          <w:pPr>
                            <w:rPr>
                              <w:rFonts w:ascii="Arial" w:eastAsia="Arial" w:hAnsi="Arial" w:cs="Arial"/>
                              <w:color w:val="7C7C80"/>
                              <w:sz w:val="18"/>
                              <w:szCs w:val="18"/>
                            </w:rPr>
                          </w:pPr>
                          <w:r w:rsidRPr="00D676D8">
                            <w:rPr>
                              <w:rFonts w:ascii="Arial" w:eastAsia="Arial" w:hAnsi="Arial" w:cs="Arial"/>
                              <w:color w:val="7C7C80"/>
                              <w:sz w:val="18"/>
                              <w:szCs w:val="18"/>
                            </w:rPr>
                            <w:t>Confidential</w:t>
                          </w:r>
                        </w:p>
                      </w:txbxContent>
                    </wps:txbx>
                    <wps:bodyPr rot="0" spcFirstLastPara="0" vertOverflow="overflow" horzOverflow="overflow" vert="horz" wrap="none" lIns="0" tIns="0" rIns="0" bIns="304800" numCol="1" spcCol="0" rtlCol="0" fromWordArt="0" anchor="b" anchorCtr="0" forceAA="0" compatLnSpc="1">
                      <a:prstTxWarp prst="textNoShape">
                        <a:avLst/>
                      </a:prstTxWarp>
                      <a:spAutoFit/>
                    </wps:bodyPr>
                  </wps:wsp>
                </a:graphicData>
              </a:graphic>
              <wp14:sizeRelV relativeFrom="margin">
                <wp14:pctHeight>0</wp14:pctHeight>
              </wp14:sizeRelV>
            </wp:anchor>
          </w:drawing>
        </mc:Choice>
        <mc:Fallback>
          <w:pict>
            <v:shapetype w14:anchorId="7BC996E9" id="_x0000_t202" coordsize="21600,21600" o:spt="202" path="m,l,21600r21600,l21600,xe">
              <v:stroke joinstyle="miter"/>
              <v:path gradientshapeok="t" o:connecttype="rect"/>
            </v:shapetype>
            <v:shape id="Text Box 3" o:spid="_x0000_s1026" type="#_x0000_t202" alt="Confidential" style="position:absolute;left:0;text-align:left;margin-left:0;margin-top:0;width:47.55pt;height:34.35pt;z-index:251658241;visibility:visible;mso-wrap-style:none;mso-height-percent:0;mso-wrap-distance-left:0;mso-wrap-distance-top:0;mso-wrap-distance-right:0;mso-wrap-distance-bottom:0;mso-position-horizontal:center;mso-position-horizontal-relative:page;mso-position-vertical:bottom;mso-position-vertical-relative:page;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" filled="f" stroked="f">
              <v:textbox style="mso-fit-shape-to-text:t" inset="0,0,0,24pt">
                <w:txbxContent>
                  <w:p w14:paraId="5EA33867" w14:textId="36B7BBDC" w:rsidR="00B515C6" w:rsidRPr="00D676D8" w:rsidRDefault="00B515C6" w:rsidP="00B515C6">
                    <w:pPr>
                      <w:rPr>
                        <w:rFonts w:ascii="Arial" w:eastAsia="Arial" w:hAnsi="Arial" w:cs="Arial"/>
                        <w:color w:val="7C7C80"/>
                        <w:sz w:val="18"/>
                        <w:szCs w:val="18"/>
                      </w:rPr>
                    </w:pPr>
                    <w:r w:rsidRPr="00D676D8">
                      <w:rPr>
                        <w:rFonts w:ascii="Arial" w:eastAsia="Arial" w:hAnsi="Arial" w:cs="Arial"/>
                        <w:color w:val="7C7C80"/>
                        <w:sz w:val="18"/>
                        <w:szCs w:val="18"/>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C505C" w14:textId="2E0205CC" w:rsidR="00BB5DA7" w:rsidRPr="00D676D8" w:rsidRDefault="00B515C6" w:rsidP="001A55BA">
    <w:pPr>
      <w:pStyle w:val="Footernumber"/>
      <w:framePr w:wrap="around"/>
    </w:pPr>
    <w:r w:rsidRPr="00D676D8">
      <w:rPr>
        <w:noProof/>
      </w:rPr>
      <mc:AlternateContent>
        <mc:Choice Requires="wps">
          <w:drawing>
            <wp:anchor distT="0" distB="0" distL="0" distR="0" simplePos="0" relativeHeight="251658242" behindDoc="0" locked="0" layoutInCell="1" allowOverlap="1" wp14:anchorId="1EA53E86" wp14:editId="524D5892">
              <wp:simplePos x="635" y="635"/>
              <wp:positionH relativeFrom="page">
                <wp:align>center</wp:align>
              </wp:positionH>
              <wp:positionV relativeFrom="page">
                <wp:align>bottom</wp:align>
              </wp:positionV>
              <wp:extent cx="603885" cy="436245"/>
              <wp:effectExtent l="0" t="0" r="5715" b="0"/>
              <wp:wrapNone/>
              <wp:docPr id="1448350591" name="Text Box 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3885" cy="436245"/>
                      </a:xfrm>
                      <a:prstGeom prst="rect">
                        <a:avLst/>
                      </a:prstGeom>
                      <a:noFill/>
                      <a:ln>
                        <a:noFill/>
                      </a:ln>
                    </wps:spPr>
                    <wps:txbx>
                      <w:txbxContent>
                        <w:p w14:paraId="6C90D89A" w14:textId="0BD280D6" w:rsidR="00B515C6" w:rsidRPr="00D676D8" w:rsidRDefault="00B515C6" w:rsidP="00B515C6">
                          <w:pPr>
                            <w:rPr>
                              <w:rFonts w:ascii="Arial" w:eastAsia="Arial" w:hAnsi="Arial" w:cs="Arial"/>
                              <w:color w:val="7C7C80"/>
                              <w:sz w:val="18"/>
                              <w:szCs w:val="18"/>
                            </w:rPr>
                          </w:pPr>
                          <w:r w:rsidRPr="00D676D8">
                            <w:rPr>
                              <w:rFonts w:ascii="Arial" w:eastAsia="Arial" w:hAnsi="Arial" w:cs="Arial"/>
                              <w:color w:val="7C7C80"/>
                              <w:sz w:val="18"/>
                              <w:szCs w:val="18"/>
                            </w:rPr>
                            <w:t>Confidential</w:t>
                          </w:r>
                        </w:p>
                      </w:txbxContent>
                    </wps:txbx>
                    <wps:bodyPr rot="0" spcFirstLastPara="0" vertOverflow="overflow" horzOverflow="overflow" vert="horz" wrap="none" lIns="0" tIns="0" rIns="0" bIns="304800" numCol="1" spcCol="0" rtlCol="0" fromWordArt="0" anchor="b" anchorCtr="0" forceAA="0" compatLnSpc="1">
                      <a:prstTxWarp prst="textNoShape">
                        <a:avLst/>
                      </a:prstTxWarp>
                      <a:spAutoFit/>
                    </wps:bodyPr>
                  </wps:wsp>
                </a:graphicData>
              </a:graphic>
              <wp14:sizeRelV relativeFrom="margin">
                <wp14:pctHeight>0</wp14:pctHeight>
              </wp14:sizeRelV>
            </wp:anchor>
          </w:drawing>
        </mc:Choice>
        <mc:Fallback>
          <w:pict>
            <v:shapetype w14:anchorId="1EA53E86" id="_x0000_t202" coordsize="21600,21600" o:spt="202" path="m,l,21600r21600,l21600,xe">
              <v:stroke joinstyle="miter"/>
              <v:path gradientshapeok="t" o:connecttype="rect"/>
            </v:shapetype>
            <v:shape id="Text Box 4" o:spid="_x0000_s1027" type="#_x0000_t202" alt="Confidential" style="position:absolute;margin-left:0;margin-top:0;width:47.55pt;height:34.35pt;z-index:251658242;visibility:visible;mso-wrap-style:none;mso-height-percent:0;mso-wrap-distance-left:0;mso-wrap-distance-top:0;mso-wrap-distance-right:0;mso-wrap-distance-bottom:0;mso-position-horizontal:center;mso-position-horizontal-relative:page;mso-position-vertical:bottom;mso-position-vertical-relative:page;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" filled="f" stroked="f">
              <v:textbox style="mso-fit-shape-to-text:t" inset="0,0,0,24pt">
                <w:txbxContent>
                  <w:p w14:paraId="6C90D89A" w14:textId="0BD280D6" w:rsidR="00B515C6" w:rsidRPr="00D676D8" w:rsidRDefault="00B515C6" w:rsidP="00B515C6">
                    <w:pPr>
                      <w:rPr>
                        <w:rFonts w:ascii="Arial" w:eastAsia="Arial" w:hAnsi="Arial" w:cs="Arial"/>
                        <w:color w:val="7C7C80"/>
                        <w:sz w:val="18"/>
                        <w:szCs w:val="18"/>
                      </w:rPr>
                    </w:pPr>
                    <w:r w:rsidRPr="00D676D8">
                      <w:rPr>
                        <w:rFonts w:ascii="Arial" w:eastAsia="Arial" w:hAnsi="Arial" w:cs="Arial"/>
                        <w:color w:val="7C7C80"/>
                        <w:sz w:val="18"/>
                        <w:szCs w:val="18"/>
                      </w:rPr>
                      <w:t>Confidential</w:t>
                    </w:r>
                  </w:p>
                </w:txbxContent>
              </v:textbox>
              <w10:wrap anchorx="page" anchory="page"/>
            </v:shape>
          </w:pict>
        </mc:Fallback>
      </mc:AlternateContent>
    </w:r>
    <w:r w:rsidR="00BB5DA7" w:rsidRPr="00D676D8">
      <w:fldChar w:fldCharType="begin"/>
    </w:r>
    <w:r w:rsidR="00BB5DA7" w:rsidRPr="00D676D8">
      <w:instrText xml:space="preserve"> PAGE  \* Arabic </w:instrText>
    </w:r>
    <w:r w:rsidR="00BB5DA7" w:rsidRPr="00D676D8">
      <w:fldChar w:fldCharType="separate"/>
    </w:r>
    <w:r w:rsidR="00D0374F" w:rsidRPr="00D676D8">
      <w:t>2</w:t>
    </w:r>
    <w:r w:rsidR="00BB5DA7" w:rsidRPr="00D676D8">
      <w:fldChar w:fldCharType="end"/>
    </w:r>
  </w:p>
  <w:p w14:paraId="54D4497F" w14:textId="77777777" w:rsidR="00B76039" w:rsidRPr="002509DE" w:rsidRDefault="00310E77" w:rsidP="00B76039">
    <w:pPr>
      <w:pStyle w:val="FooterRunning"/>
    </w:pPr>
    <w:r w:rsidRPr="00D676D8">
      <w:fldChar w:fldCharType="begin"/>
    </w:r>
    <w:r w:rsidRPr="00D676D8">
      <w:instrText xml:space="preserve"> REF  Disclaimer </w:instrText>
    </w:r>
    <w:r w:rsidRPr="00D676D8">
      <w:fldChar w:fldCharType="separate"/>
    </w:r>
    <w:r w:rsidR="00B76039" w:rsidRPr="002509DE">
      <w:t xml:space="preserve">Important note: this information is covered by our standard regulatory disclosures, which are </w:t>
    </w:r>
    <w:r w:rsidR="00B76039">
      <w:br/>
    </w:r>
    <w:r w:rsidR="00B76039" w:rsidRPr="002509DE">
      <w:t xml:space="preserve">printed on all published research </w:t>
    </w:r>
    <w:r w:rsidR="00B76039" w:rsidRPr="00FE70FE">
      <w:t>and</w:t>
    </w:r>
    <w:r w:rsidR="00B76039" w:rsidRPr="002509DE">
      <w:t xml:space="preserve"> displayed on </w:t>
    </w:r>
    <w:r w:rsidR="00B76039" w:rsidRPr="00BB0BDF">
      <w:t>disclosures.</w:t>
    </w:r>
    <w:r w:rsidR="00B76039">
      <w:t>redburn.</w:t>
    </w:r>
    <w:r w:rsidR="00B76039" w:rsidRPr="001231E1">
      <w:t>rothschildandco.com</w:t>
    </w:r>
  </w:p>
  <w:p w14:paraId="3263CA44" w14:textId="7F741752" w:rsidR="00BB5DA7" w:rsidRPr="00D676D8" w:rsidRDefault="00B76039" w:rsidP="00C21C3F">
    <w:pPr>
      <w:pStyle w:val="FooterRunning"/>
    </w:pPr>
    <w:r w:rsidRPr="00A74928">
      <w:t xml:space="preserve">Redburn </w:t>
    </w:r>
    <w:r>
      <w:t>(Europe)</w:t>
    </w:r>
    <w:r w:rsidRPr="00FE70FE">
      <w:t xml:space="preserve"> Limited is authorised and regulated by the Financial Conduct Authority</w:t>
    </w:r>
    <w:r w:rsidR="00310E77" w:rsidRPr="00D676D8">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A79B9" w14:textId="28AF50EE" w:rsidR="00BB5DA7" w:rsidRPr="00D676D8" w:rsidRDefault="00B515C6" w:rsidP="0086003A">
    <w:pPr>
      <w:pStyle w:val="Footernumber"/>
      <w:framePr w:wrap="around"/>
    </w:pPr>
    <w:r w:rsidRPr="00D676D8">
      <w:rPr>
        <w:noProof/>
      </w:rPr>
      <mc:AlternateContent>
        <mc:Choice Requires="wps">
          <w:drawing>
            <wp:anchor distT="0" distB="0" distL="0" distR="0" simplePos="0" relativeHeight="251658240" behindDoc="0" locked="0" layoutInCell="1" allowOverlap="1" wp14:anchorId="68C09619" wp14:editId="4D3E870F">
              <wp:simplePos x="6782207" y="9960603"/>
              <wp:positionH relativeFrom="page">
                <wp:align>center</wp:align>
              </wp:positionH>
              <wp:positionV relativeFrom="page">
                <wp:align>bottom</wp:align>
              </wp:positionV>
              <wp:extent cx="603885" cy="436245"/>
              <wp:effectExtent l="0" t="0" r="5715" b="0"/>
              <wp:wrapNone/>
              <wp:docPr id="578840999"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3885" cy="436245"/>
                      </a:xfrm>
                      <a:prstGeom prst="rect">
                        <a:avLst/>
                      </a:prstGeom>
                      <a:noFill/>
                      <a:ln>
                        <a:noFill/>
                      </a:ln>
                    </wps:spPr>
                    <wps:txbx>
                      <w:txbxContent>
                        <w:p w14:paraId="7C6ACDF8" w14:textId="286C8D6B" w:rsidR="00B515C6" w:rsidRPr="00D676D8" w:rsidRDefault="00B515C6" w:rsidP="00B515C6">
                          <w:pPr>
                            <w:rPr>
                              <w:rFonts w:ascii="Arial" w:eastAsia="Arial" w:hAnsi="Arial" w:cs="Arial"/>
                              <w:color w:val="7C7C80"/>
                              <w:sz w:val="18"/>
                              <w:szCs w:val="18"/>
                            </w:rPr>
                          </w:pPr>
                          <w:r w:rsidRPr="00D676D8">
                            <w:rPr>
                              <w:rFonts w:ascii="Arial" w:eastAsia="Arial" w:hAnsi="Arial" w:cs="Arial"/>
                              <w:color w:val="7C7C80"/>
                              <w:sz w:val="18"/>
                              <w:szCs w:val="18"/>
                            </w:rPr>
                            <w:t>Confidential</w:t>
                          </w:r>
                        </w:p>
                      </w:txbxContent>
                    </wps:txbx>
                    <wps:bodyPr rot="0" spcFirstLastPara="0" vertOverflow="overflow" horzOverflow="overflow" vert="horz" wrap="none" lIns="0" tIns="0" rIns="0" bIns="304800" numCol="1" spcCol="0" rtlCol="0" fromWordArt="0" anchor="b" anchorCtr="0" forceAA="0" compatLnSpc="1">
                      <a:prstTxWarp prst="textNoShape">
                        <a:avLst/>
                      </a:prstTxWarp>
                      <a:spAutoFit/>
                    </wps:bodyPr>
                  </wps:wsp>
                </a:graphicData>
              </a:graphic>
              <wp14:sizeRelV relativeFrom="margin">
                <wp14:pctHeight>0</wp14:pctHeight>
              </wp14:sizeRelV>
            </wp:anchor>
          </w:drawing>
        </mc:Choice>
        <mc:Fallback>
          <w:pict>
            <v:shapetype w14:anchorId="68C09619" id="_x0000_t202" coordsize="21600,21600" o:spt="202" path="m,l,21600r21600,l21600,xe">
              <v:stroke joinstyle="miter"/>
              <v:path gradientshapeok="t" o:connecttype="rect"/>
            </v:shapetype>
            <v:shape id="Text Box 2" o:spid="_x0000_s1028" type="#_x0000_t202" alt="Confidential" style="position:absolute;margin-left:0;margin-top:0;width:47.55pt;height:34.35pt;z-index:251658240;visibility:visible;mso-wrap-style:none;mso-height-percent:0;mso-wrap-distance-left:0;mso-wrap-distance-top:0;mso-wrap-distance-right:0;mso-wrap-distance-bottom:0;mso-position-horizontal:center;mso-position-horizontal-relative:page;mso-position-vertical:bottom;mso-position-vertical-relative:page;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" filled="f" stroked="f">
              <v:textbox style="mso-fit-shape-to-text:t" inset="0,0,0,24pt">
                <w:txbxContent>
                  <w:p w14:paraId="7C6ACDF8" w14:textId="286C8D6B" w:rsidR="00B515C6" w:rsidRPr="00D676D8" w:rsidRDefault="00B515C6" w:rsidP="00B515C6">
                    <w:pPr>
                      <w:rPr>
                        <w:rFonts w:ascii="Arial" w:eastAsia="Arial" w:hAnsi="Arial" w:cs="Arial"/>
                        <w:color w:val="7C7C80"/>
                        <w:sz w:val="18"/>
                        <w:szCs w:val="18"/>
                      </w:rPr>
                    </w:pPr>
                    <w:r w:rsidRPr="00D676D8">
                      <w:rPr>
                        <w:rFonts w:ascii="Arial" w:eastAsia="Arial" w:hAnsi="Arial" w:cs="Arial"/>
                        <w:color w:val="7C7C80"/>
                        <w:sz w:val="18"/>
                        <w:szCs w:val="18"/>
                      </w:rPr>
                      <w:t>Confidential</w:t>
                    </w:r>
                  </w:p>
                </w:txbxContent>
              </v:textbox>
              <w10:wrap anchorx="page" anchory="page"/>
            </v:shape>
          </w:pict>
        </mc:Fallback>
      </mc:AlternateContent>
    </w:r>
    <w:r w:rsidR="00BB5DA7" w:rsidRPr="00D676D8">
      <w:fldChar w:fldCharType="begin"/>
    </w:r>
    <w:r w:rsidR="00BB5DA7" w:rsidRPr="00D676D8">
      <w:instrText xml:space="preserve"> PAGE  \* Arabic </w:instrText>
    </w:r>
    <w:r w:rsidR="00BB5DA7" w:rsidRPr="00D676D8">
      <w:fldChar w:fldCharType="separate"/>
    </w:r>
    <w:r w:rsidR="00D0374F" w:rsidRPr="00D676D8">
      <w:t>1</w:t>
    </w:r>
    <w:r w:rsidR="00BB5DA7" w:rsidRPr="00D676D8">
      <w:fldChar w:fldCharType="end"/>
    </w:r>
  </w:p>
  <w:p w14:paraId="0DAB3E0A" w14:textId="77777777" w:rsidR="00B76039" w:rsidRPr="002509DE" w:rsidRDefault="00B76039" w:rsidP="00B76039">
    <w:pPr>
      <w:pStyle w:val="FooterRunning"/>
    </w:pPr>
    <w:bookmarkStart w:id="125" w:name="Disclaimer"/>
    <w:r w:rsidRPr="002509DE">
      <w:t xml:space="preserve">Important note: this information is covered by our standard regulatory disclosures, which are </w:t>
    </w:r>
    <w:r>
      <w:br/>
    </w:r>
    <w:r w:rsidRPr="002509DE">
      <w:t xml:space="preserve">printed on all published research </w:t>
    </w:r>
    <w:r w:rsidRPr="00FE70FE">
      <w:t>and</w:t>
    </w:r>
    <w:r w:rsidRPr="002509DE">
      <w:t xml:space="preserve"> displayed on </w:t>
    </w:r>
    <w:r w:rsidRPr="00BB0BDF">
      <w:t>disclosures.</w:t>
    </w:r>
    <w:r>
      <w:t>redburn.</w:t>
    </w:r>
    <w:r w:rsidRPr="001231E1">
      <w:t>rothschildandco.com</w:t>
    </w:r>
  </w:p>
  <w:p w14:paraId="505C60A2" w14:textId="7D77BEF3" w:rsidR="00BB5DA7" w:rsidRPr="00D676D8" w:rsidRDefault="00B76039" w:rsidP="00B76039">
    <w:pPr>
      <w:pStyle w:val="FooterRunning"/>
    </w:pPr>
    <w:r w:rsidRPr="00A74928">
      <w:t xml:space="preserve">Redburn </w:t>
    </w:r>
    <w:r>
      <w:t>(Europe)</w:t>
    </w:r>
    <w:r w:rsidRPr="00FE70FE">
      <w:t xml:space="preserve"> Limited is authorised and regulated by the Financial Conduct Authority</w:t>
    </w:r>
    <w:bookmarkEnd w:id="12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4E59B" w14:textId="77777777" w:rsidR="00E25FD6" w:rsidRPr="00D676D8" w:rsidRDefault="00E25FD6" w:rsidP="00591CCF"/>
  </w:footnote>
  <w:footnote w:type="continuationSeparator" w:id="0">
    <w:p w14:paraId="133C7BB5" w14:textId="77777777" w:rsidR="00E25FD6" w:rsidRPr="00D676D8" w:rsidRDefault="00E25FD6" w:rsidP="00591CCF"/>
  </w:footnote>
  <w:footnote w:type="continuationNotice" w:id="1">
    <w:p w14:paraId="6730CE5B" w14:textId="77777777" w:rsidR="00E25FD6" w:rsidRPr="00D676D8" w:rsidRDefault="00E25FD6"/>
  </w:footnote>
  <w:footnote w:id="2">
    <w:p w14:paraId="2651AB24" w14:textId="77777777" w:rsidR="00B771A4" w:rsidRPr="00D676D8" w:rsidRDefault="00B771A4" w:rsidP="00B771A4">
      <w:pPr>
        <w:pStyle w:val="FootnoteText"/>
      </w:pPr>
      <w:r w:rsidRPr="00D676D8">
        <w:rPr>
          <w:rStyle w:val="FootnoteReference"/>
        </w:rPr>
        <w:footnoteRef/>
      </w:r>
      <w:r w:rsidRPr="00D676D8">
        <w:t xml:space="preserve"> Beecham Group was also a former Coca-Cola bottler, but the company refocused on its pharmaceuticals business in the mid-1980s and merged with Smith, Kline &amp; French in 1989, creating the precursor to pharmaceuticals giant GlaxoSmithKline (Buy rated).</w:t>
      </w:r>
    </w:p>
  </w:footnote>
  <w:footnote w:id="3">
    <w:p w14:paraId="697817C1" w14:textId="51B9E24E" w:rsidR="00186F82" w:rsidRPr="00D676D8" w:rsidRDefault="00186F82">
      <w:pPr>
        <w:pStyle w:val="FootnoteText"/>
      </w:pPr>
      <w:r w:rsidRPr="00D676D8">
        <w:rPr>
          <w:rStyle w:val="FootnoteReference"/>
        </w:rPr>
        <w:footnoteRef/>
      </w:r>
      <w:r w:rsidRPr="00D676D8">
        <w:t xml:space="preserve"> ‘</w:t>
      </w:r>
      <w:hyperlink r:id="rId1" w:history="1">
        <w:r w:rsidRPr="00D676D8">
          <w:rPr>
            <w:rStyle w:val="Hyperlink"/>
          </w:rPr>
          <w:t>Coca-Cola become our Official Soft Drink Partner</w:t>
        </w:r>
      </w:hyperlink>
      <w:r w:rsidRPr="00D676D8">
        <w:t>’, Arsenal football club (20 August 2025)</w:t>
      </w:r>
    </w:p>
  </w:footnote>
  <w:footnote w:id="4">
    <w:p w14:paraId="059B83E4" w14:textId="1E70EB10" w:rsidR="00186F82" w:rsidRPr="00D676D8" w:rsidRDefault="00186F82">
      <w:pPr>
        <w:pStyle w:val="FootnoteText"/>
      </w:pPr>
      <w:r w:rsidRPr="00D676D8">
        <w:rPr>
          <w:rStyle w:val="FootnoteReference"/>
        </w:rPr>
        <w:footnoteRef/>
      </w:r>
      <w:r w:rsidRPr="00D676D8">
        <w:t xml:space="preserve"> ‘</w:t>
      </w:r>
      <w:hyperlink r:id="rId2" w:history="1">
        <w:r w:rsidRPr="00D676D8">
          <w:rPr>
            <w:rStyle w:val="Hyperlink"/>
          </w:rPr>
          <w:t>COCA-COLA UNVEILS PARTNERSHIP WITH PREMIER LEAGUE’</w:t>
        </w:r>
      </w:hyperlink>
      <w:r w:rsidRPr="00D676D8">
        <w:t>, TCCC (21 May 2025).</w:t>
      </w:r>
    </w:p>
  </w:footnote>
  <w:footnote w:id="5">
    <w:p w14:paraId="601F124F" w14:textId="47EA0F9D" w:rsidR="00E5771D" w:rsidRPr="00D676D8" w:rsidRDefault="00E5771D" w:rsidP="00E5771D">
      <w:pPr>
        <w:pStyle w:val="FootnoteText"/>
      </w:pPr>
      <w:r w:rsidRPr="00D676D8">
        <w:rPr>
          <w:rStyle w:val="FootnoteReference"/>
        </w:rPr>
        <w:footnoteRef/>
      </w:r>
      <w:r w:rsidRPr="00D676D8">
        <w:t xml:space="preserve"> ‘</w:t>
      </w:r>
      <w:hyperlink r:id="rId3" w:history="1">
        <w:r w:rsidRPr="00D676D8">
          <w:rPr>
            <w:rStyle w:val="Hyperlink"/>
          </w:rPr>
          <w:t>Fitch Assigns Morrison's Senior Secured Debt Final 'BB-' Rating; Maintains Positive Outlook on IDR</w:t>
        </w:r>
      </w:hyperlink>
      <w:r w:rsidRPr="00D676D8">
        <w:t>’ (31 July 2025).</w:t>
      </w:r>
    </w:p>
  </w:footnote>
  <w:footnote w:id="6">
    <w:p w14:paraId="54A2C26D" w14:textId="52054F7A" w:rsidR="00D44ADC" w:rsidRPr="00D676D8" w:rsidRDefault="00D44ADC" w:rsidP="00D44ADC">
      <w:pPr>
        <w:pStyle w:val="FootnoteText"/>
      </w:pPr>
      <w:r w:rsidRPr="00D676D8">
        <w:rPr>
          <w:rStyle w:val="FootnoteReference"/>
        </w:rPr>
        <w:footnoteRef/>
      </w:r>
      <w:r w:rsidRPr="00D676D8">
        <w:t xml:space="preserve"> ‘</w:t>
      </w:r>
      <w:hyperlink r:id="rId4" w:history="1">
        <w:r w:rsidRPr="00D676D8">
          <w:rPr>
            <w:rStyle w:val="Hyperlink"/>
          </w:rPr>
          <w:t>Introducing a Deposit Return Scheme on beverage containers</w:t>
        </w:r>
      </w:hyperlink>
      <w:r w:rsidRPr="00D676D8">
        <w:t>’, Department for Environment, Food &amp; Rural Affairs (15 February 2019).</w:t>
      </w:r>
    </w:p>
  </w:footnote>
  <w:footnote w:id="7">
    <w:p w14:paraId="5782038D" w14:textId="59CC3675" w:rsidR="002F36B8" w:rsidRDefault="002F36B8">
      <w:pPr>
        <w:pStyle w:val="FootnoteText"/>
      </w:pPr>
      <w:r w:rsidRPr="00D676D8">
        <w:rPr>
          <w:rStyle w:val="FootnoteReference"/>
        </w:rPr>
        <w:footnoteRef/>
      </w:r>
      <w:r w:rsidRPr="00D676D8">
        <w:t xml:space="preserve"> ‘</w:t>
      </w:r>
      <w:hyperlink r:id="rId5" w:history="1">
        <w:r w:rsidRPr="00D676D8">
          <w:rPr>
            <w:rStyle w:val="Hyperlink"/>
          </w:rPr>
          <w:t>The impact of deposit return schemes on beverage sales</w:t>
        </w:r>
      </w:hyperlink>
      <w:r w:rsidRPr="00D676D8">
        <w:t>’ (July 2023).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4A232" w14:textId="6F78ED33" w:rsidR="00E25F40" w:rsidRPr="00D676D8" w:rsidRDefault="00D63DD6" w:rsidP="00E25F40">
    <w:pPr>
      <w:pStyle w:val="headerRunning"/>
    </w:pPr>
    <w:r w:rsidRPr="00D676D8">
      <w:rPr>
        <w:rFonts w:ascii="Source Sans Pro" w:hAnsi="Source Sans Pro"/>
        <w:color w:val="000000" w:themeColor="text1"/>
        <w:lang w:eastAsia="en-GB"/>
      </w:rPr>
      <w:t>ROTHSCHILD &amp; CO REDBURN</w:t>
    </w:r>
    <w:r w:rsidR="00E25F40" w:rsidRPr="00D676D8">
      <w:tab/>
    </w:r>
    <w:r w:rsidR="00E25F40" w:rsidRPr="00D676D8">
      <w:fldChar w:fldCharType="begin"/>
    </w:r>
    <w:r w:rsidR="00E25F40" w:rsidRPr="00D676D8">
      <w:instrText xml:space="preserve"> DOCVARIABLE "UserStockOrSectorName" </w:instrText>
    </w:r>
    <w:r w:rsidR="00E25F40" w:rsidRPr="00D676D8">
      <w:fldChar w:fldCharType="separate"/>
    </w:r>
    <w:r w:rsidR="00B76039">
      <w:t>Coca-Cola Europacific Partners</w:t>
    </w:r>
    <w:r w:rsidR="00E25F40" w:rsidRPr="00D676D8">
      <w:fldChar w:fldCharType="end"/>
    </w:r>
    <w:r w:rsidR="00E25F40" w:rsidRPr="00D676D8">
      <w:t xml:space="preserve"> / </w:t>
    </w:r>
    <w:r w:rsidR="00A65E86" w:rsidRPr="00D676D8">
      <w:fldChar w:fldCharType="begin"/>
    </w:r>
    <w:r w:rsidR="00A65E86" w:rsidRPr="00D676D8">
      <w:instrText xml:space="preserve"> DOCVARIABLE "UserDate" </w:instrText>
    </w:r>
    <w:r w:rsidR="00A65E86" w:rsidRPr="00D676D8">
      <w:fldChar w:fldCharType="separate"/>
    </w:r>
    <w:r w:rsidR="00B76039">
      <w:t>21 November 2025</w:t>
    </w:r>
    <w:r w:rsidR="00A65E86" w:rsidRPr="00D676D8">
      <w:fldChar w:fldCharType="end"/>
    </w:r>
  </w:p>
  <w:p w14:paraId="7EAF1F1E" w14:textId="77777777" w:rsidR="00E25F40" w:rsidRPr="00D676D8" w:rsidRDefault="00E25F40" w:rsidP="00E25F40">
    <w:pPr>
      <w:pStyle w:val="headerRunni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Spec="top"/>
      <w:tblOverlap w:val="never"/>
      <w:tblW w:w="11907" w:type="dxa"/>
      <w:shd w:val="clear" w:color="auto" w:fill="1C355E" w:themeFill="accent1"/>
      <w:tblLayout w:type="fixed"/>
      <w:tblCellMar>
        <w:left w:w="0" w:type="dxa"/>
        <w:right w:w="0" w:type="dxa"/>
      </w:tblCellMar>
      <w:tblLook w:val="01E0" w:firstRow="1" w:lastRow="1" w:firstColumn="1" w:lastColumn="1" w:noHBand="0" w:noVBand="0"/>
    </w:tblPr>
    <w:tblGrid>
      <w:gridCol w:w="397"/>
      <w:gridCol w:w="5103"/>
      <w:gridCol w:w="5273"/>
      <w:gridCol w:w="1134"/>
    </w:tblGrid>
    <w:tr w:rsidR="00A277D7" w:rsidRPr="00D676D8" w14:paraId="49B3EF05" w14:textId="77777777" w:rsidTr="00955241">
      <w:trPr>
        <w:cantSplit/>
        <w:trHeight w:hRule="exact" w:val="1710"/>
      </w:trPr>
      <w:tc>
        <w:tcPr>
          <w:tcW w:w="397" w:type="dxa"/>
          <w:shd w:val="clear" w:color="auto" w:fill="1C355E" w:themeFill="accent1"/>
          <w:vAlign w:val="center"/>
        </w:tcPr>
        <w:p w14:paraId="4DE87FA7" w14:textId="77777777" w:rsidR="00A277D7" w:rsidRPr="00D676D8" w:rsidRDefault="00A277D7" w:rsidP="007511E4">
          <w:pPr>
            <w:pStyle w:val="headerCover"/>
          </w:pPr>
        </w:p>
      </w:tc>
      <w:tc>
        <w:tcPr>
          <w:tcW w:w="5103" w:type="dxa"/>
          <w:shd w:val="clear" w:color="auto" w:fill="1C355E" w:themeFill="accent1"/>
          <w:tcMar>
            <w:left w:w="170" w:type="dxa"/>
          </w:tcMar>
          <w:vAlign w:val="center"/>
        </w:tcPr>
        <w:p w14:paraId="6B7615F0" w14:textId="77777777" w:rsidR="00A277D7" w:rsidRPr="00D676D8" w:rsidRDefault="00F33F46" w:rsidP="00273248">
          <w:pPr>
            <w:pStyle w:val="HeaderLogo"/>
            <w:rPr>
              <w:noProof w:val="0"/>
            </w:rPr>
          </w:pPr>
          <w:r w:rsidRPr="00D676D8">
            <w:drawing>
              <wp:inline distT="0" distB="0" distL="0" distR="0" wp14:anchorId="1D5C792F" wp14:editId="7FA1C767">
                <wp:extent cx="2916000" cy="560937"/>
                <wp:effectExtent l="0" t="0" r="0" b="0"/>
                <wp:docPr id="6384311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31195" name="Graphic 1"/>
                        <pic:cNvPicPr/>
                      </pic:nvPicPr>
                      <pic:blipFill>
                        <a:blip r:embed="rId1">
                          <a:extLst>
                            <a:ext uri="{96DAC541-7B7A-43D3-8B79-37D633B846F1}">
                              <asvg:svgBlip xmlns:asvg="http://schemas.microsoft.com/office/drawing/2016/SVG/main" r:embed="rId2"/>
                            </a:ext>
                          </a:extLst>
                        </a:blip>
                        <a:stretch>
                          <a:fillRect/>
                        </a:stretch>
                      </pic:blipFill>
                      <pic:spPr>
                        <a:xfrm>
                          <a:off x="0" y="0"/>
                          <a:ext cx="2916000" cy="560937"/>
                        </a:xfrm>
                        <a:prstGeom prst="rect">
                          <a:avLst/>
                        </a:prstGeom>
                      </pic:spPr>
                    </pic:pic>
                  </a:graphicData>
                </a:graphic>
              </wp:inline>
            </w:drawing>
          </w:r>
        </w:p>
      </w:tc>
      <w:tc>
        <w:tcPr>
          <w:tcW w:w="5273" w:type="dxa"/>
          <w:shd w:val="clear" w:color="auto" w:fill="1C355E" w:themeFill="accent1"/>
          <w:vAlign w:val="center"/>
        </w:tcPr>
        <w:p w14:paraId="2C348416" w14:textId="47AA42E7" w:rsidR="00A277D7" w:rsidRPr="00D676D8" w:rsidRDefault="009D7119" w:rsidP="007511E4">
          <w:pPr>
            <w:pStyle w:val="headerCover"/>
            <w:rPr>
              <w:color w:val="FFFFFF" w:themeColor="background1"/>
            </w:rPr>
          </w:pPr>
          <w:r w:rsidRPr="00D676D8">
            <w:rPr>
              <w:color w:val="FFFFFF" w:themeColor="background1"/>
            </w:rPr>
            <w:fldChar w:fldCharType="begin"/>
          </w:r>
          <w:r w:rsidRPr="00D676D8">
            <w:rPr>
              <w:color w:val="FFFFFF" w:themeColor="background1"/>
            </w:rPr>
            <w:instrText xml:space="preserve"> DOCVARIABLE  UserSector </w:instrText>
          </w:r>
          <w:r w:rsidRPr="00D676D8">
            <w:rPr>
              <w:color w:val="FFFFFF" w:themeColor="background1"/>
            </w:rPr>
            <w:fldChar w:fldCharType="separate"/>
          </w:r>
          <w:r w:rsidR="00B76039">
            <w:rPr>
              <w:color w:val="FFFFFF" w:themeColor="background1"/>
            </w:rPr>
            <w:t>Beverages</w:t>
          </w:r>
          <w:r w:rsidRPr="00D676D8">
            <w:rPr>
              <w:color w:val="FFFFFF" w:themeColor="background1"/>
            </w:rPr>
            <w:fldChar w:fldCharType="end"/>
          </w:r>
        </w:p>
      </w:tc>
      <w:tc>
        <w:tcPr>
          <w:tcW w:w="1134" w:type="dxa"/>
          <w:shd w:val="clear" w:color="auto" w:fill="1C355E" w:themeFill="accent1"/>
          <w:vAlign w:val="center"/>
        </w:tcPr>
        <w:p w14:paraId="75BC090B" w14:textId="77777777" w:rsidR="00A277D7" w:rsidRPr="00D676D8" w:rsidRDefault="00A277D7">
          <w:pPr>
            <w:pStyle w:val="Header"/>
            <w:jc w:val="center"/>
            <w:rPr>
              <w:color w:val="FFFFFF"/>
            </w:rPr>
          </w:pPr>
        </w:p>
      </w:tc>
    </w:tr>
  </w:tbl>
  <w:p w14:paraId="16E56EC2" w14:textId="77777777" w:rsidR="00A277D7" w:rsidRPr="00D676D8" w:rsidRDefault="00A277D7" w:rsidP="00425958">
    <w:pPr>
      <w:pStyle w:val="1p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AA2D41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D894378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4B6A7F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C34E16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8805B1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D98CD4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3AAB36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E1849D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FFC2CF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6D4EAA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C1B4ED2"/>
    <w:multiLevelType w:val="multilevel"/>
    <w:tmpl w:val="4230A288"/>
    <w:numStyleLink w:val="ListBullet0"/>
  </w:abstractNum>
  <w:abstractNum w:abstractNumId="11" w15:restartNumberingAfterBreak="0">
    <w:nsid w:val="44703141"/>
    <w:multiLevelType w:val="multilevel"/>
    <w:tmpl w:val="F70C33B2"/>
    <w:styleLink w:val="ListRP"/>
    <w:lvl w:ilvl="0">
      <w:start w:val="1"/>
      <w:numFmt w:val="decimal"/>
      <w:pStyle w:val="BulletNumbered"/>
      <w:lvlText w:val="%1"/>
      <w:lvlJc w:val="left"/>
      <w:pPr>
        <w:tabs>
          <w:tab w:val="num" w:pos="284"/>
        </w:tabs>
        <w:ind w:left="284" w:hanging="284"/>
      </w:pPr>
      <w:rPr>
        <w:rFonts w:asciiTheme="minorHAnsi" w:hAnsiTheme="minorHAnsi" w:hint="default"/>
        <w:sz w:val="22"/>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tabs>
          <w:tab w:val="num" w:pos="851"/>
        </w:tabs>
        <w:ind w:left="851" w:hanging="284"/>
      </w:pPr>
      <w:rPr>
        <w:rFonts w:hint="default"/>
      </w:rPr>
    </w:lvl>
    <w:lvl w:ilvl="3">
      <w:start w:val="1"/>
      <w:numFmt w:val="decimal"/>
      <w:lvlText w:val="(%4)"/>
      <w:lvlJc w:val="left"/>
      <w:pPr>
        <w:tabs>
          <w:tab w:val="num" w:pos="1134"/>
        </w:tabs>
        <w:ind w:left="1134" w:hanging="283"/>
      </w:pPr>
      <w:rPr>
        <w:rFonts w:hint="default"/>
      </w:rPr>
    </w:lvl>
    <w:lvl w:ilvl="4">
      <w:start w:val="1"/>
      <w:numFmt w:val="lowerLetter"/>
      <w:lvlText w:val="(%5)"/>
      <w:lvlJc w:val="left"/>
      <w:pPr>
        <w:tabs>
          <w:tab w:val="num" w:pos="1418"/>
        </w:tabs>
        <w:ind w:left="1418" w:hanging="284"/>
      </w:pPr>
      <w:rPr>
        <w:rFonts w:hint="default"/>
      </w:rPr>
    </w:lvl>
    <w:lvl w:ilvl="5">
      <w:start w:val="1"/>
      <w:numFmt w:val="lowerRoman"/>
      <w:lvlText w:val="(%6)"/>
      <w:lvlJc w:val="left"/>
      <w:pPr>
        <w:tabs>
          <w:tab w:val="num" w:pos="1701"/>
        </w:tabs>
        <w:ind w:left="1701" w:hanging="283"/>
      </w:pPr>
      <w:rPr>
        <w:rFonts w:hint="default"/>
      </w:rPr>
    </w:lvl>
    <w:lvl w:ilvl="6">
      <w:start w:val="1"/>
      <w:numFmt w:val="decimal"/>
      <w:lvlText w:val="%7."/>
      <w:lvlJc w:val="left"/>
      <w:pPr>
        <w:tabs>
          <w:tab w:val="num" w:pos="1985"/>
        </w:tabs>
        <w:ind w:left="1985" w:hanging="284"/>
      </w:pPr>
      <w:rPr>
        <w:rFonts w:hint="default"/>
      </w:rPr>
    </w:lvl>
    <w:lvl w:ilvl="7">
      <w:start w:val="1"/>
      <w:numFmt w:val="lowerLetter"/>
      <w:lvlText w:val="%8."/>
      <w:lvlJc w:val="left"/>
      <w:pPr>
        <w:tabs>
          <w:tab w:val="num" w:pos="2268"/>
        </w:tabs>
        <w:ind w:left="2268" w:hanging="283"/>
      </w:pPr>
      <w:rPr>
        <w:rFonts w:hint="default"/>
      </w:rPr>
    </w:lvl>
    <w:lvl w:ilvl="8">
      <w:start w:val="1"/>
      <w:numFmt w:val="lowerRoman"/>
      <w:lvlText w:val="%9."/>
      <w:lvlJc w:val="left"/>
      <w:pPr>
        <w:tabs>
          <w:tab w:val="num" w:pos="2552"/>
        </w:tabs>
        <w:ind w:left="2552" w:hanging="284"/>
      </w:pPr>
      <w:rPr>
        <w:rFonts w:hint="default"/>
      </w:rPr>
    </w:lvl>
  </w:abstractNum>
  <w:abstractNum w:abstractNumId="12" w15:restartNumberingAfterBreak="0">
    <w:nsid w:val="47931B47"/>
    <w:multiLevelType w:val="multilevel"/>
    <w:tmpl w:val="4230A288"/>
    <w:styleLink w:val="ListBullet0"/>
    <w:lvl w:ilvl="0">
      <w:start w:val="1"/>
      <w:numFmt w:val="bullet"/>
      <w:pStyle w:val="Bullet"/>
      <w:lvlText w:val=""/>
      <w:lvlJc w:val="left"/>
      <w:pPr>
        <w:tabs>
          <w:tab w:val="num" w:pos="284"/>
        </w:tabs>
        <w:ind w:left="284" w:hanging="284"/>
      </w:pPr>
      <w:rPr>
        <w:rFonts w:ascii="Wingdings" w:hAnsi="Wingdings" w:hint="default"/>
        <w:color w:val="auto"/>
        <w:sz w:val="22"/>
      </w:rPr>
    </w:lvl>
    <w:lvl w:ilvl="1">
      <w:start w:val="1"/>
      <w:numFmt w:val="bullet"/>
      <w:pStyle w:val="Bullet2"/>
      <w:lvlText w:val=""/>
      <w:lvlJc w:val="left"/>
      <w:pPr>
        <w:tabs>
          <w:tab w:val="num" w:pos="568"/>
        </w:tabs>
        <w:ind w:left="568" w:hanging="284"/>
      </w:pPr>
      <w:rPr>
        <w:rFonts w:ascii="Symbol" w:hAnsi="Symbol" w:hint="default"/>
      </w:rPr>
    </w:lvl>
    <w:lvl w:ilvl="2">
      <w:start w:val="1"/>
      <w:numFmt w:val="bullet"/>
      <w:lvlText w:val=""/>
      <w:lvlJc w:val="left"/>
      <w:pPr>
        <w:tabs>
          <w:tab w:val="num" w:pos="852"/>
        </w:tabs>
        <w:ind w:left="852" w:hanging="284"/>
      </w:pPr>
      <w:rPr>
        <w:rFonts w:ascii="Symbol" w:hAnsi="Symbol" w:hint="default"/>
      </w:rPr>
    </w:lvl>
    <w:lvl w:ilvl="3">
      <w:start w:val="1"/>
      <w:numFmt w:val="bullet"/>
      <w:lvlText w:val=""/>
      <w:lvlJc w:val="left"/>
      <w:pPr>
        <w:tabs>
          <w:tab w:val="num" w:pos="1136"/>
        </w:tabs>
        <w:ind w:left="1136" w:hanging="284"/>
      </w:pPr>
      <w:rPr>
        <w:rFonts w:ascii="Symbol" w:hAnsi="Symbol" w:hint="default"/>
      </w:rPr>
    </w:lvl>
    <w:lvl w:ilvl="4">
      <w:start w:val="1"/>
      <w:numFmt w:val="bullet"/>
      <w:lvlText w:val=""/>
      <w:lvlJc w:val="left"/>
      <w:pPr>
        <w:tabs>
          <w:tab w:val="num" w:pos="1420"/>
        </w:tabs>
        <w:ind w:left="1420" w:hanging="284"/>
      </w:pPr>
      <w:rPr>
        <w:rFonts w:ascii="Symbol" w:hAnsi="Symbol" w:hint="default"/>
      </w:rPr>
    </w:lvl>
    <w:lvl w:ilvl="5">
      <w:start w:val="1"/>
      <w:numFmt w:val="bullet"/>
      <w:lvlText w:val=""/>
      <w:lvlJc w:val="left"/>
      <w:pPr>
        <w:tabs>
          <w:tab w:val="num" w:pos="1701"/>
        </w:tabs>
        <w:ind w:left="1701" w:hanging="281"/>
      </w:pPr>
      <w:rPr>
        <w:rFonts w:ascii="Symbol" w:hAnsi="Symbol" w:hint="default"/>
      </w:rPr>
    </w:lvl>
    <w:lvl w:ilvl="6">
      <w:start w:val="1"/>
      <w:numFmt w:val="bullet"/>
      <w:lvlText w:val=""/>
      <w:lvlJc w:val="left"/>
      <w:pPr>
        <w:tabs>
          <w:tab w:val="num" w:pos="1985"/>
        </w:tabs>
        <w:ind w:left="1985" w:hanging="284"/>
      </w:pPr>
      <w:rPr>
        <w:rFonts w:ascii="Symbol" w:hAnsi="Symbol" w:hint="default"/>
      </w:rPr>
    </w:lvl>
    <w:lvl w:ilvl="7">
      <w:start w:val="1"/>
      <w:numFmt w:val="bullet"/>
      <w:lvlText w:val=""/>
      <w:lvlJc w:val="left"/>
      <w:pPr>
        <w:tabs>
          <w:tab w:val="num" w:pos="2268"/>
        </w:tabs>
        <w:ind w:left="2268" w:hanging="283"/>
      </w:pPr>
      <w:rPr>
        <w:rFonts w:ascii="Symbol" w:hAnsi="Symbol" w:hint="default"/>
      </w:rPr>
    </w:lvl>
    <w:lvl w:ilvl="8">
      <w:start w:val="1"/>
      <w:numFmt w:val="bullet"/>
      <w:lvlText w:val=""/>
      <w:lvlJc w:val="left"/>
      <w:pPr>
        <w:tabs>
          <w:tab w:val="num" w:pos="2552"/>
        </w:tabs>
        <w:ind w:left="2552" w:hanging="284"/>
      </w:pPr>
      <w:rPr>
        <w:rFonts w:ascii="Symbol" w:hAnsi="Symbol" w:hint="default"/>
      </w:rPr>
    </w:lvl>
  </w:abstractNum>
  <w:abstractNum w:abstractNumId="13" w15:restartNumberingAfterBreak="0">
    <w:nsid w:val="5DC76643"/>
    <w:multiLevelType w:val="multilevel"/>
    <w:tmpl w:val="D570D104"/>
    <w:name w:val="_Bullet"/>
    <w:lvl w:ilvl="0">
      <w:start w:val="1"/>
      <w:numFmt w:val="bullet"/>
      <w:lvlText w:val=""/>
      <w:lvlJc w:val="left"/>
      <w:pPr>
        <w:tabs>
          <w:tab w:val="num" w:pos="284"/>
        </w:tabs>
        <w:ind w:left="284" w:hanging="284"/>
      </w:pPr>
      <w:rPr>
        <w:rFonts w:ascii="Symbol" w:hAnsi="Symbol" w:hint="default"/>
        <w:sz w:val="20"/>
      </w:rPr>
    </w:lvl>
    <w:lvl w:ilvl="1">
      <w:start w:val="1"/>
      <w:numFmt w:val="bullet"/>
      <w:lvlText w:val=""/>
      <w:lvlJc w:val="left"/>
      <w:pPr>
        <w:tabs>
          <w:tab w:val="num" w:pos="567"/>
        </w:tabs>
        <w:ind w:left="567" w:hanging="283"/>
      </w:pPr>
      <w:rPr>
        <w:rFonts w:ascii="Symbol" w:hAnsi="Symbol" w:hint="default"/>
        <w:sz w:val="20"/>
      </w:rPr>
    </w:lvl>
    <w:lvl w:ilvl="2">
      <w:start w:val="1"/>
      <w:numFmt w:val="bullet"/>
      <w:lvlText w:val=""/>
      <w:lvlJc w:val="left"/>
      <w:pPr>
        <w:tabs>
          <w:tab w:val="num" w:pos="851"/>
        </w:tabs>
        <w:ind w:left="851" w:hanging="284"/>
      </w:pPr>
      <w:rPr>
        <w:rFonts w:ascii="Wingdings" w:hAnsi="Wingdings" w:hint="default"/>
      </w:rPr>
    </w:lvl>
    <w:lvl w:ilvl="3">
      <w:start w:val="1"/>
      <w:numFmt w:val="bullet"/>
      <w:lvlText w:val=""/>
      <w:lvlJc w:val="left"/>
      <w:pPr>
        <w:tabs>
          <w:tab w:val="num" w:pos="1134"/>
        </w:tabs>
        <w:ind w:left="1134" w:hanging="283"/>
      </w:pPr>
      <w:rPr>
        <w:rFonts w:ascii="Symbol" w:hAnsi="Symbol" w:hint="default"/>
      </w:rPr>
    </w:lvl>
    <w:lvl w:ilvl="4">
      <w:start w:val="1"/>
      <w:numFmt w:val="bullet"/>
      <w:lvlText w:val="o"/>
      <w:lvlJc w:val="left"/>
      <w:pPr>
        <w:tabs>
          <w:tab w:val="num" w:pos="1418"/>
        </w:tabs>
        <w:ind w:left="1418" w:hanging="284"/>
      </w:pPr>
      <w:rPr>
        <w:rFonts w:ascii="Courier New" w:hAnsi="Courier New" w:hint="default"/>
      </w:rPr>
    </w:lvl>
    <w:lvl w:ilvl="5">
      <w:start w:val="1"/>
      <w:numFmt w:val="bullet"/>
      <w:lvlText w:val=""/>
      <w:lvlJc w:val="left"/>
      <w:pPr>
        <w:tabs>
          <w:tab w:val="num" w:pos="1701"/>
        </w:tabs>
        <w:ind w:left="1701" w:hanging="283"/>
      </w:pPr>
      <w:rPr>
        <w:rFonts w:ascii="Wingdings" w:hAnsi="Wingdings" w:hint="default"/>
      </w:rPr>
    </w:lvl>
    <w:lvl w:ilvl="6">
      <w:start w:val="1"/>
      <w:numFmt w:val="bullet"/>
      <w:lvlText w:val=""/>
      <w:lvlJc w:val="left"/>
      <w:pPr>
        <w:tabs>
          <w:tab w:val="num" w:pos="1985"/>
        </w:tabs>
        <w:ind w:left="1985" w:hanging="284"/>
      </w:pPr>
      <w:rPr>
        <w:rFonts w:ascii="Symbol" w:hAnsi="Symbol" w:hint="default"/>
      </w:rPr>
    </w:lvl>
    <w:lvl w:ilvl="7">
      <w:start w:val="1"/>
      <w:numFmt w:val="bullet"/>
      <w:lvlText w:val="o"/>
      <w:lvlJc w:val="left"/>
      <w:pPr>
        <w:tabs>
          <w:tab w:val="num" w:pos="2268"/>
        </w:tabs>
        <w:ind w:left="2268" w:hanging="283"/>
      </w:pPr>
      <w:rPr>
        <w:rFonts w:ascii="Courier New" w:hAnsi="Courier New" w:hint="default"/>
      </w:rPr>
    </w:lvl>
    <w:lvl w:ilvl="8">
      <w:start w:val="1"/>
      <w:numFmt w:val="bullet"/>
      <w:lvlText w:val=""/>
      <w:lvlJc w:val="left"/>
      <w:pPr>
        <w:tabs>
          <w:tab w:val="num" w:pos="2552"/>
        </w:tabs>
        <w:ind w:left="2552" w:hanging="284"/>
      </w:pPr>
      <w:rPr>
        <w:rFonts w:ascii="Wingdings" w:hAnsi="Wingdings" w:hint="default"/>
      </w:rPr>
    </w:lvl>
  </w:abstractNum>
  <w:abstractNum w:abstractNumId="14" w15:restartNumberingAfterBreak="0">
    <w:nsid w:val="75CE22A2"/>
    <w:multiLevelType w:val="hybridMultilevel"/>
    <w:tmpl w:val="E29AEAFC"/>
    <w:lvl w:ilvl="0" w:tplc="F0D84248">
      <w:start w:val="1"/>
      <w:numFmt w:val="decimalZero"/>
      <w:pStyle w:val="TOC1"/>
      <w:lvlText w:val="%1/"/>
      <w:lvlJc w:val="left"/>
      <w:pPr>
        <w:ind w:left="360" w:hanging="360"/>
      </w:pPr>
      <w:rPr>
        <w:rFonts w:ascii="Minion Pro" w:hAnsi="Minion Pro" w:hint="default"/>
        <w:b/>
        <w:i w:val="0"/>
        <w:sz w:val="22"/>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5" w15:restartNumberingAfterBreak="0">
    <w:nsid w:val="773C7F11"/>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320"/>
        </w:tabs>
        <w:ind w:left="4320" w:hanging="1440"/>
      </w:pPr>
    </w:lvl>
  </w:abstractNum>
  <w:abstractNum w:abstractNumId="16" w15:restartNumberingAfterBreak="0">
    <w:nsid w:val="77F306AF"/>
    <w:multiLevelType w:val="multilevel"/>
    <w:tmpl w:val="08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7EBB1A55"/>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147284062">
    <w:abstractNumId w:val="11"/>
  </w:num>
  <w:num w:numId="2" w16cid:durableId="989140359">
    <w:abstractNumId w:val="12"/>
  </w:num>
  <w:num w:numId="3" w16cid:durableId="1640501461">
    <w:abstractNumId w:val="15"/>
  </w:num>
  <w:num w:numId="4" w16cid:durableId="644625910">
    <w:abstractNumId w:val="17"/>
  </w:num>
  <w:num w:numId="5" w16cid:durableId="1786193134">
    <w:abstractNumId w:val="16"/>
  </w:num>
  <w:num w:numId="6" w16cid:durableId="461189088">
    <w:abstractNumId w:val="10"/>
  </w:num>
  <w:num w:numId="7" w16cid:durableId="1715083268">
    <w:abstractNumId w:val="11"/>
  </w:num>
  <w:num w:numId="8" w16cid:durableId="533545764">
    <w:abstractNumId w:val="9"/>
  </w:num>
  <w:num w:numId="9" w16cid:durableId="864097302">
    <w:abstractNumId w:val="7"/>
  </w:num>
  <w:num w:numId="10" w16cid:durableId="221448336">
    <w:abstractNumId w:val="6"/>
  </w:num>
  <w:num w:numId="11" w16cid:durableId="1893300420">
    <w:abstractNumId w:val="5"/>
  </w:num>
  <w:num w:numId="12" w16cid:durableId="1192455915">
    <w:abstractNumId w:val="4"/>
  </w:num>
  <w:num w:numId="13" w16cid:durableId="613825341">
    <w:abstractNumId w:val="3"/>
  </w:num>
  <w:num w:numId="14" w16cid:durableId="1809584913">
    <w:abstractNumId w:val="2"/>
  </w:num>
  <w:num w:numId="15" w16cid:durableId="1458446864">
    <w:abstractNumId w:val="1"/>
  </w:num>
  <w:num w:numId="16" w16cid:durableId="1050613320">
    <w:abstractNumId w:val="0"/>
  </w:num>
  <w:num w:numId="17" w16cid:durableId="362480546">
    <w:abstractNumId w:val="8"/>
  </w:num>
  <w:num w:numId="18" w16cid:durableId="1430345506">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deas_ChartType" w:val="estimates_mom"/>
    <w:docVar w:name="Ideas_Left_CustomSelected" w:val="True"/>
    <w:docVar w:name="Ideas_Left_CustomSelection" w:val="R0013J11"/>
    <w:docVar w:name="Ideas_Left_Title" w:val="CCEP"/>
    <w:docVar w:name="ideas_RightCustomSelected" w:val="True"/>
    <w:docVar w:name="ideas_RightCustomSelection" w:val="R0013H11;R000D511;R0013J11;R004Z411;R001X911;R005N311;R004H411;R001CD11"/>
    <w:docVar w:name="ideas_RightTitle" w:val="Soft drinks"/>
    <w:docVar w:name="MS_Client" w:val="Rothschild &amp; Co Redburn"/>
    <w:docVar w:name="MS_MediaSterling" w:val="True"/>
    <w:docVar w:name="MS_Password" w:val="1234"/>
    <w:docVar w:name="MS_TemplateType" w:val="13"/>
    <w:docVar w:name="MS_Type" w:val="Blue Top Company"/>
    <w:docVar w:name="MS_Version" w:val="4.1.26"/>
    <w:docVar w:name="SectorOrCompany" w:val="False"/>
    <w:docVar w:name="UserAnalyst1Contact" w:val="+44 20 7000 2177_x000d_Charlie.Higgs@rothschildandco.com"/>
    <w:docVar w:name="UserAnalyst1DisplayAtTop" w:val="True"/>
    <w:docVar w:name="UserAnalyst1Email" w:val="Charlie.Higgs@rothschildandco.com"/>
    <w:docVar w:name="UserAnalyst1ID" w:val="822c04b1-aef0-4d28-a276-360ac3dca8f3"/>
    <w:docVar w:name="UserAnalyst1Mob" w:val=" "/>
    <w:docVar w:name="UserAnalyst1Name" w:val="Charlie Higgs"/>
    <w:docVar w:name="UserAnalyst1ShowMob" w:val="False"/>
    <w:docVar w:name="UserAnalyst1Tel" w:val="+44 20 7000 2177"/>
    <w:docVar w:name="UserCompanyID" w:val="3014dbba-53e2-4302-9358-60cb6198c2df"/>
    <w:docVar w:name="UserCompanyName" w:val="Coca-Cola Europacific Partners"/>
    <w:docVar w:name="UserDate" w:val="21 November 2025"/>
    <w:docVar w:name="UserFPAnalystsDisplay" w:val=" "/>
    <w:docVar w:name="UserMarketCap" w:val="41"/>
    <w:docVar w:name="UserMarketCapDisplay" w:val="USD41bn"/>
    <w:docVar w:name="UserMarketCapPrefix" w:val="USD"/>
    <w:docVar w:name="UserMarketCapUnit" w:val="bn"/>
    <w:docVar w:name="UserPrice" w:val="89"/>
    <w:docVar w:name="UserPriceDisplay" w:val="USD89"/>
    <w:docVar w:name="UserPricePrefix" w:val="USD"/>
    <w:docVar w:name="UserRating" w:val="Buy"/>
    <w:docVar w:name="UserRatingChange" w:val="Maintain"/>
    <w:docVar w:name="UserSector" w:val="Beverages"/>
    <w:docVar w:name="UserSectorID" w:val="06dfb196-948c-4ea4-23b5-08dc95dbcc79"/>
    <w:docVar w:name="UserStockOrSectorName" w:val="Coca-Cola Europacific Partners"/>
    <w:docVar w:name="UserStrapline" w:val="Strapline"/>
    <w:docVar w:name="UserSubSector" w:val="Beverages"/>
    <w:docVar w:name="UserSubSectorID" w:val="331c0e92-8a8f-4914-5084-08dc95dbd0c9"/>
    <w:docVar w:name="UserSubTitle" w:val="Subtitle"/>
    <w:docVar w:name="UserTargetPrice" w:val="102"/>
    <w:docVar w:name="UserTargetPriceDisplay" w:val="USD102"/>
    <w:docVar w:name="UserTargetPricePrefix" w:val="USD"/>
    <w:docVar w:name="UserTicker" w:val="CCEP US"/>
    <w:docVar w:name="UserTitle" w:val="Pop Britain - Site Visit"/>
  </w:docVars>
  <w:rsids>
    <w:rsidRoot w:val="00B515C6"/>
    <w:rsid w:val="0000092D"/>
    <w:rsid w:val="00000A02"/>
    <w:rsid w:val="000011B4"/>
    <w:rsid w:val="00001A57"/>
    <w:rsid w:val="00002CDC"/>
    <w:rsid w:val="000044C1"/>
    <w:rsid w:val="000051B0"/>
    <w:rsid w:val="0000563A"/>
    <w:rsid w:val="00007BEB"/>
    <w:rsid w:val="000101D5"/>
    <w:rsid w:val="0001075E"/>
    <w:rsid w:val="00010AEE"/>
    <w:rsid w:val="00011320"/>
    <w:rsid w:val="000114F0"/>
    <w:rsid w:val="00011758"/>
    <w:rsid w:val="00011ADA"/>
    <w:rsid w:val="00011D93"/>
    <w:rsid w:val="00012628"/>
    <w:rsid w:val="00012E94"/>
    <w:rsid w:val="0001314C"/>
    <w:rsid w:val="00013388"/>
    <w:rsid w:val="00013681"/>
    <w:rsid w:val="00013A19"/>
    <w:rsid w:val="00014306"/>
    <w:rsid w:val="00015204"/>
    <w:rsid w:val="00015395"/>
    <w:rsid w:val="000155D5"/>
    <w:rsid w:val="00015718"/>
    <w:rsid w:val="0001655D"/>
    <w:rsid w:val="00017079"/>
    <w:rsid w:val="00020DB8"/>
    <w:rsid w:val="00021CDB"/>
    <w:rsid w:val="000223F7"/>
    <w:rsid w:val="00022FE9"/>
    <w:rsid w:val="00023E7F"/>
    <w:rsid w:val="00024031"/>
    <w:rsid w:val="00025BB5"/>
    <w:rsid w:val="00026F86"/>
    <w:rsid w:val="00030097"/>
    <w:rsid w:val="000315C0"/>
    <w:rsid w:val="00032021"/>
    <w:rsid w:val="00032549"/>
    <w:rsid w:val="0003257B"/>
    <w:rsid w:val="000339F1"/>
    <w:rsid w:val="00033D77"/>
    <w:rsid w:val="00034036"/>
    <w:rsid w:val="0003495D"/>
    <w:rsid w:val="00034DE1"/>
    <w:rsid w:val="0003696A"/>
    <w:rsid w:val="000369E4"/>
    <w:rsid w:val="0003712D"/>
    <w:rsid w:val="0003746E"/>
    <w:rsid w:val="00040AEA"/>
    <w:rsid w:val="00040E9E"/>
    <w:rsid w:val="00041442"/>
    <w:rsid w:val="00041B81"/>
    <w:rsid w:val="00041D92"/>
    <w:rsid w:val="00042383"/>
    <w:rsid w:val="00042CA8"/>
    <w:rsid w:val="00043828"/>
    <w:rsid w:val="00043A2E"/>
    <w:rsid w:val="000442B5"/>
    <w:rsid w:val="00044497"/>
    <w:rsid w:val="00045096"/>
    <w:rsid w:val="00046300"/>
    <w:rsid w:val="00046640"/>
    <w:rsid w:val="000472E2"/>
    <w:rsid w:val="00047CB9"/>
    <w:rsid w:val="000518D5"/>
    <w:rsid w:val="00051EC5"/>
    <w:rsid w:val="000523F7"/>
    <w:rsid w:val="00053061"/>
    <w:rsid w:val="00053D36"/>
    <w:rsid w:val="00054BA2"/>
    <w:rsid w:val="0005539F"/>
    <w:rsid w:val="00056D82"/>
    <w:rsid w:val="00057D28"/>
    <w:rsid w:val="0006009E"/>
    <w:rsid w:val="00060EAF"/>
    <w:rsid w:val="0006159F"/>
    <w:rsid w:val="00062A53"/>
    <w:rsid w:val="00062E9A"/>
    <w:rsid w:val="0006322E"/>
    <w:rsid w:val="00063F88"/>
    <w:rsid w:val="00064932"/>
    <w:rsid w:val="00064D70"/>
    <w:rsid w:val="00065610"/>
    <w:rsid w:val="0006631F"/>
    <w:rsid w:val="00066B76"/>
    <w:rsid w:val="00070526"/>
    <w:rsid w:val="0007064E"/>
    <w:rsid w:val="00070804"/>
    <w:rsid w:val="000724AC"/>
    <w:rsid w:val="00073C24"/>
    <w:rsid w:val="0007435F"/>
    <w:rsid w:val="00075AA9"/>
    <w:rsid w:val="00075AE1"/>
    <w:rsid w:val="00076358"/>
    <w:rsid w:val="00077A72"/>
    <w:rsid w:val="00077B1F"/>
    <w:rsid w:val="00077D95"/>
    <w:rsid w:val="00080280"/>
    <w:rsid w:val="00080756"/>
    <w:rsid w:val="00080E81"/>
    <w:rsid w:val="00081224"/>
    <w:rsid w:val="00082FF8"/>
    <w:rsid w:val="00083201"/>
    <w:rsid w:val="0008396F"/>
    <w:rsid w:val="0008515E"/>
    <w:rsid w:val="000858D9"/>
    <w:rsid w:val="000865BD"/>
    <w:rsid w:val="00086BEE"/>
    <w:rsid w:val="0009093C"/>
    <w:rsid w:val="00091501"/>
    <w:rsid w:val="00091A6A"/>
    <w:rsid w:val="00091AD6"/>
    <w:rsid w:val="0009244D"/>
    <w:rsid w:val="00092592"/>
    <w:rsid w:val="000925A5"/>
    <w:rsid w:val="000925D6"/>
    <w:rsid w:val="00093888"/>
    <w:rsid w:val="00093D73"/>
    <w:rsid w:val="00093EB5"/>
    <w:rsid w:val="00094677"/>
    <w:rsid w:val="0009566A"/>
    <w:rsid w:val="00095AFC"/>
    <w:rsid w:val="00096C1B"/>
    <w:rsid w:val="000970DD"/>
    <w:rsid w:val="00097F2D"/>
    <w:rsid w:val="000A0274"/>
    <w:rsid w:val="000A1881"/>
    <w:rsid w:val="000A2229"/>
    <w:rsid w:val="000A3622"/>
    <w:rsid w:val="000A414D"/>
    <w:rsid w:val="000A5BE3"/>
    <w:rsid w:val="000A5CF2"/>
    <w:rsid w:val="000A670A"/>
    <w:rsid w:val="000A6841"/>
    <w:rsid w:val="000A6A58"/>
    <w:rsid w:val="000A7128"/>
    <w:rsid w:val="000A7C57"/>
    <w:rsid w:val="000B01A1"/>
    <w:rsid w:val="000B11EA"/>
    <w:rsid w:val="000B1718"/>
    <w:rsid w:val="000B1854"/>
    <w:rsid w:val="000B186F"/>
    <w:rsid w:val="000B1D94"/>
    <w:rsid w:val="000B2606"/>
    <w:rsid w:val="000B2729"/>
    <w:rsid w:val="000B2C0C"/>
    <w:rsid w:val="000B2EC9"/>
    <w:rsid w:val="000B3630"/>
    <w:rsid w:val="000B4274"/>
    <w:rsid w:val="000B4308"/>
    <w:rsid w:val="000B70DC"/>
    <w:rsid w:val="000B7B18"/>
    <w:rsid w:val="000C079F"/>
    <w:rsid w:val="000C0D0D"/>
    <w:rsid w:val="000C1F04"/>
    <w:rsid w:val="000C27E9"/>
    <w:rsid w:val="000C2819"/>
    <w:rsid w:val="000C3177"/>
    <w:rsid w:val="000C3FD3"/>
    <w:rsid w:val="000C46CE"/>
    <w:rsid w:val="000C48F5"/>
    <w:rsid w:val="000C52CC"/>
    <w:rsid w:val="000C5F65"/>
    <w:rsid w:val="000C6AD5"/>
    <w:rsid w:val="000C712E"/>
    <w:rsid w:val="000C7E1F"/>
    <w:rsid w:val="000D013A"/>
    <w:rsid w:val="000D0C76"/>
    <w:rsid w:val="000D1070"/>
    <w:rsid w:val="000D2455"/>
    <w:rsid w:val="000D2A82"/>
    <w:rsid w:val="000D4613"/>
    <w:rsid w:val="000D60A0"/>
    <w:rsid w:val="000D69D7"/>
    <w:rsid w:val="000D7170"/>
    <w:rsid w:val="000D79B5"/>
    <w:rsid w:val="000D7F36"/>
    <w:rsid w:val="000E2F49"/>
    <w:rsid w:val="000E422B"/>
    <w:rsid w:val="000E4681"/>
    <w:rsid w:val="000E532E"/>
    <w:rsid w:val="000E579D"/>
    <w:rsid w:val="000E58D8"/>
    <w:rsid w:val="000E5FAA"/>
    <w:rsid w:val="000E60F4"/>
    <w:rsid w:val="000E65FF"/>
    <w:rsid w:val="000E778D"/>
    <w:rsid w:val="000E7B69"/>
    <w:rsid w:val="000F0079"/>
    <w:rsid w:val="000F1699"/>
    <w:rsid w:val="000F1ACC"/>
    <w:rsid w:val="000F2257"/>
    <w:rsid w:val="000F2BB9"/>
    <w:rsid w:val="000F2D25"/>
    <w:rsid w:val="000F3349"/>
    <w:rsid w:val="000F37BD"/>
    <w:rsid w:val="000F3CC5"/>
    <w:rsid w:val="000F4403"/>
    <w:rsid w:val="000F4C7E"/>
    <w:rsid w:val="000F50D1"/>
    <w:rsid w:val="000F516A"/>
    <w:rsid w:val="000F551C"/>
    <w:rsid w:val="000F57B3"/>
    <w:rsid w:val="001002E3"/>
    <w:rsid w:val="0010147A"/>
    <w:rsid w:val="00104B85"/>
    <w:rsid w:val="00105B7B"/>
    <w:rsid w:val="00105C75"/>
    <w:rsid w:val="00106053"/>
    <w:rsid w:val="00106075"/>
    <w:rsid w:val="001062E2"/>
    <w:rsid w:val="00107F49"/>
    <w:rsid w:val="001115D5"/>
    <w:rsid w:val="00111744"/>
    <w:rsid w:val="00111EB2"/>
    <w:rsid w:val="00112359"/>
    <w:rsid w:val="00112D45"/>
    <w:rsid w:val="00113AF3"/>
    <w:rsid w:val="00113E01"/>
    <w:rsid w:val="00113F74"/>
    <w:rsid w:val="00114B78"/>
    <w:rsid w:val="0011520A"/>
    <w:rsid w:val="00115628"/>
    <w:rsid w:val="00115A3D"/>
    <w:rsid w:val="00115B9C"/>
    <w:rsid w:val="001164E8"/>
    <w:rsid w:val="001165BA"/>
    <w:rsid w:val="00116764"/>
    <w:rsid w:val="00117625"/>
    <w:rsid w:val="00117628"/>
    <w:rsid w:val="00117C65"/>
    <w:rsid w:val="0012176A"/>
    <w:rsid w:val="00121AC9"/>
    <w:rsid w:val="00122C35"/>
    <w:rsid w:val="001239E9"/>
    <w:rsid w:val="00124273"/>
    <w:rsid w:val="001251EE"/>
    <w:rsid w:val="0012728E"/>
    <w:rsid w:val="001303E4"/>
    <w:rsid w:val="0013075C"/>
    <w:rsid w:val="001307FC"/>
    <w:rsid w:val="00131509"/>
    <w:rsid w:val="00131EB9"/>
    <w:rsid w:val="001323AF"/>
    <w:rsid w:val="001330B1"/>
    <w:rsid w:val="00133636"/>
    <w:rsid w:val="0013384C"/>
    <w:rsid w:val="00135F14"/>
    <w:rsid w:val="00136589"/>
    <w:rsid w:val="0013673B"/>
    <w:rsid w:val="00136C1D"/>
    <w:rsid w:val="00137121"/>
    <w:rsid w:val="0014036E"/>
    <w:rsid w:val="0014065C"/>
    <w:rsid w:val="00140D44"/>
    <w:rsid w:val="0014177D"/>
    <w:rsid w:val="00141C74"/>
    <w:rsid w:val="00142118"/>
    <w:rsid w:val="00142CB7"/>
    <w:rsid w:val="00142DE4"/>
    <w:rsid w:val="00144550"/>
    <w:rsid w:val="0014496E"/>
    <w:rsid w:val="00144B71"/>
    <w:rsid w:val="0014508E"/>
    <w:rsid w:val="001465AB"/>
    <w:rsid w:val="0014750F"/>
    <w:rsid w:val="00147D5D"/>
    <w:rsid w:val="001523F5"/>
    <w:rsid w:val="00153234"/>
    <w:rsid w:val="00154E57"/>
    <w:rsid w:val="00155CFB"/>
    <w:rsid w:val="00156819"/>
    <w:rsid w:val="001571D0"/>
    <w:rsid w:val="0015766A"/>
    <w:rsid w:val="00157C1C"/>
    <w:rsid w:val="001605CF"/>
    <w:rsid w:val="00160CE9"/>
    <w:rsid w:val="00161E54"/>
    <w:rsid w:val="00162304"/>
    <w:rsid w:val="001628FB"/>
    <w:rsid w:val="0016418B"/>
    <w:rsid w:val="001646D5"/>
    <w:rsid w:val="0016548E"/>
    <w:rsid w:val="00167100"/>
    <w:rsid w:val="00167231"/>
    <w:rsid w:val="00172D07"/>
    <w:rsid w:val="00173A37"/>
    <w:rsid w:val="00173C35"/>
    <w:rsid w:val="00173FE5"/>
    <w:rsid w:val="00174EA0"/>
    <w:rsid w:val="0017596A"/>
    <w:rsid w:val="00180B32"/>
    <w:rsid w:val="00182FA7"/>
    <w:rsid w:val="00183596"/>
    <w:rsid w:val="00184D1E"/>
    <w:rsid w:val="001853E6"/>
    <w:rsid w:val="00185690"/>
    <w:rsid w:val="0018679E"/>
    <w:rsid w:val="00186B3C"/>
    <w:rsid w:val="00186F82"/>
    <w:rsid w:val="00187352"/>
    <w:rsid w:val="001873DE"/>
    <w:rsid w:val="00187812"/>
    <w:rsid w:val="001878DF"/>
    <w:rsid w:val="00187ABD"/>
    <w:rsid w:val="00187DD4"/>
    <w:rsid w:val="00190E7F"/>
    <w:rsid w:val="00190F21"/>
    <w:rsid w:val="00191692"/>
    <w:rsid w:val="00191A20"/>
    <w:rsid w:val="00192308"/>
    <w:rsid w:val="00192B95"/>
    <w:rsid w:val="001939B1"/>
    <w:rsid w:val="001939CE"/>
    <w:rsid w:val="00193B10"/>
    <w:rsid w:val="00193CB9"/>
    <w:rsid w:val="0019429A"/>
    <w:rsid w:val="00195660"/>
    <w:rsid w:val="00195805"/>
    <w:rsid w:val="00196437"/>
    <w:rsid w:val="00197373"/>
    <w:rsid w:val="001978CA"/>
    <w:rsid w:val="0019794D"/>
    <w:rsid w:val="00197F03"/>
    <w:rsid w:val="001A0466"/>
    <w:rsid w:val="001A077D"/>
    <w:rsid w:val="001A1640"/>
    <w:rsid w:val="001A1DC0"/>
    <w:rsid w:val="001A2D0B"/>
    <w:rsid w:val="001A2F02"/>
    <w:rsid w:val="001A395F"/>
    <w:rsid w:val="001A4507"/>
    <w:rsid w:val="001A5350"/>
    <w:rsid w:val="001A55BA"/>
    <w:rsid w:val="001A63EF"/>
    <w:rsid w:val="001A6453"/>
    <w:rsid w:val="001A79D0"/>
    <w:rsid w:val="001A7D39"/>
    <w:rsid w:val="001B0528"/>
    <w:rsid w:val="001B083E"/>
    <w:rsid w:val="001B1D2D"/>
    <w:rsid w:val="001B25D1"/>
    <w:rsid w:val="001B261A"/>
    <w:rsid w:val="001B2938"/>
    <w:rsid w:val="001B3118"/>
    <w:rsid w:val="001B32ED"/>
    <w:rsid w:val="001B3840"/>
    <w:rsid w:val="001B42EF"/>
    <w:rsid w:val="001B455D"/>
    <w:rsid w:val="001B46DE"/>
    <w:rsid w:val="001B57A6"/>
    <w:rsid w:val="001B61D9"/>
    <w:rsid w:val="001B66F1"/>
    <w:rsid w:val="001B6F76"/>
    <w:rsid w:val="001B705D"/>
    <w:rsid w:val="001B7D21"/>
    <w:rsid w:val="001C24D9"/>
    <w:rsid w:val="001C2AAC"/>
    <w:rsid w:val="001C3CD7"/>
    <w:rsid w:val="001C5295"/>
    <w:rsid w:val="001C5B98"/>
    <w:rsid w:val="001C5DEC"/>
    <w:rsid w:val="001C7AAE"/>
    <w:rsid w:val="001D05B2"/>
    <w:rsid w:val="001D09A9"/>
    <w:rsid w:val="001D130C"/>
    <w:rsid w:val="001D1480"/>
    <w:rsid w:val="001D16BC"/>
    <w:rsid w:val="001D2214"/>
    <w:rsid w:val="001D230D"/>
    <w:rsid w:val="001D3200"/>
    <w:rsid w:val="001D55EB"/>
    <w:rsid w:val="001D6AED"/>
    <w:rsid w:val="001D6DC9"/>
    <w:rsid w:val="001D7508"/>
    <w:rsid w:val="001D7976"/>
    <w:rsid w:val="001E0216"/>
    <w:rsid w:val="001E079C"/>
    <w:rsid w:val="001E0DBF"/>
    <w:rsid w:val="001E0F6F"/>
    <w:rsid w:val="001E2DDF"/>
    <w:rsid w:val="001E34D4"/>
    <w:rsid w:val="001E3C37"/>
    <w:rsid w:val="001E4402"/>
    <w:rsid w:val="001E4E5A"/>
    <w:rsid w:val="001E54FD"/>
    <w:rsid w:val="001E72D4"/>
    <w:rsid w:val="001E7631"/>
    <w:rsid w:val="001E788A"/>
    <w:rsid w:val="001E7C12"/>
    <w:rsid w:val="001E7CFA"/>
    <w:rsid w:val="001F21F5"/>
    <w:rsid w:val="001F3105"/>
    <w:rsid w:val="001F358A"/>
    <w:rsid w:val="001F4D51"/>
    <w:rsid w:val="001F50EF"/>
    <w:rsid w:val="001F559B"/>
    <w:rsid w:val="001F697A"/>
    <w:rsid w:val="00200A65"/>
    <w:rsid w:val="002010AA"/>
    <w:rsid w:val="00201C33"/>
    <w:rsid w:val="0020220E"/>
    <w:rsid w:val="00202DF7"/>
    <w:rsid w:val="00203EA8"/>
    <w:rsid w:val="0020444C"/>
    <w:rsid w:val="00205D35"/>
    <w:rsid w:val="00206272"/>
    <w:rsid w:val="002074C0"/>
    <w:rsid w:val="002115F0"/>
    <w:rsid w:val="00211EFB"/>
    <w:rsid w:val="002126B9"/>
    <w:rsid w:val="002128A3"/>
    <w:rsid w:val="00213655"/>
    <w:rsid w:val="00213F6B"/>
    <w:rsid w:val="00214B35"/>
    <w:rsid w:val="00214D1B"/>
    <w:rsid w:val="00215947"/>
    <w:rsid w:val="00215B48"/>
    <w:rsid w:val="00215F79"/>
    <w:rsid w:val="00216175"/>
    <w:rsid w:val="002167D7"/>
    <w:rsid w:val="002169CC"/>
    <w:rsid w:val="00216B59"/>
    <w:rsid w:val="0021733E"/>
    <w:rsid w:val="002178D7"/>
    <w:rsid w:val="00217ACA"/>
    <w:rsid w:val="0022132E"/>
    <w:rsid w:val="00221525"/>
    <w:rsid w:val="002216E5"/>
    <w:rsid w:val="00221FBD"/>
    <w:rsid w:val="002226BB"/>
    <w:rsid w:val="00222889"/>
    <w:rsid w:val="00222AF6"/>
    <w:rsid w:val="002231CE"/>
    <w:rsid w:val="002232C1"/>
    <w:rsid w:val="0022420E"/>
    <w:rsid w:val="00224603"/>
    <w:rsid w:val="00224AFF"/>
    <w:rsid w:val="002257F0"/>
    <w:rsid w:val="00225B7B"/>
    <w:rsid w:val="00225BF5"/>
    <w:rsid w:val="0022659D"/>
    <w:rsid w:val="002265B0"/>
    <w:rsid w:val="00226A89"/>
    <w:rsid w:val="00226D26"/>
    <w:rsid w:val="00227E6C"/>
    <w:rsid w:val="00230F72"/>
    <w:rsid w:val="00231557"/>
    <w:rsid w:val="00231E17"/>
    <w:rsid w:val="0023204E"/>
    <w:rsid w:val="00232B03"/>
    <w:rsid w:val="00233881"/>
    <w:rsid w:val="00233F2B"/>
    <w:rsid w:val="00234655"/>
    <w:rsid w:val="00234907"/>
    <w:rsid w:val="00234EF5"/>
    <w:rsid w:val="0023520A"/>
    <w:rsid w:val="0023575D"/>
    <w:rsid w:val="00235E2D"/>
    <w:rsid w:val="0023623E"/>
    <w:rsid w:val="00236970"/>
    <w:rsid w:val="00236E12"/>
    <w:rsid w:val="00236F46"/>
    <w:rsid w:val="002377F6"/>
    <w:rsid w:val="002414EC"/>
    <w:rsid w:val="002415B0"/>
    <w:rsid w:val="00241806"/>
    <w:rsid w:val="00241DCD"/>
    <w:rsid w:val="00241F9B"/>
    <w:rsid w:val="00244D25"/>
    <w:rsid w:val="00245D0E"/>
    <w:rsid w:val="00246886"/>
    <w:rsid w:val="00247194"/>
    <w:rsid w:val="00247B9D"/>
    <w:rsid w:val="002506C2"/>
    <w:rsid w:val="0025076D"/>
    <w:rsid w:val="00251121"/>
    <w:rsid w:val="0025126D"/>
    <w:rsid w:val="00251279"/>
    <w:rsid w:val="00251C0C"/>
    <w:rsid w:val="00251F93"/>
    <w:rsid w:val="0025216F"/>
    <w:rsid w:val="00252BBF"/>
    <w:rsid w:val="00252D66"/>
    <w:rsid w:val="002532DA"/>
    <w:rsid w:val="00253E9A"/>
    <w:rsid w:val="002542C0"/>
    <w:rsid w:val="00254B82"/>
    <w:rsid w:val="00254FE6"/>
    <w:rsid w:val="002561F0"/>
    <w:rsid w:val="00256279"/>
    <w:rsid w:val="0025647B"/>
    <w:rsid w:val="0025696A"/>
    <w:rsid w:val="00257472"/>
    <w:rsid w:val="00257F1B"/>
    <w:rsid w:val="002614F8"/>
    <w:rsid w:val="00261C63"/>
    <w:rsid w:val="0026246A"/>
    <w:rsid w:val="00262DDD"/>
    <w:rsid w:val="00262F1A"/>
    <w:rsid w:val="002636A3"/>
    <w:rsid w:val="002644D4"/>
    <w:rsid w:val="00264F67"/>
    <w:rsid w:val="00265502"/>
    <w:rsid w:val="00266B7A"/>
    <w:rsid w:val="00266CD2"/>
    <w:rsid w:val="00271B52"/>
    <w:rsid w:val="002722F7"/>
    <w:rsid w:val="00272881"/>
    <w:rsid w:val="00272CFE"/>
    <w:rsid w:val="00273248"/>
    <w:rsid w:val="002736E3"/>
    <w:rsid w:val="00274D54"/>
    <w:rsid w:val="00275021"/>
    <w:rsid w:val="00275461"/>
    <w:rsid w:val="00275AD1"/>
    <w:rsid w:val="0027645E"/>
    <w:rsid w:val="0027650C"/>
    <w:rsid w:val="00276737"/>
    <w:rsid w:val="00276F6A"/>
    <w:rsid w:val="00277BB2"/>
    <w:rsid w:val="00277F79"/>
    <w:rsid w:val="0028025D"/>
    <w:rsid w:val="002805EB"/>
    <w:rsid w:val="00280BF3"/>
    <w:rsid w:val="00281111"/>
    <w:rsid w:val="002813C2"/>
    <w:rsid w:val="00282A9B"/>
    <w:rsid w:val="0028306C"/>
    <w:rsid w:val="002838C9"/>
    <w:rsid w:val="00283DD1"/>
    <w:rsid w:val="00283EA7"/>
    <w:rsid w:val="00284B78"/>
    <w:rsid w:val="0028672B"/>
    <w:rsid w:val="00286ABF"/>
    <w:rsid w:val="0028765C"/>
    <w:rsid w:val="00287744"/>
    <w:rsid w:val="00290BC5"/>
    <w:rsid w:val="00291BC4"/>
    <w:rsid w:val="00291CCA"/>
    <w:rsid w:val="00293001"/>
    <w:rsid w:val="002932F7"/>
    <w:rsid w:val="002935E3"/>
    <w:rsid w:val="002937CE"/>
    <w:rsid w:val="002942D5"/>
    <w:rsid w:val="0029453C"/>
    <w:rsid w:val="00294FAA"/>
    <w:rsid w:val="0029513F"/>
    <w:rsid w:val="00295B27"/>
    <w:rsid w:val="002963D6"/>
    <w:rsid w:val="002967DE"/>
    <w:rsid w:val="0029715A"/>
    <w:rsid w:val="002977D7"/>
    <w:rsid w:val="00297A03"/>
    <w:rsid w:val="00297A91"/>
    <w:rsid w:val="002A00DB"/>
    <w:rsid w:val="002A0568"/>
    <w:rsid w:val="002A18AC"/>
    <w:rsid w:val="002A1D9E"/>
    <w:rsid w:val="002A2E80"/>
    <w:rsid w:val="002A429F"/>
    <w:rsid w:val="002A5561"/>
    <w:rsid w:val="002A558A"/>
    <w:rsid w:val="002A7D86"/>
    <w:rsid w:val="002B0C70"/>
    <w:rsid w:val="002B4AB3"/>
    <w:rsid w:val="002B532F"/>
    <w:rsid w:val="002B5CFE"/>
    <w:rsid w:val="002B67BD"/>
    <w:rsid w:val="002B7791"/>
    <w:rsid w:val="002B7C61"/>
    <w:rsid w:val="002C0336"/>
    <w:rsid w:val="002C0820"/>
    <w:rsid w:val="002C0CEF"/>
    <w:rsid w:val="002C11AE"/>
    <w:rsid w:val="002C155F"/>
    <w:rsid w:val="002C1E94"/>
    <w:rsid w:val="002C1EDD"/>
    <w:rsid w:val="002C1F2A"/>
    <w:rsid w:val="002C2327"/>
    <w:rsid w:val="002C29E2"/>
    <w:rsid w:val="002C2D36"/>
    <w:rsid w:val="002C2DF7"/>
    <w:rsid w:val="002C4056"/>
    <w:rsid w:val="002C50F9"/>
    <w:rsid w:val="002C7177"/>
    <w:rsid w:val="002C7F74"/>
    <w:rsid w:val="002D0822"/>
    <w:rsid w:val="002D19D2"/>
    <w:rsid w:val="002D1FDB"/>
    <w:rsid w:val="002D226B"/>
    <w:rsid w:val="002D24DD"/>
    <w:rsid w:val="002D316B"/>
    <w:rsid w:val="002D3FEF"/>
    <w:rsid w:val="002D408A"/>
    <w:rsid w:val="002D40C9"/>
    <w:rsid w:val="002D531B"/>
    <w:rsid w:val="002D55EC"/>
    <w:rsid w:val="002D646A"/>
    <w:rsid w:val="002D6902"/>
    <w:rsid w:val="002D6FE2"/>
    <w:rsid w:val="002D7C56"/>
    <w:rsid w:val="002D7D03"/>
    <w:rsid w:val="002E0259"/>
    <w:rsid w:val="002E0464"/>
    <w:rsid w:val="002E05CC"/>
    <w:rsid w:val="002E06CF"/>
    <w:rsid w:val="002E088D"/>
    <w:rsid w:val="002E1752"/>
    <w:rsid w:val="002E18E9"/>
    <w:rsid w:val="002E1D99"/>
    <w:rsid w:val="002E26D6"/>
    <w:rsid w:val="002E2FE6"/>
    <w:rsid w:val="002E3B96"/>
    <w:rsid w:val="002E4D14"/>
    <w:rsid w:val="002E544D"/>
    <w:rsid w:val="002E5542"/>
    <w:rsid w:val="002E5D3A"/>
    <w:rsid w:val="002E651D"/>
    <w:rsid w:val="002E6CFE"/>
    <w:rsid w:val="002E7194"/>
    <w:rsid w:val="002F063C"/>
    <w:rsid w:val="002F28D5"/>
    <w:rsid w:val="002F338C"/>
    <w:rsid w:val="002F34FA"/>
    <w:rsid w:val="002F36B8"/>
    <w:rsid w:val="002F396E"/>
    <w:rsid w:val="002F405F"/>
    <w:rsid w:val="002F47AE"/>
    <w:rsid w:val="002F495A"/>
    <w:rsid w:val="002F5414"/>
    <w:rsid w:val="002F57FA"/>
    <w:rsid w:val="002F6198"/>
    <w:rsid w:val="002F6252"/>
    <w:rsid w:val="002F6DCE"/>
    <w:rsid w:val="002F775E"/>
    <w:rsid w:val="002F780C"/>
    <w:rsid w:val="002F7E39"/>
    <w:rsid w:val="00300A60"/>
    <w:rsid w:val="00300F33"/>
    <w:rsid w:val="00302527"/>
    <w:rsid w:val="003031E8"/>
    <w:rsid w:val="0030383C"/>
    <w:rsid w:val="00303A89"/>
    <w:rsid w:val="00304112"/>
    <w:rsid w:val="003049DE"/>
    <w:rsid w:val="00305207"/>
    <w:rsid w:val="00305769"/>
    <w:rsid w:val="0030576A"/>
    <w:rsid w:val="003057A5"/>
    <w:rsid w:val="0030583A"/>
    <w:rsid w:val="0030630A"/>
    <w:rsid w:val="00306DBA"/>
    <w:rsid w:val="003075D1"/>
    <w:rsid w:val="00310022"/>
    <w:rsid w:val="0031075C"/>
    <w:rsid w:val="00310E77"/>
    <w:rsid w:val="00310FAF"/>
    <w:rsid w:val="00310FF9"/>
    <w:rsid w:val="003119E7"/>
    <w:rsid w:val="00311F0D"/>
    <w:rsid w:val="003127AA"/>
    <w:rsid w:val="00312A09"/>
    <w:rsid w:val="00313407"/>
    <w:rsid w:val="003143CE"/>
    <w:rsid w:val="00314B64"/>
    <w:rsid w:val="00314D96"/>
    <w:rsid w:val="00314ECF"/>
    <w:rsid w:val="00316839"/>
    <w:rsid w:val="0031717B"/>
    <w:rsid w:val="00317F1F"/>
    <w:rsid w:val="003204E7"/>
    <w:rsid w:val="003211A2"/>
    <w:rsid w:val="003211E3"/>
    <w:rsid w:val="00321341"/>
    <w:rsid w:val="00321B30"/>
    <w:rsid w:val="00323665"/>
    <w:rsid w:val="00324DFC"/>
    <w:rsid w:val="0032552B"/>
    <w:rsid w:val="00327B6D"/>
    <w:rsid w:val="00327C75"/>
    <w:rsid w:val="00331852"/>
    <w:rsid w:val="00331C01"/>
    <w:rsid w:val="00331D56"/>
    <w:rsid w:val="0033249D"/>
    <w:rsid w:val="00332BB4"/>
    <w:rsid w:val="00333012"/>
    <w:rsid w:val="0033303E"/>
    <w:rsid w:val="0033339B"/>
    <w:rsid w:val="00333A2A"/>
    <w:rsid w:val="003342CB"/>
    <w:rsid w:val="00336FFB"/>
    <w:rsid w:val="00337554"/>
    <w:rsid w:val="0033760C"/>
    <w:rsid w:val="00340793"/>
    <w:rsid w:val="003420D3"/>
    <w:rsid w:val="00342880"/>
    <w:rsid w:val="00343205"/>
    <w:rsid w:val="00345451"/>
    <w:rsid w:val="00345AF3"/>
    <w:rsid w:val="00346641"/>
    <w:rsid w:val="0034691A"/>
    <w:rsid w:val="00346963"/>
    <w:rsid w:val="00347891"/>
    <w:rsid w:val="0035019E"/>
    <w:rsid w:val="0035037B"/>
    <w:rsid w:val="0035062F"/>
    <w:rsid w:val="00350774"/>
    <w:rsid w:val="00350BC6"/>
    <w:rsid w:val="003510B4"/>
    <w:rsid w:val="003510F8"/>
    <w:rsid w:val="003510FA"/>
    <w:rsid w:val="00351118"/>
    <w:rsid w:val="00352210"/>
    <w:rsid w:val="003538EC"/>
    <w:rsid w:val="003552DC"/>
    <w:rsid w:val="003563CF"/>
    <w:rsid w:val="0035656D"/>
    <w:rsid w:val="0035659E"/>
    <w:rsid w:val="00356F05"/>
    <w:rsid w:val="00357C8F"/>
    <w:rsid w:val="00357F89"/>
    <w:rsid w:val="00357FCE"/>
    <w:rsid w:val="003600E7"/>
    <w:rsid w:val="003610D2"/>
    <w:rsid w:val="00362083"/>
    <w:rsid w:val="00362859"/>
    <w:rsid w:val="003632AF"/>
    <w:rsid w:val="0036353E"/>
    <w:rsid w:val="00363971"/>
    <w:rsid w:val="00365880"/>
    <w:rsid w:val="00366750"/>
    <w:rsid w:val="00366DD3"/>
    <w:rsid w:val="00370476"/>
    <w:rsid w:val="00370730"/>
    <w:rsid w:val="00370B68"/>
    <w:rsid w:val="00370B6B"/>
    <w:rsid w:val="00370D20"/>
    <w:rsid w:val="00370D48"/>
    <w:rsid w:val="00370D5D"/>
    <w:rsid w:val="00370FF0"/>
    <w:rsid w:val="00371300"/>
    <w:rsid w:val="003714B3"/>
    <w:rsid w:val="00373037"/>
    <w:rsid w:val="003733FE"/>
    <w:rsid w:val="00373BCF"/>
    <w:rsid w:val="003746AF"/>
    <w:rsid w:val="0037575E"/>
    <w:rsid w:val="0037594D"/>
    <w:rsid w:val="00376027"/>
    <w:rsid w:val="003766D3"/>
    <w:rsid w:val="00376E27"/>
    <w:rsid w:val="003778A8"/>
    <w:rsid w:val="00377E04"/>
    <w:rsid w:val="00380509"/>
    <w:rsid w:val="00380C9C"/>
    <w:rsid w:val="00380E66"/>
    <w:rsid w:val="00381656"/>
    <w:rsid w:val="00381EB1"/>
    <w:rsid w:val="00382342"/>
    <w:rsid w:val="003826FB"/>
    <w:rsid w:val="003847D4"/>
    <w:rsid w:val="00384C3F"/>
    <w:rsid w:val="00385B35"/>
    <w:rsid w:val="00386614"/>
    <w:rsid w:val="00387D31"/>
    <w:rsid w:val="00390147"/>
    <w:rsid w:val="00390482"/>
    <w:rsid w:val="00390A31"/>
    <w:rsid w:val="00390F27"/>
    <w:rsid w:val="00391B19"/>
    <w:rsid w:val="00391F48"/>
    <w:rsid w:val="003921ED"/>
    <w:rsid w:val="003922EC"/>
    <w:rsid w:val="00392C97"/>
    <w:rsid w:val="0039396C"/>
    <w:rsid w:val="00394C23"/>
    <w:rsid w:val="00394D62"/>
    <w:rsid w:val="00395289"/>
    <w:rsid w:val="00395679"/>
    <w:rsid w:val="00395C06"/>
    <w:rsid w:val="00396702"/>
    <w:rsid w:val="003A1447"/>
    <w:rsid w:val="003A1F8E"/>
    <w:rsid w:val="003A2BD3"/>
    <w:rsid w:val="003A2D87"/>
    <w:rsid w:val="003A3374"/>
    <w:rsid w:val="003A3E8C"/>
    <w:rsid w:val="003A5979"/>
    <w:rsid w:val="003A65F1"/>
    <w:rsid w:val="003A6665"/>
    <w:rsid w:val="003A74A0"/>
    <w:rsid w:val="003A7878"/>
    <w:rsid w:val="003A7C47"/>
    <w:rsid w:val="003B0D43"/>
    <w:rsid w:val="003B1002"/>
    <w:rsid w:val="003B2D4B"/>
    <w:rsid w:val="003B3CAF"/>
    <w:rsid w:val="003B4681"/>
    <w:rsid w:val="003B4F95"/>
    <w:rsid w:val="003B6A38"/>
    <w:rsid w:val="003B7455"/>
    <w:rsid w:val="003B7D35"/>
    <w:rsid w:val="003C0403"/>
    <w:rsid w:val="003C12CB"/>
    <w:rsid w:val="003C14B5"/>
    <w:rsid w:val="003C1616"/>
    <w:rsid w:val="003C36B6"/>
    <w:rsid w:val="003C3EC7"/>
    <w:rsid w:val="003C3FE2"/>
    <w:rsid w:val="003C4B7E"/>
    <w:rsid w:val="003C5611"/>
    <w:rsid w:val="003C67D5"/>
    <w:rsid w:val="003C76ED"/>
    <w:rsid w:val="003C78B9"/>
    <w:rsid w:val="003C7D71"/>
    <w:rsid w:val="003D120F"/>
    <w:rsid w:val="003D1597"/>
    <w:rsid w:val="003D15AF"/>
    <w:rsid w:val="003D1919"/>
    <w:rsid w:val="003D1CE4"/>
    <w:rsid w:val="003D2F84"/>
    <w:rsid w:val="003D3978"/>
    <w:rsid w:val="003D52A0"/>
    <w:rsid w:val="003D5651"/>
    <w:rsid w:val="003D5A19"/>
    <w:rsid w:val="003D5B09"/>
    <w:rsid w:val="003D6071"/>
    <w:rsid w:val="003D618E"/>
    <w:rsid w:val="003D6444"/>
    <w:rsid w:val="003D7466"/>
    <w:rsid w:val="003D7A1C"/>
    <w:rsid w:val="003E0455"/>
    <w:rsid w:val="003E0740"/>
    <w:rsid w:val="003E0C0C"/>
    <w:rsid w:val="003E2762"/>
    <w:rsid w:val="003E2BA0"/>
    <w:rsid w:val="003E305C"/>
    <w:rsid w:val="003E31BE"/>
    <w:rsid w:val="003E3589"/>
    <w:rsid w:val="003E365D"/>
    <w:rsid w:val="003E3697"/>
    <w:rsid w:val="003E3AFC"/>
    <w:rsid w:val="003E3E13"/>
    <w:rsid w:val="003E3FF5"/>
    <w:rsid w:val="003E4EBA"/>
    <w:rsid w:val="003E4F4D"/>
    <w:rsid w:val="003E6CB1"/>
    <w:rsid w:val="003E6CF0"/>
    <w:rsid w:val="003E7425"/>
    <w:rsid w:val="003E7BAB"/>
    <w:rsid w:val="003F2122"/>
    <w:rsid w:val="003F2162"/>
    <w:rsid w:val="003F2CC7"/>
    <w:rsid w:val="003F3211"/>
    <w:rsid w:val="003F486F"/>
    <w:rsid w:val="003F523B"/>
    <w:rsid w:val="003F5CBA"/>
    <w:rsid w:val="003F62F9"/>
    <w:rsid w:val="003F651D"/>
    <w:rsid w:val="003F66BE"/>
    <w:rsid w:val="003F6B2E"/>
    <w:rsid w:val="003F701A"/>
    <w:rsid w:val="003F7337"/>
    <w:rsid w:val="003F755F"/>
    <w:rsid w:val="00401039"/>
    <w:rsid w:val="00401069"/>
    <w:rsid w:val="00403284"/>
    <w:rsid w:val="004033B7"/>
    <w:rsid w:val="0040392B"/>
    <w:rsid w:val="004043FC"/>
    <w:rsid w:val="004046A8"/>
    <w:rsid w:val="004046B1"/>
    <w:rsid w:val="00404E75"/>
    <w:rsid w:val="00405E87"/>
    <w:rsid w:val="0040662F"/>
    <w:rsid w:val="004074D8"/>
    <w:rsid w:val="004105CA"/>
    <w:rsid w:val="004109A6"/>
    <w:rsid w:val="00410D82"/>
    <w:rsid w:val="00416991"/>
    <w:rsid w:val="0041744B"/>
    <w:rsid w:val="00417604"/>
    <w:rsid w:val="0042047D"/>
    <w:rsid w:val="004204BD"/>
    <w:rsid w:val="00420CBC"/>
    <w:rsid w:val="00421001"/>
    <w:rsid w:val="00421F48"/>
    <w:rsid w:val="00422A41"/>
    <w:rsid w:val="00422C75"/>
    <w:rsid w:val="00423418"/>
    <w:rsid w:val="004236EC"/>
    <w:rsid w:val="00424232"/>
    <w:rsid w:val="004250D9"/>
    <w:rsid w:val="00425958"/>
    <w:rsid w:val="00425B67"/>
    <w:rsid w:val="00425B8B"/>
    <w:rsid w:val="00426113"/>
    <w:rsid w:val="00426C6D"/>
    <w:rsid w:val="00427394"/>
    <w:rsid w:val="0042760E"/>
    <w:rsid w:val="004301DD"/>
    <w:rsid w:val="004305CC"/>
    <w:rsid w:val="00430B2C"/>
    <w:rsid w:val="0043147A"/>
    <w:rsid w:val="0043159B"/>
    <w:rsid w:val="00431B25"/>
    <w:rsid w:val="00432325"/>
    <w:rsid w:val="004327A2"/>
    <w:rsid w:val="00432E02"/>
    <w:rsid w:val="00433591"/>
    <w:rsid w:val="00433E80"/>
    <w:rsid w:val="00434C8E"/>
    <w:rsid w:val="00436762"/>
    <w:rsid w:val="00436C95"/>
    <w:rsid w:val="00436D9D"/>
    <w:rsid w:val="00437826"/>
    <w:rsid w:val="004378A5"/>
    <w:rsid w:val="004379DE"/>
    <w:rsid w:val="004402A7"/>
    <w:rsid w:val="0044312E"/>
    <w:rsid w:val="0044471E"/>
    <w:rsid w:val="00445950"/>
    <w:rsid w:val="00445CAA"/>
    <w:rsid w:val="004502ED"/>
    <w:rsid w:val="00450821"/>
    <w:rsid w:val="00450D28"/>
    <w:rsid w:val="004518EA"/>
    <w:rsid w:val="00451924"/>
    <w:rsid w:val="00451F15"/>
    <w:rsid w:val="004522C5"/>
    <w:rsid w:val="004524F3"/>
    <w:rsid w:val="00452A46"/>
    <w:rsid w:val="00453502"/>
    <w:rsid w:val="00453C38"/>
    <w:rsid w:val="00455558"/>
    <w:rsid w:val="00456DFF"/>
    <w:rsid w:val="00456ED2"/>
    <w:rsid w:val="00456F59"/>
    <w:rsid w:val="0045717C"/>
    <w:rsid w:val="0046150B"/>
    <w:rsid w:val="00461901"/>
    <w:rsid w:val="00461B12"/>
    <w:rsid w:val="00461C00"/>
    <w:rsid w:val="0046206F"/>
    <w:rsid w:val="00462D91"/>
    <w:rsid w:val="00463509"/>
    <w:rsid w:val="00463C46"/>
    <w:rsid w:val="00464434"/>
    <w:rsid w:val="00465907"/>
    <w:rsid w:val="00465AD5"/>
    <w:rsid w:val="00465EA0"/>
    <w:rsid w:val="004674F4"/>
    <w:rsid w:val="00467554"/>
    <w:rsid w:val="004678C9"/>
    <w:rsid w:val="00467B2E"/>
    <w:rsid w:val="00471150"/>
    <w:rsid w:val="004720BA"/>
    <w:rsid w:val="004727D0"/>
    <w:rsid w:val="0047376D"/>
    <w:rsid w:val="00474FB2"/>
    <w:rsid w:val="00477FCC"/>
    <w:rsid w:val="00480187"/>
    <w:rsid w:val="004801F0"/>
    <w:rsid w:val="004802CD"/>
    <w:rsid w:val="004803F3"/>
    <w:rsid w:val="004808C7"/>
    <w:rsid w:val="00480C85"/>
    <w:rsid w:val="0048180C"/>
    <w:rsid w:val="004821A0"/>
    <w:rsid w:val="004830F5"/>
    <w:rsid w:val="00483124"/>
    <w:rsid w:val="00483857"/>
    <w:rsid w:val="00483A19"/>
    <w:rsid w:val="00483E24"/>
    <w:rsid w:val="00484475"/>
    <w:rsid w:val="0048486B"/>
    <w:rsid w:val="00485200"/>
    <w:rsid w:val="00485589"/>
    <w:rsid w:val="00485894"/>
    <w:rsid w:val="00485FCE"/>
    <w:rsid w:val="00486656"/>
    <w:rsid w:val="00486B33"/>
    <w:rsid w:val="00486D8E"/>
    <w:rsid w:val="004873F5"/>
    <w:rsid w:val="0048792E"/>
    <w:rsid w:val="00491374"/>
    <w:rsid w:val="00491758"/>
    <w:rsid w:val="0049251C"/>
    <w:rsid w:val="00493E12"/>
    <w:rsid w:val="00496BEE"/>
    <w:rsid w:val="0049707D"/>
    <w:rsid w:val="0049779E"/>
    <w:rsid w:val="004A1204"/>
    <w:rsid w:val="004A1520"/>
    <w:rsid w:val="004A1539"/>
    <w:rsid w:val="004A23A0"/>
    <w:rsid w:val="004A360D"/>
    <w:rsid w:val="004A3E32"/>
    <w:rsid w:val="004A538C"/>
    <w:rsid w:val="004A53A9"/>
    <w:rsid w:val="004A5BC8"/>
    <w:rsid w:val="004A5E36"/>
    <w:rsid w:val="004A7BD3"/>
    <w:rsid w:val="004A7F28"/>
    <w:rsid w:val="004B1083"/>
    <w:rsid w:val="004B1B82"/>
    <w:rsid w:val="004B1E28"/>
    <w:rsid w:val="004B2D09"/>
    <w:rsid w:val="004B30EE"/>
    <w:rsid w:val="004B380C"/>
    <w:rsid w:val="004B3B4D"/>
    <w:rsid w:val="004B62B5"/>
    <w:rsid w:val="004B79E6"/>
    <w:rsid w:val="004C03EC"/>
    <w:rsid w:val="004C0E7B"/>
    <w:rsid w:val="004C0F87"/>
    <w:rsid w:val="004C1AFA"/>
    <w:rsid w:val="004C21B9"/>
    <w:rsid w:val="004C27CB"/>
    <w:rsid w:val="004C3093"/>
    <w:rsid w:val="004C3269"/>
    <w:rsid w:val="004C3550"/>
    <w:rsid w:val="004C424E"/>
    <w:rsid w:val="004C4C4E"/>
    <w:rsid w:val="004C5535"/>
    <w:rsid w:val="004C5828"/>
    <w:rsid w:val="004C596F"/>
    <w:rsid w:val="004C5CE3"/>
    <w:rsid w:val="004C5FC5"/>
    <w:rsid w:val="004C6111"/>
    <w:rsid w:val="004D1545"/>
    <w:rsid w:val="004D1601"/>
    <w:rsid w:val="004D39F9"/>
    <w:rsid w:val="004D3ADD"/>
    <w:rsid w:val="004D3FE4"/>
    <w:rsid w:val="004D49A9"/>
    <w:rsid w:val="004D4C67"/>
    <w:rsid w:val="004D52E6"/>
    <w:rsid w:val="004D541E"/>
    <w:rsid w:val="004D5CF9"/>
    <w:rsid w:val="004E0006"/>
    <w:rsid w:val="004E066D"/>
    <w:rsid w:val="004E06ED"/>
    <w:rsid w:val="004E0AA6"/>
    <w:rsid w:val="004E0B45"/>
    <w:rsid w:val="004E1075"/>
    <w:rsid w:val="004E1321"/>
    <w:rsid w:val="004E2BCC"/>
    <w:rsid w:val="004E2E9A"/>
    <w:rsid w:val="004E3EA9"/>
    <w:rsid w:val="004E56F5"/>
    <w:rsid w:val="004E7861"/>
    <w:rsid w:val="004F02A4"/>
    <w:rsid w:val="004F0CF3"/>
    <w:rsid w:val="004F0EB7"/>
    <w:rsid w:val="004F105E"/>
    <w:rsid w:val="004F12B9"/>
    <w:rsid w:val="004F275E"/>
    <w:rsid w:val="004F2D33"/>
    <w:rsid w:val="004F32A9"/>
    <w:rsid w:val="004F3EF1"/>
    <w:rsid w:val="004F3F03"/>
    <w:rsid w:val="004F402C"/>
    <w:rsid w:val="004F45D5"/>
    <w:rsid w:val="004F647E"/>
    <w:rsid w:val="00500175"/>
    <w:rsid w:val="005012FC"/>
    <w:rsid w:val="00501B8C"/>
    <w:rsid w:val="00502ABA"/>
    <w:rsid w:val="00502D71"/>
    <w:rsid w:val="005031C5"/>
    <w:rsid w:val="00505ECE"/>
    <w:rsid w:val="00506461"/>
    <w:rsid w:val="0050778A"/>
    <w:rsid w:val="00510499"/>
    <w:rsid w:val="005112A9"/>
    <w:rsid w:val="00511898"/>
    <w:rsid w:val="00511C53"/>
    <w:rsid w:val="00511CFB"/>
    <w:rsid w:val="00512541"/>
    <w:rsid w:val="005131EE"/>
    <w:rsid w:val="0051328C"/>
    <w:rsid w:val="00513896"/>
    <w:rsid w:val="0051549E"/>
    <w:rsid w:val="00516CEE"/>
    <w:rsid w:val="00520272"/>
    <w:rsid w:val="0052094A"/>
    <w:rsid w:val="00522977"/>
    <w:rsid w:val="0052302F"/>
    <w:rsid w:val="005235C2"/>
    <w:rsid w:val="005235C6"/>
    <w:rsid w:val="00523C41"/>
    <w:rsid w:val="005246F1"/>
    <w:rsid w:val="005249F0"/>
    <w:rsid w:val="005253AE"/>
    <w:rsid w:val="00526EC3"/>
    <w:rsid w:val="0052705D"/>
    <w:rsid w:val="005275A1"/>
    <w:rsid w:val="00531096"/>
    <w:rsid w:val="00532461"/>
    <w:rsid w:val="005332E7"/>
    <w:rsid w:val="00534C2D"/>
    <w:rsid w:val="005360B6"/>
    <w:rsid w:val="0054172B"/>
    <w:rsid w:val="00542709"/>
    <w:rsid w:val="00542F01"/>
    <w:rsid w:val="005433DF"/>
    <w:rsid w:val="005438B4"/>
    <w:rsid w:val="00543B19"/>
    <w:rsid w:val="00543D54"/>
    <w:rsid w:val="00545EEB"/>
    <w:rsid w:val="005461BE"/>
    <w:rsid w:val="005464B9"/>
    <w:rsid w:val="005466E2"/>
    <w:rsid w:val="00546B6F"/>
    <w:rsid w:val="00546BB0"/>
    <w:rsid w:val="00546E30"/>
    <w:rsid w:val="00547138"/>
    <w:rsid w:val="0054727D"/>
    <w:rsid w:val="00547736"/>
    <w:rsid w:val="00547901"/>
    <w:rsid w:val="00547AED"/>
    <w:rsid w:val="00547CFB"/>
    <w:rsid w:val="00547FC3"/>
    <w:rsid w:val="00550489"/>
    <w:rsid w:val="00551C85"/>
    <w:rsid w:val="00553488"/>
    <w:rsid w:val="00553714"/>
    <w:rsid w:val="00553DBB"/>
    <w:rsid w:val="00554734"/>
    <w:rsid w:val="005551C7"/>
    <w:rsid w:val="005555F8"/>
    <w:rsid w:val="005563B3"/>
    <w:rsid w:val="00556432"/>
    <w:rsid w:val="00556665"/>
    <w:rsid w:val="00557A46"/>
    <w:rsid w:val="00557DA9"/>
    <w:rsid w:val="00561388"/>
    <w:rsid w:val="005618F2"/>
    <w:rsid w:val="00561FEE"/>
    <w:rsid w:val="00562DC0"/>
    <w:rsid w:val="00563198"/>
    <w:rsid w:val="00563589"/>
    <w:rsid w:val="00563B2C"/>
    <w:rsid w:val="0056472D"/>
    <w:rsid w:val="00564AE7"/>
    <w:rsid w:val="00565877"/>
    <w:rsid w:val="005662D1"/>
    <w:rsid w:val="005663B5"/>
    <w:rsid w:val="00567665"/>
    <w:rsid w:val="0057035A"/>
    <w:rsid w:val="005718B8"/>
    <w:rsid w:val="00571E0A"/>
    <w:rsid w:val="00573005"/>
    <w:rsid w:val="0057343F"/>
    <w:rsid w:val="00573B43"/>
    <w:rsid w:val="00573F66"/>
    <w:rsid w:val="0057618B"/>
    <w:rsid w:val="00576430"/>
    <w:rsid w:val="0057670F"/>
    <w:rsid w:val="00576F0E"/>
    <w:rsid w:val="00577719"/>
    <w:rsid w:val="00577A1E"/>
    <w:rsid w:val="005801F0"/>
    <w:rsid w:val="005811B2"/>
    <w:rsid w:val="00581828"/>
    <w:rsid w:val="00581B49"/>
    <w:rsid w:val="0058363B"/>
    <w:rsid w:val="00583B10"/>
    <w:rsid w:val="0058402A"/>
    <w:rsid w:val="005843F7"/>
    <w:rsid w:val="00586F5E"/>
    <w:rsid w:val="00587A27"/>
    <w:rsid w:val="00591309"/>
    <w:rsid w:val="005914F4"/>
    <w:rsid w:val="00591CCF"/>
    <w:rsid w:val="005920A1"/>
    <w:rsid w:val="005940CF"/>
    <w:rsid w:val="00594A5F"/>
    <w:rsid w:val="00595A1C"/>
    <w:rsid w:val="0059710A"/>
    <w:rsid w:val="00597B3C"/>
    <w:rsid w:val="005A0D30"/>
    <w:rsid w:val="005A0DF1"/>
    <w:rsid w:val="005A26C9"/>
    <w:rsid w:val="005A2D42"/>
    <w:rsid w:val="005A2DDA"/>
    <w:rsid w:val="005A30C1"/>
    <w:rsid w:val="005A3750"/>
    <w:rsid w:val="005A3C8F"/>
    <w:rsid w:val="005A46C0"/>
    <w:rsid w:val="005A49B7"/>
    <w:rsid w:val="005A52A0"/>
    <w:rsid w:val="005A5D1D"/>
    <w:rsid w:val="005A621D"/>
    <w:rsid w:val="005A6310"/>
    <w:rsid w:val="005A7123"/>
    <w:rsid w:val="005B0686"/>
    <w:rsid w:val="005B0F96"/>
    <w:rsid w:val="005B106D"/>
    <w:rsid w:val="005B13DE"/>
    <w:rsid w:val="005B1698"/>
    <w:rsid w:val="005B1804"/>
    <w:rsid w:val="005B2189"/>
    <w:rsid w:val="005B21D5"/>
    <w:rsid w:val="005B4299"/>
    <w:rsid w:val="005B43C5"/>
    <w:rsid w:val="005B44A8"/>
    <w:rsid w:val="005B4C1A"/>
    <w:rsid w:val="005B4FB8"/>
    <w:rsid w:val="005B52A1"/>
    <w:rsid w:val="005B7796"/>
    <w:rsid w:val="005C0FC2"/>
    <w:rsid w:val="005C205D"/>
    <w:rsid w:val="005C24F3"/>
    <w:rsid w:val="005C3A17"/>
    <w:rsid w:val="005C46D9"/>
    <w:rsid w:val="005C51CA"/>
    <w:rsid w:val="005C51CE"/>
    <w:rsid w:val="005C6ACB"/>
    <w:rsid w:val="005C6BD6"/>
    <w:rsid w:val="005C6D8F"/>
    <w:rsid w:val="005C70DF"/>
    <w:rsid w:val="005D035B"/>
    <w:rsid w:val="005D17FA"/>
    <w:rsid w:val="005D1A4D"/>
    <w:rsid w:val="005D1B7D"/>
    <w:rsid w:val="005D33B7"/>
    <w:rsid w:val="005D4808"/>
    <w:rsid w:val="005D499F"/>
    <w:rsid w:val="005D7A35"/>
    <w:rsid w:val="005D7B57"/>
    <w:rsid w:val="005D7CFE"/>
    <w:rsid w:val="005E0867"/>
    <w:rsid w:val="005E0917"/>
    <w:rsid w:val="005E0DF0"/>
    <w:rsid w:val="005E286E"/>
    <w:rsid w:val="005E49B9"/>
    <w:rsid w:val="005E4ED2"/>
    <w:rsid w:val="005E53BD"/>
    <w:rsid w:val="005E5536"/>
    <w:rsid w:val="005E57E3"/>
    <w:rsid w:val="005E7292"/>
    <w:rsid w:val="005F01D4"/>
    <w:rsid w:val="005F1785"/>
    <w:rsid w:val="005F2886"/>
    <w:rsid w:val="005F4472"/>
    <w:rsid w:val="005F46EF"/>
    <w:rsid w:val="005F497D"/>
    <w:rsid w:val="005F5BE1"/>
    <w:rsid w:val="005F5F3A"/>
    <w:rsid w:val="005F71F3"/>
    <w:rsid w:val="005F7583"/>
    <w:rsid w:val="00600015"/>
    <w:rsid w:val="00600F4A"/>
    <w:rsid w:val="0060166F"/>
    <w:rsid w:val="00601CFA"/>
    <w:rsid w:val="006029B7"/>
    <w:rsid w:val="006050D6"/>
    <w:rsid w:val="00605BC4"/>
    <w:rsid w:val="00606330"/>
    <w:rsid w:val="00606C51"/>
    <w:rsid w:val="00606C77"/>
    <w:rsid w:val="00607531"/>
    <w:rsid w:val="00607C92"/>
    <w:rsid w:val="006100A8"/>
    <w:rsid w:val="006101A9"/>
    <w:rsid w:val="00610EC9"/>
    <w:rsid w:val="00611100"/>
    <w:rsid w:val="00612455"/>
    <w:rsid w:val="00612916"/>
    <w:rsid w:val="00612BCC"/>
    <w:rsid w:val="00612C6D"/>
    <w:rsid w:val="00612CFC"/>
    <w:rsid w:val="00613C09"/>
    <w:rsid w:val="0061526E"/>
    <w:rsid w:val="006153A1"/>
    <w:rsid w:val="00615556"/>
    <w:rsid w:val="00615BBA"/>
    <w:rsid w:val="0061642E"/>
    <w:rsid w:val="00617BD1"/>
    <w:rsid w:val="0062219E"/>
    <w:rsid w:val="00622ABA"/>
    <w:rsid w:val="00622D8B"/>
    <w:rsid w:val="00623146"/>
    <w:rsid w:val="006232A9"/>
    <w:rsid w:val="00624852"/>
    <w:rsid w:val="0062654A"/>
    <w:rsid w:val="0062670E"/>
    <w:rsid w:val="00626E74"/>
    <w:rsid w:val="00627605"/>
    <w:rsid w:val="00627963"/>
    <w:rsid w:val="00630D76"/>
    <w:rsid w:val="00631CA2"/>
    <w:rsid w:val="00631DE9"/>
    <w:rsid w:val="00632C78"/>
    <w:rsid w:val="0063376D"/>
    <w:rsid w:val="00633F07"/>
    <w:rsid w:val="00633FC4"/>
    <w:rsid w:val="0063461A"/>
    <w:rsid w:val="006349E5"/>
    <w:rsid w:val="00634DC0"/>
    <w:rsid w:val="006354E8"/>
    <w:rsid w:val="00635A03"/>
    <w:rsid w:val="00635F3D"/>
    <w:rsid w:val="00636AFE"/>
    <w:rsid w:val="006371FD"/>
    <w:rsid w:val="00637902"/>
    <w:rsid w:val="006379EB"/>
    <w:rsid w:val="00637A74"/>
    <w:rsid w:val="006400FF"/>
    <w:rsid w:val="0064041B"/>
    <w:rsid w:val="006414DD"/>
    <w:rsid w:val="00641C2F"/>
    <w:rsid w:val="006420C7"/>
    <w:rsid w:val="0064239F"/>
    <w:rsid w:val="00642CFB"/>
    <w:rsid w:val="00643CC8"/>
    <w:rsid w:val="006441AD"/>
    <w:rsid w:val="0064495B"/>
    <w:rsid w:val="00644D8A"/>
    <w:rsid w:val="00644E90"/>
    <w:rsid w:val="006450A3"/>
    <w:rsid w:val="0064598C"/>
    <w:rsid w:val="00645F15"/>
    <w:rsid w:val="006463D1"/>
    <w:rsid w:val="00646972"/>
    <w:rsid w:val="006469D4"/>
    <w:rsid w:val="0064779A"/>
    <w:rsid w:val="006512EB"/>
    <w:rsid w:val="0065286E"/>
    <w:rsid w:val="00652F99"/>
    <w:rsid w:val="006530F1"/>
    <w:rsid w:val="0065328F"/>
    <w:rsid w:val="00653B5B"/>
    <w:rsid w:val="00654D0E"/>
    <w:rsid w:val="00654EBB"/>
    <w:rsid w:val="00655021"/>
    <w:rsid w:val="006560EB"/>
    <w:rsid w:val="00656F74"/>
    <w:rsid w:val="006637C2"/>
    <w:rsid w:val="0066402F"/>
    <w:rsid w:val="0066505E"/>
    <w:rsid w:val="00665D22"/>
    <w:rsid w:val="00666579"/>
    <w:rsid w:val="006716C2"/>
    <w:rsid w:val="00671B4B"/>
    <w:rsid w:val="006724EB"/>
    <w:rsid w:val="00672F7A"/>
    <w:rsid w:val="00674334"/>
    <w:rsid w:val="00674BBA"/>
    <w:rsid w:val="00674BD7"/>
    <w:rsid w:val="00675648"/>
    <w:rsid w:val="00676B7A"/>
    <w:rsid w:val="00676CC1"/>
    <w:rsid w:val="00677474"/>
    <w:rsid w:val="00677B62"/>
    <w:rsid w:val="006820EB"/>
    <w:rsid w:val="00684675"/>
    <w:rsid w:val="006848CD"/>
    <w:rsid w:val="006852DA"/>
    <w:rsid w:val="006854EB"/>
    <w:rsid w:val="00685ADC"/>
    <w:rsid w:val="00685CB3"/>
    <w:rsid w:val="0068616F"/>
    <w:rsid w:val="00687142"/>
    <w:rsid w:val="00691568"/>
    <w:rsid w:val="00691587"/>
    <w:rsid w:val="00691634"/>
    <w:rsid w:val="00692109"/>
    <w:rsid w:val="00692533"/>
    <w:rsid w:val="00692CAC"/>
    <w:rsid w:val="00693D95"/>
    <w:rsid w:val="006944F8"/>
    <w:rsid w:val="006948BD"/>
    <w:rsid w:val="0069587C"/>
    <w:rsid w:val="0069722B"/>
    <w:rsid w:val="00697E18"/>
    <w:rsid w:val="006A0175"/>
    <w:rsid w:val="006A064F"/>
    <w:rsid w:val="006A1E64"/>
    <w:rsid w:val="006A2802"/>
    <w:rsid w:val="006A4635"/>
    <w:rsid w:val="006A46FD"/>
    <w:rsid w:val="006A47C1"/>
    <w:rsid w:val="006A5739"/>
    <w:rsid w:val="006A677D"/>
    <w:rsid w:val="006A6AD4"/>
    <w:rsid w:val="006B0590"/>
    <w:rsid w:val="006B11FD"/>
    <w:rsid w:val="006B127F"/>
    <w:rsid w:val="006B1B27"/>
    <w:rsid w:val="006B2BD2"/>
    <w:rsid w:val="006B2C62"/>
    <w:rsid w:val="006B2D1D"/>
    <w:rsid w:val="006B45FA"/>
    <w:rsid w:val="006B4C9B"/>
    <w:rsid w:val="006B4DF9"/>
    <w:rsid w:val="006B5293"/>
    <w:rsid w:val="006B5712"/>
    <w:rsid w:val="006B573E"/>
    <w:rsid w:val="006B709C"/>
    <w:rsid w:val="006B7519"/>
    <w:rsid w:val="006B7DC5"/>
    <w:rsid w:val="006B7DCF"/>
    <w:rsid w:val="006C13AE"/>
    <w:rsid w:val="006C1E52"/>
    <w:rsid w:val="006C3C08"/>
    <w:rsid w:val="006C553B"/>
    <w:rsid w:val="006C599B"/>
    <w:rsid w:val="006C66FC"/>
    <w:rsid w:val="006C727E"/>
    <w:rsid w:val="006C76D9"/>
    <w:rsid w:val="006C7F56"/>
    <w:rsid w:val="006D0CCD"/>
    <w:rsid w:val="006D0E14"/>
    <w:rsid w:val="006D231C"/>
    <w:rsid w:val="006D27AD"/>
    <w:rsid w:val="006D3795"/>
    <w:rsid w:val="006D3C35"/>
    <w:rsid w:val="006D4356"/>
    <w:rsid w:val="006D47F9"/>
    <w:rsid w:val="006D6104"/>
    <w:rsid w:val="006E0974"/>
    <w:rsid w:val="006E0FE6"/>
    <w:rsid w:val="006E12AF"/>
    <w:rsid w:val="006E1BAB"/>
    <w:rsid w:val="006E255B"/>
    <w:rsid w:val="006E3220"/>
    <w:rsid w:val="006E326E"/>
    <w:rsid w:val="006E36E5"/>
    <w:rsid w:val="006E3A92"/>
    <w:rsid w:val="006E4AFE"/>
    <w:rsid w:val="006E4CE9"/>
    <w:rsid w:val="006E5FDD"/>
    <w:rsid w:val="006E61D8"/>
    <w:rsid w:val="006E6747"/>
    <w:rsid w:val="006F0965"/>
    <w:rsid w:val="006F121A"/>
    <w:rsid w:val="006F1C5D"/>
    <w:rsid w:val="006F20DA"/>
    <w:rsid w:val="006F37F5"/>
    <w:rsid w:val="006F4840"/>
    <w:rsid w:val="006F5372"/>
    <w:rsid w:val="006F5DDC"/>
    <w:rsid w:val="006F632D"/>
    <w:rsid w:val="006F68D9"/>
    <w:rsid w:val="006F715E"/>
    <w:rsid w:val="006F78DE"/>
    <w:rsid w:val="006F78FD"/>
    <w:rsid w:val="006F7CD5"/>
    <w:rsid w:val="00700B83"/>
    <w:rsid w:val="00702425"/>
    <w:rsid w:val="00702C2C"/>
    <w:rsid w:val="00702F93"/>
    <w:rsid w:val="00703012"/>
    <w:rsid w:val="00703CBB"/>
    <w:rsid w:val="0070514C"/>
    <w:rsid w:val="007056AB"/>
    <w:rsid w:val="00707C61"/>
    <w:rsid w:val="00710C98"/>
    <w:rsid w:val="007112D3"/>
    <w:rsid w:val="007113DF"/>
    <w:rsid w:val="007114C6"/>
    <w:rsid w:val="007116D4"/>
    <w:rsid w:val="0071264D"/>
    <w:rsid w:val="00713021"/>
    <w:rsid w:val="00713792"/>
    <w:rsid w:val="00713C47"/>
    <w:rsid w:val="00714908"/>
    <w:rsid w:val="00714B6D"/>
    <w:rsid w:val="00715203"/>
    <w:rsid w:val="0071584E"/>
    <w:rsid w:val="0071735D"/>
    <w:rsid w:val="007205D8"/>
    <w:rsid w:val="0072097C"/>
    <w:rsid w:val="00721EF8"/>
    <w:rsid w:val="007231EA"/>
    <w:rsid w:val="007246BC"/>
    <w:rsid w:val="00724C80"/>
    <w:rsid w:val="00725BF6"/>
    <w:rsid w:val="007277B6"/>
    <w:rsid w:val="007277D1"/>
    <w:rsid w:val="007278E2"/>
    <w:rsid w:val="00727B79"/>
    <w:rsid w:val="00730456"/>
    <w:rsid w:val="00730E93"/>
    <w:rsid w:val="00731DD5"/>
    <w:rsid w:val="007320BB"/>
    <w:rsid w:val="00732209"/>
    <w:rsid w:val="00732299"/>
    <w:rsid w:val="00732438"/>
    <w:rsid w:val="00733353"/>
    <w:rsid w:val="00733929"/>
    <w:rsid w:val="00734092"/>
    <w:rsid w:val="00734744"/>
    <w:rsid w:val="00734C4E"/>
    <w:rsid w:val="007350E4"/>
    <w:rsid w:val="00735D54"/>
    <w:rsid w:val="00736194"/>
    <w:rsid w:val="00740157"/>
    <w:rsid w:val="00740473"/>
    <w:rsid w:val="00740679"/>
    <w:rsid w:val="007409C1"/>
    <w:rsid w:val="007421F2"/>
    <w:rsid w:val="0074245C"/>
    <w:rsid w:val="007424D8"/>
    <w:rsid w:val="007431BF"/>
    <w:rsid w:val="007432F6"/>
    <w:rsid w:val="00744088"/>
    <w:rsid w:val="00745376"/>
    <w:rsid w:val="00746372"/>
    <w:rsid w:val="00746BC6"/>
    <w:rsid w:val="00746D4D"/>
    <w:rsid w:val="00746F48"/>
    <w:rsid w:val="00747872"/>
    <w:rsid w:val="00747CB8"/>
    <w:rsid w:val="007511E4"/>
    <w:rsid w:val="00753109"/>
    <w:rsid w:val="0075459C"/>
    <w:rsid w:val="00754FD0"/>
    <w:rsid w:val="00755492"/>
    <w:rsid w:val="007554F9"/>
    <w:rsid w:val="00756AE1"/>
    <w:rsid w:val="00756B5B"/>
    <w:rsid w:val="00756E4F"/>
    <w:rsid w:val="00760644"/>
    <w:rsid w:val="007606E9"/>
    <w:rsid w:val="0076197A"/>
    <w:rsid w:val="00761E1E"/>
    <w:rsid w:val="00762174"/>
    <w:rsid w:val="007642BD"/>
    <w:rsid w:val="00764576"/>
    <w:rsid w:val="00764A13"/>
    <w:rsid w:val="007651DB"/>
    <w:rsid w:val="00765814"/>
    <w:rsid w:val="007662DB"/>
    <w:rsid w:val="0076688A"/>
    <w:rsid w:val="0076692E"/>
    <w:rsid w:val="007669A0"/>
    <w:rsid w:val="0077191C"/>
    <w:rsid w:val="00771DD9"/>
    <w:rsid w:val="00771E72"/>
    <w:rsid w:val="00772049"/>
    <w:rsid w:val="00772AF0"/>
    <w:rsid w:val="00773122"/>
    <w:rsid w:val="007736F0"/>
    <w:rsid w:val="00773809"/>
    <w:rsid w:val="00773907"/>
    <w:rsid w:val="007745EA"/>
    <w:rsid w:val="00774D8E"/>
    <w:rsid w:val="0077517C"/>
    <w:rsid w:val="00776583"/>
    <w:rsid w:val="00776CE9"/>
    <w:rsid w:val="00776E14"/>
    <w:rsid w:val="007778E2"/>
    <w:rsid w:val="007779D2"/>
    <w:rsid w:val="00780062"/>
    <w:rsid w:val="00781681"/>
    <w:rsid w:val="0078174E"/>
    <w:rsid w:val="0078246A"/>
    <w:rsid w:val="0078281B"/>
    <w:rsid w:val="00782B6E"/>
    <w:rsid w:val="00783E88"/>
    <w:rsid w:val="00783ED2"/>
    <w:rsid w:val="00784FF9"/>
    <w:rsid w:val="007856EB"/>
    <w:rsid w:val="00785C62"/>
    <w:rsid w:val="00785FF0"/>
    <w:rsid w:val="00787C89"/>
    <w:rsid w:val="00790CA3"/>
    <w:rsid w:val="00791605"/>
    <w:rsid w:val="0079263D"/>
    <w:rsid w:val="00794048"/>
    <w:rsid w:val="00794CC4"/>
    <w:rsid w:val="00795926"/>
    <w:rsid w:val="00795BFC"/>
    <w:rsid w:val="007964E8"/>
    <w:rsid w:val="007965D3"/>
    <w:rsid w:val="00797205"/>
    <w:rsid w:val="00797253"/>
    <w:rsid w:val="00797412"/>
    <w:rsid w:val="007975F1"/>
    <w:rsid w:val="007A10EE"/>
    <w:rsid w:val="007A1339"/>
    <w:rsid w:val="007A280E"/>
    <w:rsid w:val="007A2D5A"/>
    <w:rsid w:val="007A3A82"/>
    <w:rsid w:val="007A4609"/>
    <w:rsid w:val="007A4993"/>
    <w:rsid w:val="007A5DD3"/>
    <w:rsid w:val="007A6342"/>
    <w:rsid w:val="007A7D48"/>
    <w:rsid w:val="007B0D38"/>
    <w:rsid w:val="007B166C"/>
    <w:rsid w:val="007B1C2F"/>
    <w:rsid w:val="007B1E42"/>
    <w:rsid w:val="007B305B"/>
    <w:rsid w:val="007B3066"/>
    <w:rsid w:val="007B3505"/>
    <w:rsid w:val="007B38E1"/>
    <w:rsid w:val="007B3E9A"/>
    <w:rsid w:val="007B48AF"/>
    <w:rsid w:val="007B4BBF"/>
    <w:rsid w:val="007B5213"/>
    <w:rsid w:val="007B5F06"/>
    <w:rsid w:val="007B7C38"/>
    <w:rsid w:val="007C0FFF"/>
    <w:rsid w:val="007C1919"/>
    <w:rsid w:val="007C1ACF"/>
    <w:rsid w:val="007C1D97"/>
    <w:rsid w:val="007C2407"/>
    <w:rsid w:val="007C250A"/>
    <w:rsid w:val="007C29A2"/>
    <w:rsid w:val="007C2CB5"/>
    <w:rsid w:val="007C31FC"/>
    <w:rsid w:val="007C3333"/>
    <w:rsid w:val="007C3743"/>
    <w:rsid w:val="007C3C5A"/>
    <w:rsid w:val="007C4B23"/>
    <w:rsid w:val="007C5100"/>
    <w:rsid w:val="007C558A"/>
    <w:rsid w:val="007C605D"/>
    <w:rsid w:val="007C699A"/>
    <w:rsid w:val="007C6BC8"/>
    <w:rsid w:val="007D010B"/>
    <w:rsid w:val="007D0732"/>
    <w:rsid w:val="007D0C96"/>
    <w:rsid w:val="007D1F9F"/>
    <w:rsid w:val="007D325A"/>
    <w:rsid w:val="007D390A"/>
    <w:rsid w:val="007D4CFE"/>
    <w:rsid w:val="007D4D20"/>
    <w:rsid w:val="007D5481"/>
    <w:rsid w:val="007D5763"/>
    <w:rsid w:val="007D5F5C"/>
    <w:rsid w:val="007D6EB5"/>
    <w:rsid w:val="007D7C97"/>
    <w:rsid w:val="007E09F0"/>
    <w:rsid w:val="007E11F3"/>
    <w:rsid w:val="007E1A34"/>
    <w:rsid w:val="007E2587"/>
    <w:rsid w:val="007E2C65"/>
    <w:rsid w:val="007E2C89"/>
    <w:rsid w:val="007E3484"/>
    <w:rsid w:val="007E35B6"/>
    <w:rsid w:val="007E3E9E"/>
    <w:rsid w:val="007E4424"/>
    <w:rsid w:val="007E4BB2"/>
    <w:rsid w:val="007E5322"/>
    <w:rsid w:val="007E5695"/>
    <w:rsid w:val="007E5DFF"/>
    <w:rsid w:val="007E5E84"/>
    <w:rsid w:val="007E6819"/>
    <w:rsid w:val="007E7690"/>
    <w:rsid w:val="007E7D39"/>
    <w:rsid w:val="007F0140"/>
    <w:rsid w:val="007F01F0"/>
    <w:rsid w:val="007F122C"/>
    <w:rsid w:val="007F15DF"/>
    <w:rsid w:val="007F22AF"/>
    <w:rsid w:val="007F24B4"/>
    <w:rsid w:val="007F430B"/>
    <w:rsid w:val="007F45DB"/>
    <w:rsid w:val="007F555F"/>
    <w:rsid w:val="007F6995"/>
    <w:rsid w:val="007F73E8"/>
    <w:rsid w:val="00801427"/>
    <w:rsid w:val="00801785"/>
    <w:rsid w:val="00802424"/>
    <w:rsid w:val="008029FD"/>
    <w:rsid w:val="00803615"/>
    <w:rsid w:val="00804688"/>
    <w:rsid w:val="008069AC"/>
    <w:rsid w:val="008075E9"/>
    <w:rsid w:val="00807E17"/>
    <w:rsid w:val="0081071A"/>
    <w:rsid w:val="00810BBA"/>
    <w:rsid w:val="00811298"/>
    <w:rsid w:val="00811717"/>
    <w:rsid w:val="00812C9B"/>
    <w:rsid w:val="008131EC"/>
    <w:rsid w:val="0081331E"/>
    <w:rsid w:val="008143CA"/>
    <w:rsid w:val="00814F5C"/>
    <w:rsid w:val="00815D19"/>
    <w:rsid w:val="00817690"/>
    <w:rsid w:val="00817961"/>
    <w:rsid w:val="00821B7A"/>
    <w:rsid w:val="008223DF"/>
    <w:rsid w:val="008227EF"/>
    <w:rsid w:val="00823563"/>
    <w:rsid w:val="00824715"/>
    <w:rsid w:val="00826829"/>
    <w:rsid w:val="008268CE"/>
    <w:rsid w:val="00826FF9"/>
    <w:rsid w:val="008276F0"/>
    <w:rsid w:val="008307DF"/>
    <w:rsid w:val="00830D14"/>
    <w:rsid w:val="00831B25"/>
    <w:rsid w:val="00832936"/>
    <w:rsid w:val="0083300D"/>
    <w:rsid w:val="00833049"/>
    <w:rsid w:val="008333BC"/>
    <w:rsid w:val="0083378E"/>
    <w:rsid w:val="00835DD1"/>
    <w:rsid w:val="008366EA"/>
    <w:rsid w:val="00836E36"/>
    <w:rsid w:val="008375A3"/>
    <w:rsid w:val="00837B6A"/>
    <w:rsid w:val="00837E38"/>
    <w:rsid w:val="00841158"/>
    <w:rsid w:val="008436C1"/>
    <w:rsid w:val="0084371E"/>
    <w:rsid w:val="00843D0C"/>
    <w:rsid w:val="00843F0C"/>
    <w:rsid w:val="00843F30"/>
    <w:rsid w:val="00844A06"/>
    <w:rsid w:val="0084583A"/>
    <w:rsid w:val="0084646A"/>
    <w:rsid w:val="008503E3"/>
    <w:rsid w:val="00851544"/>
    <w:rsid w:val="0085155B"/>
    <w:rsid w:val="00851DA0"/>
    <w:rsid w:val="008524DF"/>
    <w:rsid w:val="008548E1"/>
    <w:rsid w:val="00855A15"/>
    <w:rsid w:val="00855D09"/>
    <w:rsid w:val="00856E49"/>
    <w:rsid w:val="0086003A"/>
    <w:rsid w:val="00861911"/>
    <w:rsid w:val="00862014"/>
    <w:rsid w:val="00862763"/>
    <w:rsid w:val="00864882"/>
    <w:rsid w:val="00864F74"/>
    <w:rsid w:val="00864FFD"/>
    <w:rsid w:val="0086511B"/>
    <w:rsid w:val="00865803"/>
    <w:rsid w:val="00865B8C"/>
    <w:rsid w:val="00865D18"/>
    <w:rsid w:val="0086665E"/>
    <w:rsid w:val="008668EC"/>
    <w:rsid w:val="00870C32"/>
    <w:rsid w:val="0087171C"/>
    <w:rsid w:val="00871F72"/>
    <w:rsid w:val="008723F6"/>
    <w:rsid w:val="00873576"/>
    <w:rsid w:val="00874782"/>
    <w:rsid w:val="00874AEC"/>
    <w:rsid w:val="008758B4"/>
    <w:rsid w:val="00875D17"/>
    <w:rsid w:val="00877A65"/>
    <w:rsid w:val="0088020A"/>
    <w:rsid w:val="0088033A"/>
    <w:rsid w:val="0088209D"/>
    <w:rsid w:val="0088225E"/>
    <w:rsid w:val="00883609"/>
    <w:rsid w:val="0088387E"/>
    <w:rsid w:val="00885C78"/>
    <w:rsid w:val="00886B50"/>
    <w:rsid w:val="008908FA"/>
    <w:rsid w:val="00890B2C"/>
    <w:rsid w:val="00891F5D"/>
    <w:rsid w:val="0089312D"/>
    <w:rsid w:val="008937AB"/>
    <w:rsid w:val="00894BDA"/>
    <w:rsid w:val="00895609"/>
    <w:rsid w:val="008965AA"/>
    <w:rsid w:val="00896A57"/>
    <w:rsid w:val="00897A6A"/>
    <w:rsid w:val="00897E0B"/>
    <w:rsid w:val="00897F16"/>
    <w:rsid w:val="008A03E9"/>
    <w:rsid w:val="008A0FE4"/>
    <w:rsid w:val="008A1429"/>
    <w:rsid w:val="008A27EE"/>
    <w:rsid w:val="008A2E6E"/>
    <w:rsid w:val="008A396B"/>
    <w:rsid w:val="008A3EDC"/>
    <w:rsid w:val="008A3F34"/>
    <w:rsid w:val="008A5019"/>
    <w:rsid w:val="008A54B2"/>
    <w:rsid w:val="008A64A9"/>
    <w:rsid w:val="008A6980"/>
    <w:rsid w:val="008A7E82"/>
    <w:rsid w:val="008B095D"/>
    <w:rsid w:val="008B0D3C"/>
    <w:rsid w:val="008B0D7C"/>
    <w:rsid w:val="008B1510"/>
    <w:rsid w:val="008B1629"/>
    <w:rsid w:val="008B2561"/>
    <w:rsid w:val="008B2CD1"/>
    <w:rsid w:val="008B2DFF"/>
    <w:rsid w:val="008B2E14"/>
    <w:rsid w:val="008B2E34"/>
    <w:rsid w:val="008B38F6"/>
    <w:rsid w:val="008B3C82"/>
    <w:rsid w:val="008B3F20"/>
    <w:rsid w:val="008B4642"/>
    <w:rsid w:val="008B4C7A"/>
    <w:rsid w:val="008B5396"/>
    <w:rsid w:val="008B579D"/>
    <w:rsid w:val="008B761A"/>
    <w:rsid w:val="008C0616"/>
    <w:rsid w:val="008C0887"/>
    <w:rsid w:val="008C0C00"/>
    <w:rsid w:val="008C1705"/>
    <w:rsid w:val="008C185C"/>
    <w:rsid w:val="008C2BA0"/>
    <w:rsid w:val="008C3016"/>
    <w:rsid w:val="008C4CFD"/>
    <w:rsid w:val="008C561C"/>
    <w:rsid w:val="008C6730"/>
    <w:rsid w:val="008C696B"/>
    <w:rsid w:val="008C71B0"/>
    <w:rsid w:val="008D0B9C"/>
    <w:rsid w:val="008D1A54"/>
    <w:rsid w:val="008D1BA4"/>
    <w:rsid w:val="008D1E83"/>
    <w:rsid w:val="008D3D27"/>
    <w:rsid w:val="008D5305"/>
    <w:rsid w:val="008D5DD9"/>
    <w:rsid w:val="008D5E40"/>
    <w:rsid w:val="008D5FE1"/>
    <w:rsid w:val="008D68D5"/>
    <w:rsid w:val="008D6908"/>
    <w:rsid w:val="008D7843"/>
    <w:rsid w:val="008D79E4"/>
    <w:rsid w:val="008E0275"/>
    <w:rsid w:val="008E09DC"/>
    <w:rsid w:val="008E0ECC"/>
    <w:rsid w:val="008E16AA"/>
    <w:rsid w:val="008E213D"/>
    <w:rsid w:val="008E2DF0"/>
    <w:rsid w:val="008E2FCA"/>
    <w:rsid w:val="008E3B45"/>
    <w:rsid w:val="008E5048"/>
    <w:rsid w:val="008E54A9"/>
    <w:rsid w:val="008E55FE"/>
    <w:rsid w:val="008E58D1"/>
    <w:rsid w:val="008E5CCD"/>
    <w:rsid w:val="008E5D97"/>
    <w:rsid w:val="008E6801"/>
    <w:rsid w:val="008E6F29"/>
    <w:rsid w:val="008E7281"/>
    <w:rsid w:val="008E75B8"/>
    <w:rsid w:val="008E7C53"/>
    <w:rsid w:val="008F0219"/>
    <w:rsid w:val="008F07D3"/>
    <w:rsid w:val="008F182F"/>
    <w:rsid w:val="008F1F65"/>
    <w:rsid w:val="008F2464"/>
    <w:rsid w:val="008F25E7"/>
    <w:rsid w:val="008F29AE"/>
    <w:rsid w:val="008F38DC"/>
    <w:rsid w:val="008F3CB6"/>
    <w:rsid w:val="008F3E34"/>
    <w:rsid w:val="008F59EF"/>
    <w:rsid w:val="008F636C"/>
    <w:rsid w:val="008F75AE"/>
    <w:rsid w:val="008F7B80"/>
    <w:rsid w:val="008F7DEE"/>
    <w:rsid w:val="00900484"/>
    <w:rsid w:val="0090059F"/>
    <w:rsid w:val="00900704"/>
    <w:rsid w:val="00900C52"/>
    <w:rsid w:val="00900E46"/>
    <w:rsid w:val="00900F95"/>
    <w:rsid w:val="00900FDE"/>
    <w:rsid w:val="009018FB"/>
    <w:rsid w:val="00901A9B"/>
    <w:rsid w:val="00901E47"/>
    <w:rsid w:val="009026E1"/>
    <w:rsid w:val="00902DB3"/>
    <w:rsid w:val="0090382F"/>
    <w:rsid w:val="00904768"/>
    <w:rsid w:val="00904ACA"/>
    <w:rsid w:val="00904D6F"/>
    <w:rsid w:val="009051C3"/>
    <w:rsid w:val="00905E20"/>
    <w:rsid w:val="00906D07"/>
    <w:rsid w:val="009073F3"/>
    <w:rsid w:val="0091058E"/>
    <w:rsid w:val="0091113B"/>
    <w:rsid w:val="009117A2"/>
    <w:rsid w:val="00911E01"/>
    <w:rsid w:val="00911F3C"/>
    <w:rsid w:val="00912108"/>
    <w:rsid w:val="0091225A"/>
    <w:rsid w:val="009124E1"/>
    <w:rsid w:val="00912B98"/>
    <w:rsid w:val="00912E89"/>
    <w:rsid w:val="00913A68"/>
    <w:rsid w:val="009146FD"/>
    <w:rsid w:val="00914931"/>
    <w:rsid w:val="00914C05"/>
    <w:rsid w:val="009152DE"/>
    <w:rsid w:val="00915602"/>
    <w:rsid w:val="00915DD7"/>
    <w:rsid w:val="009161CC"/>
    <w:rsid w:val="00916330"/>
    <w:rsid w:val="009163E2"/>
    <w:rsid w:val="009169AA"/>
    <w:rsid w:val="00917342"/>
    <w:rsid w:val="009176ED"/>
    <w:rsid w:val="0092059F"/>
    <w:rsid w:val="00920C40"/>
    <w:rsid w:val="00921127"/>
    <w:rsid w:val="0092174F"/>
    <w:rsid w:val="00921F9F"/>
    <w:rsid w:val="009234D3"/>
    <w:rsid w:val="00925821"/>
    <w:rsid w:val="009259EE"/>
    <w:rsid w:val="009269F5"/>
    <w:rsid w:val="00926C1A"/>
    <w:rsid w:val="00926CB3"/>
    <w:rsid w:val="00927D29"/>
    <w:rsid w:val="00930EF4"/>
    <w:rsid w:val="0093181E"/>
    <w:rsid w:val="00931A40"/>
    <w:rsid w:val="009332E7"/>
    <w:rsid w:val="009335F9"/>
    <w:rsid w:val="00933959"/>
    <w:rsid w:val="00933BC1"/>
    <w:rsid w:val="00933E64"/>
    <w:rsid w:val="00933F48"/>
    <w:rsid w:val="009341BC"/>
    <w:rsid w:val="00934261"/>
    <w:rsid w:val="009343C7"/>
    <w:rsid w:val="009349FD"/>
    <w:rsid w:val="00935A6F"/>
    <w:rsid w:val="00936892"/>
    <w:rsid w:val="00937D22"/>
    <w:rsid w:val="00937EC6"/>
    <w:rsid w:val="00940EDB"/>
    <w:rsid w:val="00941DB4"/>
    <w:rsid w:val="00942304"/>
    <w:rsid w:val="009431DF"/>
    <w:rsid w:val="00943A15"/>
    <w:rsid w:val="00944109"/>
    <w:rsid w:val="009442B4"/>
    <w:rsid w:val="009447DA"/>
    <w:rsid w:val="0094484E"/>
    <w:rsid w:val="009456B1"/>
    <w:rsid w:val="00945CC1"/>
    <w:rsid w:val="00946722"/>
    <w:rsid w:val="00946F2A"/>
    <w:rsid w:val="0094751E"/>
    <w:rsid w:val="00950E81"/>
    <w:rsid w:val="00951306"/>
    <w:rsid w:val="0095160D"/>
    <w:rsid w:val="009516AA"/>
    <w:rsid w:val="00951B07"/>
    <w:rsid w:val="0095247F"/>
    <w:rsid w:val="009528A8"/>
    <w:rsid w:val="0095297E"/>
    <w:rsid w:val="009531DF"/>
    <w:rsid w:val="009540E2"/>
    <w:rsid w:val="009549FC"/>
    <w:rsid w:val="00954E72"/>
    <w:rsid w:val="00955241"/>
    <w:rsid w:val="00955FEB"/>
    <w:rsid w:val="00956337"/>
    <w:rsid w:val="00957666"/>
    <w:rsid w:val="00957ED1"/>
    <w:rsid w:val="009604B2"/>
    <w:rsid w:val="00960D16"/>
    <w:rsid w:val="00960E17"/>
    <w:rsid w:val="009615BF"/>
    <w:rsid w:val="009618EF"/>
    <w:rsid w:val="00962052"/>
    <w:rsid w:val="00962E32"/>
    <w:rsid w:val="0096430E"/>
    <w:rsid w:val="00964CE2"/>
    <w:rsid w:val="00964FD9"/>
    <w:rsid w:val="00965371"/>
    <w:rsid w:val="00965701"/>
    <w:rsid w:val="00965D0E"/>
    <w:rsid w:val="00965D85"/>
    <w:rsid w:val="009664AE"/>
    <w:rsid w:val="00966934"/>
    <w:rsid w:val="009675DD"/>
    <w:rsid w:val="0096792E"/>
    <w:rsid w:val="00967C25"/>
    <w:rsid w:val="00970174"/>
    <w:rsid w:val="00970F48"/>
    <w:rsid w:val="00970FA7"/>
    <w:rsid w:val="00971427"/>
    <w:rsid w:val="009728F1"/>
    <w:rsid w:val="00972D79"/>
    <w:rsid w:val="00973106"/>
    <w:rsid w:val="00973349"/>
    <w:rsid w:val="00973574"/>
    <w:rsid w:val="00973681"/>
    <w:rsid w:val="00973F20"/>
    <w:rsid w:val="00974D05"/>
    <w:rsid w:val="00975561"/>
    <w:rsid w:val="0097562F"/>
    <w:rsid w:val="009763BF"/>
    <w:rsid w:val="0097647E"/>
    <w:rsid w:val="009765DB"/>
    <w:rsid w:val="009765F7"/>
    <w:rsid w:val="009767CD"/>
    <w:rsid w:val="0098197B"/>
    <w:rsid w:val="00981ADE"/>
    <w:rsid w:val="00981BF9"/>
    <w:rsid w:val="009827FA"/>
    <w:rsid w:val="00984C1E"/>
    <w:rsid w:val="009870A7"/>
    <w:rsid w:val="00987191"/>
    <w:rsid w:val="00987366"/>
    <w:rsid w:val="0098767F"/>
    <w:rsid w:val="009914F2"/>
    <w:rsid w:val="00991BA2"/>
    <w:rsid w:val="009920AC"/>
    <w:rsid w:val="00993926"/>
    <w:rsid w:val="00995001"/>
    <w:rsid w:val="00995D05"/>
    <w:rsid w:val="00996C3B"/>
    <w:rsid w:val="00997BF7"/>
    <w:rsid w:val="009A0288"/>
    <w:rsid w:val="009A0C5C"/>
    <w:rsid w:val="009A120E"/>
    <w:rsid w:val="009A172F"/>
    <w:rsid w:val="009A1F74"/>
    <w:rsid w:val="009A38BD"/>
    <w:rsid w:val="009A3B71"/>
    <w:rsid w:val="009A4BBE"/>
    <w:rsid w:val="009A6324"/>
    <w:rsid w:val="009A6FAF"/>
    <w:rsid w:val="009A73D6"/>
    <w:rsid w:val="009B0BA8"/>
    <w:rsid w:val="009B1BE5"/>
    <w:rsid w:val="009B28C6"/>
    <w:rsid w:val="009B2A56"/>
    <w:rsid w:val="009B2AA5"/>
    <w:rsid w:val="009B2F49"/>
    <w:rsid w:val="009B39B7"/>
    <w:rsid w:val="009B3BF2"/>
    <w:rsid w:val="009B4DB5"/>
    <w:rsid w:val="009B59FE"/>
    <w:rsid w:val="009B5BCF"/>
    <w:rsid w:val="009B60D0"/>
    <w:rsid w:val="009B6205"/>
    <w:rsid w:val="009B6837"/>
    <w:rsid w:val="009C03BA"/>
    <w:rsid w:val="009C0E7A"/>
    <w:rsid w:val="009C10CB"/>
    <w:rsid w:val="009C10F2"/>
    <w:rsid w:val="009C13D4"/>
    <w:rsid w:val="009C25A0"/>
    <w:rsid w:val="009C337A"/>
    <w:rsid w:val="009C4066"/>
    <w:rsid w:val="009C4B5C"/>
    <w:rsid w:val="009C57C8"/>
    <w:rsid w:val="009C5CF0"/>
    <w:rsid w:val="009C751F"/>
    <w:rsid w:val="009D0784"/>
    <w:rsid w:val="009D094C"/>
    <w:rsid w:val="009D0CC5"/>
    <w:rsid w:val="009D1501"/>
    <w:rsid w:val="009D2386"/>
    <w:rsid w:val="009D258C"/>
    <w:rsid w:val="009D2BD1"/>
    <w:rsid w:val="009D2FC5"/>
    <w:rsid w:val="009D3AD3"/>
    <w:rsid w:val="009D3CDB"/>
    <w:rsid w:val="009D66D1"/>
    <w:rsid w:val="009D6C90"/>
    <w:rsid w:val="009D6D7C"/>
    <w:rsid w:val="009D7119"/>
    <w:rsid w:val="009D7357"/>
    <w:rsid w:val="009D740A"/>
    <w:rsid w:val="009D7439"/>
    <w:rsid w:val="009D7C05"/>
    <w:rsid w:val="009E0A4A"/>
    <w:rsid w:val="009E18B8"/>
    <w:rsid w:val="009E2383"/>
    <w:rsid w:val="009E263C"/>
    <w:rsid w:val="009E3B76"/>
    <w:rsid w:val="009E3EA5"/>
    <w:rsid w:val="009E4199"/>
    <w:rsid w:val="009E4D5F"/>
    <w:rsid w:val="009E5D14"/>
    <w:rsid w:val="009E5F14"/>
    <w:rsid w:val="009E6261"/>
    <w:rsid w:val="009E74D6"/>
    <w:rsid w:val="009E7817"/>
    <w:rsid w:val="009E7884"/>
    <w:rsid w:val="009E7A4D"/>
    <w:rsid w:val="009E7D8C"/>
    <w:rsid w:val="009E7F2F"/>
    <w:rsid w:val="009F1CC8"/>
    <w:rsid w:val="009F23EC"/>
    <w:rsid w:val="009F2515"/>
    <w:rsid w:val="009F37EF"/>
    <w:rsid w:val="009F4086"/>
    <w:rsid w:val="009F45C9"/>
    <w:rsid w:val="009F4887"/>
    <w:rsid w:val="009F4A75"/>
    <w:rsid w:val="009F4E1C"/>
    <w:rsid w:val="009F4E77"/>
    <w:rsid w:val="009F5F16"/>
    <w:rsid w:val="009F663B"/>
    <w:rsid w:val="009F6B56"/>
    <w:rsid w:val="009F6C71"/>
    <w:rsid w:val="009F6DB7"/>
    <w:rsid w:val="009F766F"/>
    <w:rsid w:val="009F782A"/>
    <w:rsid w:val="00A0000A"/>
    <w:rsid w:val="00A00544"/>
    <w:rsid w:val="00A00AE8"/>
    <w:rsid w:val="00A01B30"/>
    <w:rsid w:val="00A01E7D"/>
    <w:rsid w:val="00A02CA7"/>
    <w:rsid w:val="00A03063"/>
    <w:rsid w:val="00A03C95"/>
    <w:rsid w:val="00A03E27"/>
    <w:rsid w:val="00A03F7D"/>
    <w:rsid w:val="00A03FC6"/>
    <w:rsid w:val="00A05B21"/>
    <w:rsid w:val="00A062DF"/>
    <w:rsid w:val="00A07AE2"/>
    <w:rsid w:val="00A07C60"/>
    <w:rsid w:val="00A11898"/>
    <w:rsid w:val="00A11D2E"/>
    <w:rsid w:val="00A12788"/>
    <w:rsid w:val="00A12900"/>
    <w:rsid w:val="00A13A5C"/>
    <w:rsid w:val="00A1404F"/>
    <w:rsid w:val="00A14960"/>
    <w:rsid w:val="00A17285"/>
    <w:rsid w:val="00A17CEF"/>
    <w:rsid w:val="00A20242"/>
    <w:rsid w:val="00A218CF"/>
    <w:rsid w:val="00A21B54"/>
    <w:rsid w:val="00A21C67"/>
    <w:rsid w:val="00A235DE"/>
    <w:rsid w:val="00A23B6F"/>
    <w:rsid w:val="00A23D23"/>
    <w:rsid w:val="00A27547"/>
    <w:rsid w:val="00A277D7"/>
    <w:rsid w:val="00A279E2"/>
    <w:rsid w:val="00A27B93"/>
    <w:rsid w:val="00A27BB5"/>
    <w:rsid w:val="00A30F69"/>
    <w:rsid w:val="00A3189D"/>
    <w:rsid w:val="00A32EFA"/>
    <w:rsid w:val="00A33283"/>
    <w:rsid w:val="00A34542"/>
    <w:rsid w:val="00A357D6"/>
    <w:rsid w:val="00A359F2"/>
    <w:rsid w:val="00A36219"/>
    <w:rsid w:val="00A366F3"/>
    <w:rsid w:val="00A37102"/>
    <w:rsid w:val="00A37A2A"/>
    <w:rsid w:val="00A37ADF"/>
    <w:rsid w:val="00A37F2A"/>
    <w:rsid w:val="00A4098B"/>
    <w:rsid w:val="00A40F03"/>
    <w:rsid w:val="00A417F8"/>
    <w:rsid w:val="00A423F3"/>
    <w:rsid w:val="00A425D5"/>
    <w:rsid w:val="00A4273B"/>
    <w:rsid w:val="00A43338"/>
    <w:rsid w:val="00A43364"/>
    <w:rsid w:val="00A44F26"/>
    <w:rsid w:val="00A45C8A"/>
    <w:rsid w:val="00A4761A"/>
    <w:rsid w:val="00A477EE"/>
    <w:rsid w:val="00A50870"/>
    <w:rsid w:val="00A50B58"/>
    <w:rsid w:val="00A51BF5"/>
    <w:rsid w:val="00A51CFD"/>
    <w:rsid w:val="00A522CA"/>
    <w:rsid w:val="00A53B85"/>
    <w:rsid w:val="00A54789"/>
    <w:rsid w:val="00A54F5C"/>
    <w:rsid w:val="00A57562"/>
    <w:rsid w:val="00A575CE"/>
    <w:rsid w:val="00A57B4C"/>
    <w:rsid w:val="00A60225"/>
    <w:rsid w:val="00A609B4"/>
    <w:rsid w:val="00A61726"/>
    <w:rsid w:val="00A62B13"/>
    <w:rsid w:val="00A62BA9"/>
    <w:rsid w:val="00A63CD8"/>
    <w:rsid w:val="00A640AB"/>
    <w:rsid w:val="00A640C4"/>
    <w:rsid w:val="00A64D4F"/>
    <w:rsid w:val="00A652A2"/>
    <w:rsid w:val="00A65DA0"/>
    <w:rsid w:val="00A65E86"/>
    <w:rsid w:val="00A66EDE"/>
    <w:rsid w:val="00A67398"/>
    <w:rsid w:val="00A67DF9"/>
    <w:rsid w:val="00A7036E"/>
    <w:rsid w:val="00A70CEF"/>
    <w:rsid w:val="00A712DD"/>
    <w:rsid w:val="00A71598"/>
    <w:rsid w:val="00A71746"/>
    <w:rsid w:val="00A724C8"/>
    <w:rsid w:val="00A72657"/>
    <w:rsid w:val="00A7277E"/>
    <w:rsid w:val="00A74C01"/>
    <w:rsid w:val="00A75243"/>
    <w:rsid w:val="00A7586A"/>
    <w:rsid w:val="00A7596B"/>
    <w:rsid w:val="00A767A0"/>
    <w:rsid w:val="00A7717E"/>
    <w:rsid w:val="00A7761F"/>
    <w:rsid w:val="00A77823"/>
    <w:rsid w:val="00A8114E"/>
    <w:rsid w:val="00A81239"/>
    <w:rsid w:val="00A81D9D"/>
    <w:rsid w:val="00A824BF"/>
    <w:rsid w:val="00A830B5"/>
    <w:rsid w:val="00A841BE"/>
    <w:rsid w:val="00A852E3"/>
    <w:rsid w:val="00A85DE3"/>
    <w:rsid w:val="00A85F9A"/>
    <w:rsid w:val="00A867AF"/>
    <w:rsid w:val="00A869AA"/>
    <w:rsid w:val="00A86D6B"/>
    <w:rsid w:val="00A870E0"/>
    <w:rsid w:val="00A87531"/>
    <w:rsid w:val="00A91505"/>
    <w:rsid w:val="00A91B03"/>
    <w:rsid w:val="00A920FE"/>
    <w:rsid w:val="00A964D9"/>
    <w:rsid w:val="00A96770"/>
    <w:rsid w:val="00A97BED"/>
    <w:rsid w:val="00AA2D4A"/>
    <w:rsid w:val="00AA3A31"/>
    <w:rsid w:val="00AA51D1"/>
    <w:rsid w:val="00AA6CC6"/>
    <w:rsid w:val="00AA6ED7"/>
    <w:rsid w:val="00AA759F"/>
    <w:rsid w:val="00AA7651"/>
    <w:rsid w:val="00AA775C"/>
    <w:rsid w:val="00AB0F75"/>
    <w:rsid w:val="00AB1553"/>
    <w:rsid w:val="00AB1F98"/>
    <w:rsid w:val="00AB3EC0"/>
    <w:rsid w:val="00AB5259"/>
    <w:rsid w:val="00AB57A8"/>
    <w:rsid w:val="00AB58FF"/>
    <w:rsid w:val="00AB5B21"/>
    <w:rsid w:val="00AB5D21"/>
    <w:rsid w:val="00AB682F"/>
    <w:rsid w:val="00AB791A"/>
    <w:rsid w:val="00AB7A99"/>
    <w:rsid w:val="00AB7B4B"/>
    <w:rsid w:val="00AC0A45"/>
    <w:rsid w:val="00AC0EBE"/>
    <w:rsid w:val="00AC14EE"/>
    <w:rsid w:val="00AC1E14"/>
    <w:rsid w:val="00AC298A"/>
    <w:rsid w:val="00AC3531"/>
    <w:rsid w:val="00AC4303"/>
    <w:rsid w:val="00AC4571"/>
    <w:rsid w:val="00AC495A"/>
    <w:rsid w:val="00AC49A1"/>
    <w:rsid w:val="00AC49B4"/>
    <w:rsid w:val="00AC55C4"/>
    <w:rsid w:val="00AC6EAF"/>
    <w:rsid w:val="00AC765F"/>
    <w:rsid w:val="00AD017B"/>
    <w:rsid w:val="00AD085B"/>
    <w:rsid w:val="00AD11BA"/>
    <w:rsid w:val="00AD120A"/>
    <w:rsid w:val="00AD174B"/>
    <w:rsid w:val="00AD21A3"/>
    <w:rsid w:val="00AD47C9"/>
    <w:rsid w:val="00AD51D2"/>
    <w:rsid w:val="00AD67E9"/>
    <w:rsid w:val="00AD6FBE"/>
    <w:rsid w:val="00AD6FF0"/>
    <w:rsid w:val="00AD79C8"/>
    <w:rsid w:val="00AD7DDE"/>
    <w:rsid w:val="00AE0669"/>
    <w:rsid w:val="00AE092C"/>
    <w:rsid w:val="00AE1088"/>
    <w:rsid w:val="00AE16EA"/>
    <w:rsid w:val="00AE1D72"/>
    <w:rsid w:val="00AE3B59"/>
    <w:rsid w:val="00AE4236"/>
    <w:rsid w:val="00AE4FDD"/>
    <w:rsid w:val="00AE54E4"/>
    <w:rsid w:val="00AE7161"/>
    <w:rsid w:val="00AE728C"/>
    <w:rsid w:val="00AF0456"/>
    <w:rsid w:val="00AF2897"/>
    <w:rsid w:val="00AF2DD1"/>
    <w:rsid w:val="00AF2F56"/>
    <w:rsid w:val="00AF3360"/>
    <w:rsid w:val="00AF3B2E"/>
    <w:rsid w:val="00AF43E0"/>
    <w:rsid w:val="00AF4747"/>
    <w:rsid w:val="00AF47A6"/>
    <w:rsid w:val="00AF636F"/>
    <w:rsid w:val="00AF6376"/>
    <w:rsid w:val="00AF68F8"/>
    <w:rsid w:val="00AF766E"/>
    <w:rsid w:val="00AF7E90"/>
    <w:rsid w:val="00B001FC"/>
    <w:rsid w:val="00B00BFF"/>
    <w:rsid w:val="00B0170C"/>
    <w:rsid w:val="00B017F8"/>
    <w:rsid w:val="00B01E95"/>
    <w:rsid w:val="00B02921"/>
    <w:rsid w:val="00B02E24"/>
    <w:rsid w:val="00B031B7"/>
    <w:rsid w:val="00B03B77"/>
    <w:rsid w:val="00B049D6"/>
    <w:rsid w:val="00B04FFD"/>
    <w:rsid w:val="00B05104"/>
    <w:rsid w:val="00B05A5F"/>
    <w:rsid w:val="00B06FEE"/>
    <w:rsid w:val="00B070AD"/>
    <w:rsid w:val="00B079D4"/>
    <w:rsid w:val="00B10DAC"/>
    <w:rsid w:val="00B11898"/>
    <w:rsid w:val="00B119CF"/>
    <w:rsid w:val="00B126D6"/>
    <w:rsid w:val="00B12BE2"/>
    <w:rsid w:val="00B13A4C"/>
    <w:rsid w:val="00B13FD4"/>
    <w:rsid w:val="00B147D6"/>
    <w:rsid w:val="00B14CA1"/>
    <w:rsid w:val="00B15372"/>
    <w:rsid w:val="00B156DB"/>
    <w:rsid w:val="00B158BC"/>
    <w:rsid w:val="00B16279"/>
    <w:rsid w:val="00B162E4"/>
    <w:rsid w:val="00B17069"/>
    <w:rsid w:val="00B1784A"/>
    <w:rsid w:val="00B20A79"/>
    <w:rsid w:val="00B20B8F"/>
    <w:rsid w:val="00B2325F"/>
    <w:rsid w:val="00B233B9"/>
    <w:rsid w:val="00B2483B"/>
    <w:rsid w:val="00B249E8"/>
    <w:rsid w:val="00B25EE8"/>
    <w:rsid w:val="00B25FE1"/>
    <w:rsid w:val="00B2679E"/>
    <w:rsid w:val="00B2699F"/>
    <w:rsid w:val="00B269B6"/>
    <w:rsid w:val="00B26BD9"/>
    <w:rsid w:val="00B26F1C"/>
    <w:rsid w:val="00B30058"/>
    <w:rsid w:val="00B30208"/>
    <w:rsid w:val="00B3102A"/>
    <w:rsid w:val="00B31184"/>
    <w:rsid w:val="00B315BD"/>
    <w:rsid w:val="00B3186A"/>
    <w:rsid w:val="00B32A4A"/>
    <w:rsid w:val="00B32BAC"/>
    <w:rsid w:val="00B32E21"/>
    <w:rsid w:val="00B339B6"/>
    <w:rsid w:val="00B353C9"/>
    <w:rsid w:val="00B35D0A"/>
    <w:rsid w:val="00B35E68"/>
    <w:rsid w:val="00B36A64"/>
    <w:rsid w:val="00B37732"/>
    <w:rsid w:val="00B40BD5"/>
    <w:rsid w:val="00B43B02"/>
    <w:rsid w:val="00B43F95"/>
    <w:rsid w:val="00B44793"/>
    <w:rsid w:val="00B46C30"/>
    <w:rsid w:val="00B46CE3"/>
    <w:rsid w:val="00B470C1"/>
    <w:rsid w:val="00B50AED"/>
    <w:rsid w:val="00B515C6"/>
    <w:rsid w:val="00B519D2"/>
    <w:rsid w:val="00B51C87"/>
    <w:rsid w:val="00B52034"/>
    <w:rsid w:val="00B54009"/>
    <w:rsid w:val="00B543B3"/>
    <w:rsid w:val="00B548EB"/>
    <w:rsid w:val="00B551EB"/>
    <w:rsid w:val="00B569F6"/>
    <w:rsid w:val="00B56A34"/>
    <w:rsid w:val="00B56D57"/>
    <w:rsid w:val="00B56EE6"/>
    <w:rsid w:val="00B57501"/>
    <w:rsid w:val="00B57880"/>
    <w:rsid w:val="00B579E5"/>
    <w:rsid w:val="00B57CF3"/>
    <w:rsid w:val="00B6064B"/>
    <w:rsid w:val="00B6081A"/>
    <w:rsid w:val="00B60ACE"/>
    <w:rsid w:val="00B61CF3"/>
    <w:rsid w:val="00B61E41"/>
    <w:rsid w:val="00B62B5B"/>
    <w:rsid w:val="00B63791"/>
    <w:rsid w:val="00B64276"/>
    <w:rsid w:val="00B642A5"/>
    <w:rsid w:val="00B6485B"/>
    <w:rsid w:val="00B65D73"/>
    <w:rsid w:val="00B660D9"/>
    <w:rsid w:val="00B66215"/>
    <w:rsid w:val="00B6698C"/>
    <w:rsid w:val="00B66DD7"/>
    <w:rsid w:val="00B70670"/>
    <w:rsid w:val="00B70733"/>
    <w:rsid w:val="00B71884"/>
    <w:rsid w:val="00B71A8C"/>
    <w:rsid w:val="00B73D00"/>
    <w:rsid w:val="00B73DD4"/>
    <w:rsid w:val="00B743EA"/>
    <w:rsid w:val="00B74A26"/>
    <w:rsid w:val="00B76039"/>
    <w:rsid w:val="00B763AB"/>
    <w:rsid w:val="00B771A4"/>
    <w:rsid w:val="00B77ED0"/>
    <w:rsid w:val="00B80122"/>
    <w:rsid w:val="00B80588"/>
    <w:rsid w:val="00B80C87"/>
    <w:rsid w:val="00B816CD"/>
    <w:rsid w:val="00B821A2"/>
    <w:rsid w:val="00B8234C"/>
    <w:rsid w:val="00B8282C"/>
    <w:rsid w:val="00B82D50"/>
    <w:rsid w:val="00B83CBB"/>
    <w:rsid w:val="00B84A3B"/>
    <w:rsid w:val="00B84BF0"/>
    <w:rsid w:val="00B851CF"/>
    <w:rsid w:val="00B85203"/>
    <w:rsid w:val="00B85373"/>
    <w:rsid w:val="00B856CF"/>
    <w:rsid w:val="00B866B1"/>
    <w:rsid w:val="00B8696C"/>
    <w:rsid w:val="00B8751D"/>
    <w:rsid w:val="00B87A33"/>
    <w:rsid w:val="00B90696"/>
    <w:rsid w:val="00B92CCE"/>
    <w:rsid w:val="00B9363B"/>
    <w:rsid w:val="00B93A58"/>
    <w:rsid w:val="00B95981"/>
    <w:rsid w:val="00B95C9B"/>
    <w:rsid w:val="00B96585"/>
    <w:rsid w:val="00B96A84"/>
    <w:rsid w:val="00B97367"/>
    <w:rsid w:val="00B97E95"/>
    <w:rsid w:val="00BA0489"/>
    <w:rsid w:val="00BA28E5"/>
    <w:rsid w:val="00BA2AE3"/>
    <w:rsid w:val="00BA3D66"/>
    <w:rsid w:val="00BA3F3F"/>
    <w:rsid w:val="00BA4031"/>
    <w:rsid w:val="00BA4033"/>
    <w:rsid w:val="00BA4092"/>
    <w:rsid w:val="00BA42A4"/>
    <w:rsid w:val="00BA48DD"/>
    <w:rsid w:val="00BA495D"/>
    <w:rsid w:val="00BA5AB0"/>
    <w:rsid w:val="00BA67BE"/>
    <w:rsid w:val="00BB31F6"/>
    <w:rsid w:val="00BB32FF"/>
    <w:rsid w:val="00BB4013"/>
    <w:rsid w:val="00BB4150"/>
    <w:rsid w:val="00BB471B"/>
    <w:rsid w:val="00BB5612"/>
    <w:rsid w:val="00BB587C"/>
    <w:rsid w:val="00BB5AFB"/>
    <w:rsid w:val="00BB5DA7"/>
    <w:rsid w:val="00BB7969"/>
    <w:rsid w:val="00BB7F8C"/>
    <w:rsid w:val="00BC061D"/>
    <w:rsid w:val="00BC0A4A"/>
    <w:rsid w:val="00BC0BDF"/>
    <w:rsid w:val="00BC0D14"/>
    <w:rsid w:val="00BC0E33"/>
    <w:rsid w:val="00BC1832"/>
    <w:rsid w:val="00BC2582"/>
    <w:rsid w:val="00BC28F4"/>
    <w:rsid w:val="00BC4AE8"/>
    <w:rsid w:val="00BC4D96"/>
    <w:rsid w:val="00BC4F48"/>
    <w:rsid w:val="00BC61ED"/>
    <w:rsid w:val="00BC6452"/>
    <w:rsid w:val="00BD0F11"/>
    <w:rsid w:val="00BD11DE"/>
    <w:rsid w:val="00BD1374"/>
    <w:rsid w:val="00BD158A"/>
    <w:rsid w:val="00BD1A97"/>
    <w:rsid w:val="00BD2197"/>
    <w:rsid w:val="00BD23FA"/>
    <w:rsid w:val="00BD26B0"/>
    <w:rsid w:val="00BD2EFF"/>
    <w:rsid w:val="00BD531F"/>
    <w:rsid w:val="00BD645C"/>
    <w:rsid w:val="00BD64E8"/>
    <w:rsid w:val="00BD7FFD"/>
    <w:rsid w:val="00BE03AA"/>
    <w:rsid w:val="00BE12A9"/>
    <w:rsid w:val="00BE1833"/>
    <w:rsid w:val="00BE195B"/>
    <w:rsid w:val="00BE202D"/>
    <w:rsid w:val="00BE28FF"/>
    <w:rsid w:val="00BE2EF3"/>
    <w:rsid w:val="00BE36DE"/>
    <w:rsid w:val="00BE3762"/>
    <w:rsid w:val="00BE394B"/>
    <w:rsid w:val="00BE39C0"/>
    <w:rsid w:val="00BE4800"/>
    <w:rsid w:val="00BE5824"/>
    <w:rsid w:val="00BE643F"/>
    <w:rsid w:val="00BE6C04"/>
    <w:rsid w:val="00BE7343"/>
    <w:rsid w:val="00BF151E"/>
    <w:rsid w:val="00BF22AC"/>
    <w:rsid w:val="00BF234A"/>
    <w:rsid w:val="00BF2A88"/>
    <w:rsid w:val="00BF4B9F"/>
    <w:rsid w:val="00BF5395"/>
    <w:rsid w:val="00BF577B"/>
    <w:rsid w:val="00BF58F7"/>
    <w:rsid w:val="00BF6362"/>
    <w:rsid w:val="00BF7367"/>
    <w:rsid w:val="00BF78E5"/>
    <w:rsid w:val="00C00039"/>
    <w:rsid w:val="00C003F5"/>
    <w:rsid w:val="00C01D98"/>
    <w:rsid w:val="00C02660"/>
    <w:rsid w:val="00C02A46"/>
    <w:rsid w:val="00C0323E"/>
    <w:rsid w:val="00C03394"/>
    <w:rsid w:val="00C04F03"/>
    <w:rsid w:val="00C06254"/>
    <w:rsid w:val="00C07165"/>
    <w:rsid w:val="00C101F9"/>
    <w:rsid w:val="00C10533"/>
    <w:rsid w:val="00C10BD1"/>
    <w:rsid w:val="00C116FD"/>
    <w:rsid w:val="00C11CBA"/>
    <w:rsid w:val="00C12DFC"/>
    <w:rsid w:val="00C13A33"/>
    <w:rsid w:val="00C13E9C"/>
    <w:rsid w:val="00C15196"/>
    <w:rsid w:val="00C15D9E"/>
    <w:rsid w:val="00C17BE4"/>
    <w:rsid w:val="00C17D62"/>
    <w:rsid w:val="00C17F72"/>
    <w:rsid w:val="00C200FC"/>
    <w:rsid w:val="00C20183"/>
    <w:rsid w:val="00C209CE"/>
    <w:rsid w:val="00C2173D"/>
    <w:rsid w:val="00C21C3F"/>
    <w:rsid w:val="00C223C5"/>
    <w:rsid w:val="00C23899"/>
    <w:rsid w:val="00C24A79"/>
    <w:rsid w:val="00C24C08"/>
    <w:rsid w:val="00C250F8"/>
    <w:rsid w:val="00C26403"/>
    <w:rsid w:val="00C26617"/>
    <w:rsid w:val="00C2675F"/>
    <w:rsid w:val="00C26856"/>
    <w:rsid w:val="00C26A03"/>
    <w:rsid w:val="00C2764C"/>
    <w:rsid w:val="00C27F79"/>
    <w:rsid w:val="00C3036B"/>
    <w:rsid w:val="00C3076E"/>
    <w:rsid w:val="00C3124E"/>
    <w:rsid w:val="00C32DA9"/>
    <w:rsid w:val="00C337AB"/>
    <w:rsid w:val="00C33851"/>
    <w:rsid w:val="00C33A80"/>
    <w:rsid w:val="00C343D8"/>
    <w:rsid w:val="00C346DD"/>
    <w:rsid w:val="00C34B5B"/>
    <w:rsid w:val="00C34E4E"/>
    <w:rsid w:val="00C3513A"/>
    <w:rsid w:val="00C36D08"/>
    <w:rsid w:val="00C37556"/>
    <w:rsid w:val="00C3772D"/>
    <w:rsid w:val="00C37DD6"/>
    <w:rsid w:val="00C37F5E"/>
    <w:rsid w:val="00C37FB9"/>
    <w:rsid w:val="00C40ACC"/>
    <w:rsid w:val="00C4139D"/>
    <w:rsid w:val="00C425F0"/>
    <w:rsid w:val="00C42885"/>
    <w:rsid w:val="00C42F1F"/>
    <w:rsid w:val="00C43503"/>
    <w:rsid w:val="00C43B80"/>
    <w:rsid w:val="00C43EF1"/>
    <w:rsid w:val="00C44586"/>
    <w:rsid w:val="00C44AA0"/>
    <w:rsid w:val="00C44CDF"/>
    <w:rsid w:val="00C454C6"/>
    <w:rsid w:val="00C4670B"/>
    <w:rsid w:val="00C46E9B"/>
    <w:rsid w:val="00C47BD5"/>
    <w:rsid w:val="00C5007A"/>
    <w:rsid w:val="00C5013B"/>
    <w:rsid w:val="00C51706"/>
    <w:rsid w:val="00C5193F"/>
    <w:rsid w:val="00C52119"/>
    <w:rsid w:val="00C52DC7"/>
    <w:rsid w:val="00C54C44"/>
    <w:rsid w:val="00C555CB"/>
    <w:rsid w:val="00C5560D"/>
    <w:rsid w:val="00C55C87"/>
    <w:rsid w:val="00C565EC"/>
    <w:rsid w:val="00C56840"/>
    <w:rsid w:val="00C60FC8"/>
    <w:rsid w:val="00C61B52"/>
    <w:rsid w:val="00C628BC"/>
    <w:rsid w:val="00C62AD9"/>
    <w:rsid w:val="00C64265"/>
    <w:rsid w:val="00C65DFF"/>
    <w:rsid w:val="00C65F0C"/>
    <w:rsid w:val="00C71629"/>
    <w:rsid w:val="00C72D9D"/>
    <w:rsid w:val="00C73028"/>
    <w:rsid w:val="00C73991"/>
    <w:rsid w:val="00C73BA1"/>
    <w:rsid w:val="00C749D1"/>
    <w:rsid w:val="00C7527B"/>
    <w:rsid w:val="00C76241"/>
    <w:rsid w:val="00C769C6"/>
    <w:rsid w:val="00C76AFC"/>
    <w:rsid w:val="00C7714F"/>
    <w:rsid w:val="00C7783A"/>
    <w:rsid w:val="00C77BDE"/>
    <w:rsid w:val="00C80D02"/>
    <w:rsid w:val="00C821C4"/>
    <w:rsid w:val="00C82885"/>
    <w:rsid w:val="00C83C51"/>
    <w:rsid w:val="00C85176"/>
    <w:rsid w:val="00C8572F"/>
    <w:rsid w:val="00C85A8F"/>
    <w:rsid w:val="00C86398"/>
    <w:rsid w:val="00C87543"/>
    <w:rsid w:val="00C87C00"/>
    <w:rsid w:val="00C87CD6"/>
    <w:rsid w:val="00C87DFD"/>
    <w:rsid w:val="00C90D10"/>
    <w:rsid w:val="00C92267"/>
    <w:rsid w:val="00C92537"/>
    <w:rsid w:val="00C93E24"/>
    <w:rsid w:val="00C94045"/>
    <w:rsid w:val="00C94C04"/>
    <w:rsid w:val="00C956C3"/>
    <w:rsid w:val="00C95DB7"/>
    <w:rsid w:val="00C95F24"/>
    <w:rsid w:val="00C96607"/>
    <w:rsid w:val="00C96BA3"/>
    <w:rsid w:val="00C96D89"/>
    <w:rsid w:val="00C97F20"/>
    <w:rsid w:val="00CA05C7"/>
    <w:rsid w:val="00CA09A7"/>
    <w:rsid w:val="00CA1513"/>
    <w:rsid w:val="00CA16A4"/>
    <w:rsid w:val="00CA1FE9"/>
    <w:rsid w:val="00CA261A"/>
    <w:rsid w:val="00CA2F9A"/>
    <w:rsid w:val="00CA310A"/>
    <w:rsid w:val="00CA36D1"/>
    <w:rsid w:val="00CA3E84"/>
    <w:rsid w:val="00CA53C0"/>
    <w:rsid w:val="00CA5FCE"/>
    <w:rsid w:val="00CB0242"/>
    <w:rsid w:val="00CB0D9C"/>
    <w:rsid w:val="00CB0E9B"/>
    <w:rsid w:val="00CB1587"/>
    <w:rsid w:val="00CB2164"/>
    <w:rsid w:val="00CB48DC"/>
    <w:rsid w:val="00CB5199"/>
    <w:rsid w:val="00CB58A9"/>
    <w:rsid w:val="00CB5962"/>
    <w:rsid w:val="00CB78B0"/>
    <w:rsid w:val="00CC0B36"/>
    <w:rsid w:val="00CC19FF"/>
    <w:rsid w:val="00CC214E"/>
    <w:rsid w:val="00CC2727"/>
    <w:rsid w:val="00CC429B"/>
    <w:rsid w:val="00CC4564"/>
    <w:rsid w:val="00CC5B01"/>
    <w:rsid w:val="00CC5D78"/>
    <w:rsid w:val="00CC68A5"/>
    <w:rsid w:val="00CC7232"/>
    <w:rsid w:val="00CD0A52"/>
    <w:rsid w:val="00CD1137"/>
    <w:rsid w:val="00CD2307"/>
    <w:rsid w:val="00CD23FF"/>
    <w:rsid w:val="00CD34FC"/>
    <w:rsid w:val="00CD3CF7"/>
    <w:rsid w:val="00CD46AA"/>
    <w:rsid w:val="00CD4D90"/>
    <w:rsid w:val="00CD5388"/>
    <w:rsid w:val="00CD559E"/>
    <w:rsid w:val="00CD5961"/>
    <w:rsid w:val="00CD5C5E"/>
    <w:rsid w:val="00CD5D15"/>
    <w:rsid w:val="00CD6BF7"/>
    <w:rsid w:val="00CD728A"/>
    <w:rsid w:val="00CD7952"/>
    <w:rsid w:val="00CD7BF4"/>
    <w:rsid w:val="00CD7D7F"/>
    <w:rsid w:val="00CE103E"/>
    <w:rsid w:val="00CE154C"/>
    <w:rsid w:val="00CE18D5"/>
    <w:rsid w:val="00CE1A24"/>
    <w:rsid w:val="00CE1C9D"/>
    <w:rsid w:val="00CE2285"/>
    <w:rsid w:val="00CE2789"/>
    <w:rsid w:val="00CE37D7"/>
    <w:rsid w:val="00CE3AC8"/>
    <w:rsid w:val="00CE5B40"/>
    <w:rsid w:val="00CE64AF"/>
    <w:rsid w:val="00CE6A99"/>
    <w:rsid w:val="00CE724B"/>
    <w:rsid w:val="00CE75F8"/>
    <w:rsid w:val="00CE7F7C"/>
    <w:rsid w:val="00CF083B"/>
    <w:rsid w:val="00CF1220"/>
    <w:rsid w:val="00CF1A39"/>
    <w:rsid w:val="00CF2E8C"/>
    <w:rsid w:val="00CF4948"/>
    <w:rsid w:val="00CF5405"/>
    <w:rsid w:val="00CF5505"/>
    <w:rsid w:val="00CF5938"/>
    <w:rsid w:val="00CF5BF0"/>
    <w:rsid w:val="00CF78A2"/>
    <w:rsid w:val="00CF78DC"/>
    <w:rsid w:val="00D0082C"/>
    <w:rsid w:val="00D0165B"/>
    <w:rsid w:val="00D0227A"/>
    <w:rsid w:val="00D026BE"/>
    <w:rsid w:val="00D033F9"/>
    <w:rsid w:val="00D0374F"/>
    <w:rsid w:val="00D038CB"/>
    <w:rsid w:val="00D03DCD"/>
    <w:rsid w:val="00D04A11"/>
    <w:rsid w:val="00D04F99"/>
    <w:rsid w:val="00D0501F"/>
    <w:rsid w:val="00D057F6"/>
    <w:rsid w:val="00D07128"/>
    <w:rsid w:val="00D076BA"/>
    <w:rsid w:val="00D10D52"/>
    <w:rsid w:val="00D11D2E"/>
    <w:rsid w:val="00D11F42"/>
    <w:rsid w:val="00D14475"/>
    <w:rsid w:val="00D146BD"/>
    <w:rsid w:val="00D14D05"/>
    <w:rsid w:val="00D15136"/>
    <w:rsid w:val="00D15B18"/>
    <w:rsid w:val="00D1600F"/>
    <w:rsid w:val="00D1749D"/>
    <w:rsid w:val="00D17CFE"/>
    <w:rsid w:val="00D20160"/>
    <w:rsid w:val="00D20B51"/>
    <w:rsid w:val="00D20E2E"/>
    <w:rsid w:val="00D21A87"/>
    <w:rsid w:val="00D221C0"/>
    <w:rsid w:val="00D22A53"/>
    <w:rsid w:val="00D23579"/>
    <w:rsid w:val="00D23C0E"/>
    <w:rsid w:val="00D24042"/>
    <w:rsid w:val="00D2439D"/>
    <w:rsid w:val="00D2463A"/>
    <w:rsid w:val="00D2599A"/>
    <w:rsid w:val="00D25BC6"/>
    <w:rsid w:val="00D25C0C"/>
    <w:rsid w:val="00D26D85"/>
    <w:rsid w:val="00D26E80"/>
    <w:rsid w:val="00D27A9A"/>
    <w:rsid w:val="00D27FEF"/>
    <w:rsid w:val="00D303F6"/>
    <w:rsid w:val="00D30830"/>
    <w:rsid w:val="00D31108"/>
    <w:rsid w:val="00D318FB"/>
    <w:rsid w:val="00D3258E"/>
    <w:rsid w:val="00D33925"/>
    <w:rsid w:val="00D33FD2"/>
    <w:rsid w:val="00D34A7B"/>
    <w:rsid w:val="00D36ED9"/>
    <w:rsid w:val="00D37EB6"/>
    <w:rsid w:val="00D37FBB"/>
    <w:rsid w:val="00D40606"/>
    <w:rsid w:val="00D40C39"/>
    <w:rsid w:val="00D40FE6"/>
    <w:rsid w:val="00D4192E"/>
    <w:rsid w:val="00D41A20"/>
    <w:rsid w:val="00D41B16"/>
    <w:rsid w:val="00D42485"/>
    <w:rsid w:val="00D424AA"/>
    <w:rsid w:val="00D4293F"/>
    <w:rsid w:val="00D43897"/>
    <w:rsid w:val="00D43F4A"/>
    <w:rsid w:val="00D449D5"/>
    <w:rsid w:val="00D44ADC"/>
    <w:rsid w:val="00D44F36"/>
    <w:rsid w:val="00D450D0"/>
    <w:rsid w:val="00D45380"/>
    <w:rsid w:val="00D45584"/>
    <w:rsid w:val="00D459A7"/>
    <w:rsid w:val="00D469BF"/>
    <w:rsid w:val="00D46EF3"/>
    <w:rsid w:val="00D47311"/>
    <w:rsid w:val="00D50134"/>
    <w:rsid w:val="00D50E15"/>
    <w:rsid w:val="00D527D8"/>
    <w:rsid w:val="00D52BA6"/>
    <w:rsid w:val="00D53E77"/>
    <w:rsid w:val="00D54339"/>
    <w:rsid w:val="00D545CE"/>
    <w:rsid w:val="00D55299"/>
    <w:rsid w:val="00D566AA"/>
    <w:rsid w:val="00D57515"/>
    <w:rsid w:val="00D60552"/>
    <w:rsid w:val="00D60555"/>
    <w:rsid w:val="00D6095A"/>
    <w:rsid w:val="00D6119F"/>
    <w:rsid w:val="00D62551"/>
    <w:rsid w:val="00D63C34"/>
    <w:rsid w:val="00D63DD6"/>
    <w:rsid w:val="00D64FAA"/>
    <w:rsid w:val="00D65718"/>
    <w:rsid w:val="00D669BE"/>
    <w:rsid w:val="00D66CE0"/>
    <w:rsid w:val="00D66D5A"/>
    <w:rsid w:val="00D676D8"/>
    <w:rsid w:val="00D67B4B"/>
    <w:rsid w:val="00D67E7B"/>
    <w:rsid w:val="00D7024F"/>
    <w:rsid w:val="00D7027B"/>
    <w:rsid w:val="00D70839"/>
    <w:rsid w:val="00D70970"/>
    <w:rsid w:val="00D70EE4"/>
    <w:rsid w:val="00D70FDA"/>
    <w:rsid w:val="00D71F2D"/>
    <w:rsid w:val="00D721EB"/>
    <w:rsid w:val="00D72534"/>
    <w:rsid w:val="00D73545"/>
    <w:rsid w:val="00D73681"/>
    <w:rsid w:val="00D738A4"/>
    <w:rsid w:val="00D74824"/>
    <w:rsid w:val="00D74B92"/>
    <w:rsid w:val="00D758DC"/>
    <w:rsid w:val="00D75917"/>
    <w:rsid w:val="00D75D9B"/>
    <w:rsid w:val="00D75F40"/>
    <w:rsid w:val="00D767A2"/>
    <w:rsid w:val="00D76A6A"/>
    <w:rsid w:val="00D76B59"/>
    <w:rsid w:val="00D775F3"/>
    <w:rsid w:val="00D7794C"/>
    <w:rsid w:val="00D77DCE"/>
    <w:rsid w:val="00D80454"/>
    <w:rsid w:val="00D81B5C"/>
    <w:rsid w:val="00D82B0F"/>
    <w:rsid w:val="00D82E6B"/>
    <w:rsid w:val="00D83974"/>
    <w:rsid w:val="00D84332"/>
    <w:rsid w:val="00D86BE9"/>
    <w:rsid w:val="00D870B5"/>
    <w:rsid w:val="00D87984"/>
    <w:rsid w:val="00D87AE9"/>
    <w:rsid w:val="00D90D8F"/>
    <w:rsid w:val="00D90DCA"/>
    <w:rsid w:val="00D91E57"/>
    <w:rsid w:val="00D927DA"/>
    <w:rsid w:val="00D92BB0"/>
    <w:rsid w:val="00D932D9"/>
    <w:rsid w:val="00D93456"/>
    <w:rsid w:val="00D93811"/>
    <w:rsid w:val="00D941E5"/>
    <w:rsid w:val="00D94ABC"/>
    <w:rsid w:val="00D94FC4"/>
    <w:rsid w:val="00D9541C"/>
    <w:rsid w:val="00D95A3A"/>
    <w:rsid w:val="00D96D8B"/>
    <w:rsid w:val="00D97582"/>
    <w:rsid w:val="00D977C1"/>
    <w:rsid w:val="00DA1C67"/>
    <w:rsid w:val="00DA1D2C"/>
    <w:rsid w:val="00DA21A2"/>
    <w:rsid w:val="00DA2A6B"/>
    <w:rsid w:val="00DA3133"/>
    <w:rsid w:val="00DA3D50"/>
    <w:rsid w:val="00DA4CAA"/>
    <w:rsid w:val="00DA4E2A"/>
    <w:rsid w:val="00DA4FDE"/>
    <w:rsid w:val="00DA5803"/>
    <w:rsid w:val="00DA5FB1"/>
    <w:rsid w:val="00DA7B96"/>
    <w:rsid w:val="00DB0A6D"/>
    <w:rsid w:val="00DB0B7D"/>
    <w:rsid w:val="00DB1DD5"/>
    <w:rsid w:val="00DB2B55"/>
    <w:rsid w:val="00DB33C6"/>
    <w:rsid w:val="00DB484D"/>
    <w:rsid w:val="00DC0B70"/>
    <w:rsid w:val="00DC12F6"/>
    <w:rsid w:val="00DC159F"/>
    <w:rsid w:val="00DC1705"/>
    <w:rsid w:val="00DC1816"/>
    <w:rsid w:val="00DC1B71"/>
    <w:rsid w:val="00DC20DB"/>
    <w:rsid w:val="00DC225C"/>
    <w:rsid w:val="00DC2714"/>
    <w:rsid w:val="00DC2846"/>
    <w:rsid w:val="00DC2A1D"/>
    <w:rsid w:val="00DC2DDB"/>
    <w:rsid w:val="00DC3022"/>
    <w:rsid w:val="00DC331E"/>
    <w:rsid w:val="00DC35E0"/>
    <w:rsid w:val="00DC4E4E"/>
    <w:rsid w:val="00DC557C"/>
    <w:rsid w:val="00DC6202"/>
    <w:rsid w:val="00DC7C8E"/>
    <w:rsid w:val="00DC7F1C"/>
    <w:rsid w:val="00DC7F31"/>
    <w:rsid w:val="00DD082A"/>
    <w:rsid w:val="00DD0976"/>
    <w:rsid w:val="00DD0B92"/>
    <w:rsid w:val="00DD3C7E"/>
    <w:rsid w:val="00DD40ED"/>
    <w:rsid w:val="00DD437F"/>
    <w:rsid w:val="00DD51D9"/>
    <w:rsid w:val="00DD53B4"/>
    <w:rsid w:val="00DD6379"/>
    <w:rsid w:val="00DD6811"/>
    <w:rsid w:val="00DD6F80"/>
    <w:rsid w:val="00DD7CF1"/>
    <w:rsid w:val="00DE029F"/>
    <w:rsid w:val="00DE1F93"/>
    <w:rsid w:val="00DE2993"/>
    <w:rsid w:val="00DE2AEC"/>
    <w:rsid w:val="00DE36ED"/>
    <w:rsid w:val="00DE4360"/>
    <w:rsid w:val="00DE4AC9"/>
    <w:rsid w:val="00DE69DD"/>
    <w:rsid w:val="00DE6B81"/>
    <w:rsid w:val="00DE7531"/>
    <w:rsid w:val="00DE777A"/>
    <w:rsid w:val="00DF0339"/>
    <w:rsid w:val="00DF06B8"/>
    <w:rsid w:val="00DF0AF9"/>
    <w:rsid w:val="00DF0B03"/>
    <w:rsid w:val="00DF15B0"/>
    <w:rsid w:val="00DF17A2"/>
    <w:rsid w:val="00DF21B0"/>
    <w:rsid w:val="00DF2EE3"/>
    <w:rsid w:val="00DF3D0A"/>
    <w:rsid w:val="00DF5074"/>
    <w:rsid w:val="00DF62A9"/>
    <w:rsid w:val="00E00520"/>
    <w:rsid w:val="00E007C2"/>
    <w:rsid w:val="00E01463"/>
    <w:rsid w:val="00E01B4E"/>
    <w:rsid w:val="00E01F18"/>
    <w:rsid w:val="00E022F6"/>
    <w:rsid w:val="00E023F4"/>
    <w:rsid w:val="00E0454B"/>
    <w:rsid w:val="00E05D3F"/>
    <w:rsid w:val="00E06008"/>
    <w:rsid w:val="00E07117"/>
    <w:rsid w:val="00E0721A"/>
    <w:rsid w:val="00E07FAD"/>
    <w:rsid w:val="00E10463"/>
    <w:rsid w:val="00E110F7"/>
    <w:rsid w:val="00E113D5"/>
    <w:rsid w:val="00E12F2F"/>
    <w:rsid w:val="00E13B08"/>
    <w:rsid w:val="00E14D59"/>
    <w:rsid w:val="00E16604"/>
    <w:rsid w:val="00E16BAE"/>
    <w:rsid w:val="00E176C4"/>
    <w:rsid w:val="00E1787C"/>
    <w:rsid w:val="00E209F2"/>
    <w:rsid w:val="00E20B26"/>
    <w:rsid w:val="00E20CE9"/>
    <w:rsid w:val="00E21830"/>
    <w:rsid w:val="00E22BD1"/>
    <w:rsid w:val="00E2303B"/>
    <w:rsid w:val="00E237DB"/>
    <w:rsid w:val="00E2405D"/>
    <w:rsid w:val="00E24327"/>
    <w:rsid w:val="00E25F40"/>
    <w:rsid w:val="00E25FD6"/>
    <w:rsid w:val="00E27892"/>
    <w:rsid w:val="00E27E6F"/>
    <w:rsid w:val="00E27F00"/>
    <w:rsid w:val="00E30E71"/>
    <w:rsid w:val="00E3107E"/>
    <w:rsid w:val="00E31F23"/>
    <w:rsid w:val="00E32A4C"/>
    <w:rsid w:val="00E32AA1"/>
    <w:rsid w:val="00E33A79"/>
    <w:rsid w:val="00E3584E"/>
    <w:rsid w:val="00E360F3"/>
    <w:rsid w:val="00E3690E"/>
    <w:rsid w:val="00E41110"/>
    <w:rsid w:val="00E41C21"/>
    <w:rsid w:val="00E42338"/>
    <w:rsid w:val="00E42AB3"/>
    <w:rsid w:val="00E4368F"/>
    <w:rsid w:val="00E44855"/>
    <w:rsid w:val="00E45268"/>
    <w:rsid w:val="00E454A2"/>
    <w:rsid w:val="00E45D70"/>
    <w:rsid w:val="00E46174"/>
    <w:rsid w:val="00E46D27"/>
    <w:rsid w:val="00E474BF"/>
    <w:rsid w:val="00E47B49"/>
    <w:rsid w:val="00E5015A"/>
    <w:rsid w:val="00E50522"/>
    <w:rsid w:val="00E51871"/>
    <w:rsid w:val="00E52128"/>
    <w:rsid w:val="00E55E0F"/>
    <w:rsid w:val="00E55F09"/>
    <w:rsid w:val="00E55FFB"/>
    <w:rsid w:val="00E56363"/>
    <w:rsid w:val="00E56FF9"/>
    <w:rsid w:val="00E5771D"/>
    <w:rsid w:val="00E60259"/>
    <w:rsid w:val="00E60FE1"/>
    <w:rsid w:val="00E62DC2"/>
    <w:rsid w:val="00E62F26"/>
    <w:rsid w:val="00E6426D"/>
    <w:rsid w:val="00E64FA3"/>
    <w:rsid w:val="00E662A3"/>
    <w:rsid w:val="00E66B85"/>
    <w:rsid w:val="00E71211"/>
    <w:rsid w:val="00E71266"/>
    <w:rsid w:val="00E71474"/>
    <w:rsid w:val="00E715FA"/>
    <w:rsid w:val="00E717DF"/>
    <w:rsid w:val="00E7214A"/>
    <w:rsid w:val="00E729A8"/>
    <w:rsid w:val="00E72FEB"/>
    <w:rsid w:val="00E73419"/>
    <w:rsid w:val="00E73D08"/>
    <w:rsid w:val="00E749D1"/>
    <w:rsid w:val="00E75074"/>
    <w:rsid w:val="00E7670C"/>
    <w:rsid w:val="00E76DE1"/>
    <w:rsid w:val="00E775DD"/>
    <w:rsid w:val="00E8166D"/>
    <w:rsid w:val="00E81B1D"/>
    <w:rsid w:val="00E82608"/>
    <w:rsid w:val="00E83314"/>
    <w:rsid w:val="00E83CCD"/>
    <w:rsid w:val="00E83D15"/>
    <w:rsid w:val="00E83DB6"/>
    <w:rsid w:val="00E84474"/>
    <w:rsid w:val="00E84E5E"/>
    <w:rsid w:val="00E863D1"/>
    <w:rsid w:val="00E86D2E"/>
    <w:rsid w:val="00E8751D"/>
    <w:rsid w:val="00E87911"/>
    <w:rsid w:val="00E87F1A"/>
    <w:rsid w:val="00E9019A"/>
    <w:rsid w:val="00E9028F"/>
    <w:rsid w:val="00E9033B"/>
    <w:rsid w:val="00E90DBB"/>
    <w:rsid w:val="00E90F99"/>
    <w:rsid w:val="00E91FCB"/>
    <w:rsid w:val="00E92322"/>
    <w:rsid w:val="00E927FF"/>
    <w:rsid w:val="00E92FA8"/>
    <w:rsid w:val="00E93295"/>
    <w:rsid w:val="00E93810"/>
    <w:rsid w:val="00E94A13"/>
    <w:rsid w:val="00E95E09"/>
    <w:rsid w:val="00E960B3"/>
    <w:rsid w:val="00E96423"/>
    <w:rsid w:val="00E9669D"/>
    <w:rsid w:val="00E96C6E"/>
    <w:rsid w:val="00EA0508"/>
    <w:rsid w:val="00EA099A"/>
    <w:rsid w:val="00EA36C5"/>
    <w:rsid w:val="00EA3D97"/>
    <w:rsid w:val="00EA46ED"/>
    <w:rsid w:val="00EA5788"/>
    <w:rsid w:val="00EA6A23"/>
    <w:rsid w:val="00EA6AAB"/>
    <w:rsid w:val="00EB00B4"/>
    <w:rsid w:val="00EB17D6"/>
    <w:rsid w:val="00EB19D0"/>
    <w:rsid w:val="00EB2150"/>
    <w:rsid w:val="00EB3823"/>
    <w:rsid w:val="00EB3B3E"/>
    <w:rsid w:val="00EB3C1A"/>
    <w:rsid w:val="00EB3E2D"/>
    <w:rsid w:val="00EB4524"/>
    <w:rsid w:val="00EB47E1"/>
    <w:rsid w:val="00EB4CBE"/>
    <w:rsid w:val="00EB5388"/>
    <w:rsid w:val="00EB595F"/>
    <w:rsid w:val="00EB5AAC"/>
    <w:rsid w:val="00EB6709"/>
    <w:rsid w:val="00EB68EF"/>
    <w:rsid w:val="00EB6966"/>
    <w:rsid w:val="00EB6AED"/>
    <w:rsid w:val="00EB6B55"/>
    <w:rsid w:val="00EB7190"/>
    <w:rsid w:val="00EC0249"/>
    <w:rsid w:val="00EC0B1A"/>
    <w:rsid w:val="00EC1A69"/>
    <w:rsid w:val="00EC1B66"/>
    <w:rsid w:val="00EC21B4"/>
    <w:rsid w:val="00EC2D62"/>
    <w:rsid w:val="00EC44D5"/>
    <w:rsid w:val="00EC6AD4"/>
    <w:rsid w:val="00EC7160"/>
    <w:rsid w:val="00EC725E"/>
    <w:rsid w:val="00EC7365"/>
    <w:rsid w:val="00ED0980"/>
    <w:rsid w:val="00ED0B64"/>
    <w:rsid w:val="00ED0CD9"/>
    <w:rsid w:val="00ED22B6"/>
    <w:rsid w:val="00ED2BD0"/>
    <w:rsid w:val="00ED2F8B"/>
    <w:rsid w:val="00ED32D0"/>
    <w:rsid w:val="00ED5B73"/>
    <w:rsid w:val="00ED6ADB"/>
    <w:rsid w:val="00ED6F42"/>
    <w:rsid w:val="00ED7675"/>
    <w:rsid w:val="00EE0F45"/>
    <w:rsid w:val="00EE39D5"/>
    <w:rsid w:val="00EE3AC0"/>
    <w:rsid w:val="00EE42EC"/>
    <w:rsid w:val="00EE65AE"/>
    <w:rsid w:val="00EE7D58"/>
    <w:rsid w:val="00EE7F87"/>
    <w:rsid w:val="00EF0599"/>
    <w:rsid w:val="00EF0EFD"/>
    <w:rsid w:val="00EF29C5"/>
    <w:rsid w:val="00EF370B"/>
    <w:rsid w:val="00EF3765"/>
    <w:rsid w:val="00EF3965"/>
    <w:rsid w:val="00EF4145"/>
    <w:rsid w:val="00EF51F9"/>
    <w:rsid w:val="00EF5AD9"/>
    <w:rsid w:val="00EF5B78"/>
    <w:rsid w:val="00EF6041"/>
    <w:rsid w:val="00EF6320"/>
    <w:rsid w:val="00EF6736"/>
    <w:rsid w:val="00EF6FB3"/>
    <w:rsid w:val="00F00B43"/>
    <w:rsid w:val="00F01554"/>
    <w:rsid w:val="00F01B18"/>
    <w:rsid w:val="00F01E33"/>
    <w:rsid w:val="00F02E33"/>
    <w:rsid w:val="00F033DD"/>
    <w:rsid w:val="00F03F1D"/>
    <w:rsid w:val="00F0430D"/>
    <w:rsid w:val="00F04991"/>
    <w:rsid w:val="00F04E67"/>
    <w:rsid w:val="00F05693"/>
    <w:rsid w:val="00F05861"/>
    <w:rsid w:val="00F07454"/>
    <w:rsid w:val="00F074C9"/>
    <w:rsid w:val="00F07515"/>
    <w:rsid w:val="00F10A31"/>
    <w:rsid w:val="00F12426"/>
    <w:rsid w:val="00F13030"/>
    <w:rsid w:val="00F1390F"/>
    <w:rsid w:val="00F13B0C"/>
    <w:rsid w:val="00F13BF3"/>
    <w:rsid w:val="00F141D5"/>
    <w:rsid w:val="00F14BC2"/>
    <w:rsid w:val="00F1536A"/>
    <w:rsid w:val="00F1568B"/>
    <w:rsid w:val="00F1642C"/>
    <w:rsid w:val="00F1738F"/>
    <w:rsid w:val="00F17946"/>
    <w:rsid w:val="00F17AE2"/>
    <w:rsid w:val="00F17EDD"/>
    <w:rsid w:val="00F201DB"/>
    <w:rsid w:val="00F21110"/>
    <w:rsid w:val="00F222FE"/>
    <w:rsid w:val="00F2261B"/>
    <w:rsid w:val="00F22735"/>
    <w:rsid w:val="00F22B85"/>
    <w:rsid w:val="00F23825"/>
    <w:rsid w:val="00F23AE3"/>
    <w:rsid w:val="00F243B1"/>
    <w:rsid w:val="00F24CAD"/>
    <w:rsid w:val="00F2583E"/>
    <w:rsid w:val="00F262E0"/>
    <w:rsid w:val="00F267AA"/>
    <w:rsid w:val="00F270D1"/>
    <w:rsid w:val="00F30B63"/>
    <w:rsid w:val="00F32C3E"/>
    <w:rsid w:val="00F32D49"/>
    <w:rsid w:val="00F3348D"/>
    <w:rsid w:val="00F33AFD"/>
    <w:rsid w:val="00F33F46"/>
    <w:rsid w:val="00F3415F"/>
    <w:rsid w:val="00F3453E"/>
    <w:rsid w:val="00F348C3"/>
    <w:rsid w:val="00F35639"/>
    <w:rsid w:val="00F356FF"/>
    <w:rsid w:val="00F35971"/>
    <w:rsid w:val="00F35F45"/>
    <w:rsid w:val="00F362D1"/>
    <w:rsid w:val="00F407EF"/>
    <w:rsid w:val="00F40CC1"/>
    <w:rsid w:val="00F40E64"/>
    <w:rsid w:val="00F41B6F"/>
    <w:rsid w:val="00F4265C"/>
    <w:rsid w:val="00F42977"/>
    <w:rsid w:val="00F4445B"/>
    <w:rsid w:val="00F446D5"/>
    <w:rsid w:val="00F44BD5"/>
    <w:rsid w:val="00F44FF5"/>
    <w:rsid w:val="00F454E0"/>
    <w:rsid w:val="00F459EA"/>
    <w:rsid w:val="00F46430"/>
    <w:rsid w:val="00F46456"/>
    <w:rsid w:val="00F467F2"/>
    <w:rsid w:val="00F4692B"/>
    <w:rsid w:val="00F47431"/>
    <w:rsid w:val="00F47C63"/>
    <w:rsid w:val="00F50990"/>
    <w:rsid w:val="00F515B9"/>
    <w:rsid w:val="00F516A3"/>
    <w:rsid w:val="00F529B7"/>
    <w:rsid w:val="00F5357B"/>
    <w:rsid w:val="00F547B5"/>
    <w:rsid w:val="00F55157"/>
    <w:rsid w:val="00F557D6"/>
    <w:rsid w:val="00F5592B"/>
    <w:rsid w:val="00F56694"/>
    <w:rsid w:val="00F56C74"/>
    <w:rsid w:val="00F57D58"/>
    <w:rsid w:val="00F606BB"/>
    <w:rsid w:val="00F616D1"/>
    <w:rsid w:val="00F645BA"/>
    <w:rsid w:val="00F647BE"/>
    <w:rsid w:val="00F655AF"/>
    <w:rsid w:val="00F65C59"/>
    <w:rsid w:val="00F668E1"/>
    <w:rsid w:val="00F67980"/>
    <w:rsid w:val="00F70A78"/>
    <w:rsid w:val="00F713F0"/>
    <w:rsid w:val="00F7178F"/>
    <w:rsid w:val="00F7192E"/>
    <w:rsid w:val="00F72498"/>
    <w:rsid w:val="00F73990"/>
    <w:rsid w:val="00F74334"/>
    <w:rsid w:val="00F74BC3"/>
    <w:rsid w:val="00F74CA5"/>
    <w:rsid w:val="00F76E41"/>
    <w:rsid w:val="00F77286"/>
    <w:rsid w:val="00F779E4"/>
    <w:rsid w:val="00F779E8"/>
    <w:rsid w:val="00F77BB2"/>
    <w:rsid w:val="00F80168"/>
    <w:rsid w:val="00F808C9"/>
    <w:rsid w:val="00F80FB3"/>
    <w:rsid w:val="00F813AA"/>
    <w:rsid w:val="00F82AE1"/>
    <w:rsid w:val="00F82D89"/>
    <w:rsid w:val="00F82F9D"/>
    <w:rsid w:val="00F8316F"/>
    <w:rsid w:val="00F83620"/>
    <w:rsid w:val="00F836AC"/>
    <w:rsid w:val="00F837FB"/>
    <w:rsid w:val="00F83A69"/>
    <w:rsid w:val="00F83D3F"/>
    <w:rsid w:val="00F83FB8"/>
    <w:rsid w:val="00F85C29"/>
    <w:rsid w:val="00F85FEA"/>
    <w:rsid w:val="00F86F64"/>
    <w:rsid w:val="00F87694"/>
    <w:rsid w:val="00F90239"/>
    <w:rsid w:val="00F909FB"/>
    <w:rsid w:val="00F91931"/>
    <w:rsid w:val="00F91D1D"/>
    <w:rsid w:val="00F91ED6"/>
    <w:rsid w:val="00F921D8"/>
    <w:rsid w:val="00F922BD"/>
    <w:rsid w:val="00F9291E"/>
    <w:rsid w:val="00F92AA9"/>
    <w:rsid w:val="00F9329A"/>
    <w:rsid w:val="00F9329E"/>
    <w:rsid w:val="00F94027"/>
    <w:rsid w:val="00F94715"/>
    <w:rsid w:val="00F9474A"/>
    <w:rsid w:val="00F9475B"/>
    <w:rsid w:val="00F952D1"/>
    <w:rsid w:val="00F95315"/>
    <w:rsid w:val="00F95AA4"/>
    <w:rsid w:val="00F95DCE"/>
    <w:rsid w:val="00F97295"/>
    <w:rsid w:val="00F978D2"/>
    <w:rsid w:val="00FA00C6"/>
    <w:rsid w:val="00FA0998"/>
    <w:rsid w:val="00FA0A08"/>
    <w:rsid w:val="00FA1549"/>
    <w:rsid w:val="00FA21D4"/>
    <w:rsid w:val="00FA22B5"/>
    <w:rsid w:val="00FA23E2"/>
    <w:rsid w:val="00FA36FA"/>
    <w:rsid w:val="00FA41D3"/>
    <w:rsid w:val="00FA4B3B"/>
    <w:rsid w:val="00FA5D6A"/>
    <w:rsid w:val="00FA6076"/>
    <w:rsid w:val="00FA6135"/>
    <w:rsid w:val="00FA6842"/>
    <w:rsid w:val="00FA68AC"/>
    <w:rsid w:val="00FA6D1E"/>
    <w:rsid w:val="00FA710F"/>
    <w:rsid w:val="00FA7AAD"/>
    <w:rsid w:val="00FA7D59"/>
    <w:rsid w:val="00FB0030"/>
    <w:rsid w:val="00FB0DAB"/>
    <w:rsid w:val="00FB23B5"/>
    <w:rsid w:val="00FB2DAA"/>
    <w:rsid w:val="00FB30FD"/>
    <w:rsid w:val="00FB3FD8"/>
    <w:rsid w:val="00FB4B57"/>
    <w:rsid w:val="00FB56F3"/>
    <w:rsid w:val="00FB5A7D"/>
    <w:rsid w:val="00FB5EEA"/>
    <w:rsid w:val="00FB6BA4"/>
    <w:rsid w:val="00FB7FD7"/>
    <w:rsid w:val="00FC0350"/>
    <w:rsid w:val="00FC0632"/>
    <w:rsid w:val="00FC07A1"/>
    <w:rsid w:val="00FC09FF"/>
    <w:rsid w:val="00FC148B"/>
    <w:rsid w:val="00FC1568"/>
    <w:rsid w:val="00FC1CE8"/>
    <w:rsid w:val="00FC1E20"/>
    <w:rsid w:val="00FC1E76"/>
    <w:rsid w:val="00FC1FCF"/>
    <w:rsid w:val="00FC3938"/>
    <w:rsid w:val="00FC41C5"/>
    <w:rsid w:val="00FC56C6"/>
    <w:rsid w:val="00FC5FC5"/>
    <w:rsid w:val="00FC62F8"/>
    <w:rsid w:val="00FC645C"/>
    <w:rsid w:val="00FC6581"/>
    <w:rsid w:val="00FC6E3F"/>
    <w:rsid w:val="00FC73C0"/>
    <w:rsid w:val="00FD02CD"/>
    <w:rsid w:val="00FD0313"/>
    <w:rsid w:val="00FD09B4"/>
    <w:rsid w:val="00FD0E3E"/>
    <w:rsid w:val="00FD0FE5"/>
    <w:rsid w:val="00FD3955"/>
    <w:rsid w:val="00FD39B7"/>
    <w:rsid w:val="00FD5900"/>
    <w:rsid w:val="00FD6AC6"/>
    <w:rsid w:val="00FD724F"/>
    <w:rsid w:val="00FE0CDA"/>
    <w:rsid w:val="00FE0D47"/>
    <w:rsid w:val="00FE22D8"/>
    <w:rsid w:val="00FE273A"/>
    <w:rsid w:val="00FE3083"/>
    <w:rsid w:val="00FE3A41"/>
    <w:rsid w:val="00FE432D"/>
    <w:rsid w:val="00FE4EFB"/>
    <w:rsid w:val="00FE5420"/>
    <w:rsid w:val="00FE5F46"/>
    <w:rsid w:val="00FE65E7"/>
    <w:rsid w:val="00FE6650"/>
    <w:rsid w:val="00FE7B91"/>
    <w:rsid w:val="00FF053E"/>
    <w:rsid w:val="00FF0ACB"/>
    <w:rsid w:val="00FF0B0B"/>
    <w:rsid w:val="00FF0F57"/>
    <w:rsid w:val="00FF13EF"/>
    <w:rsid w:val="00FF1BB4"/>
    <w:rsid w:val="00FF26CB"/>
    <w:rsid w:val="00FF3EE9"/>
    <w:rsid w:val="00FF3F60"/>
    <w:rsid w:val="00FF5A27"/>
    <w:rsid w:val="00FF6594"/>
    <w:rsid w:val="00FF715C"/>
    <w:rsid w:val="00FF7925"/>
    <w:rsid w:val="00FF7D55"/>
  </w:rsids>
  <m:mathPr>
    <m:mathFont m:val="Cambria Math"/>
    <m:brkBin m:val="before"/>
    <m:brkBinSub m:val="--"/>
    <m:smallFrac m:val="0"/>
    <m:dispDef/>
    <m:lMargin m:val="0"/>
    <m:rMargin m:val="0"/>
    <m:defJc m:val="centerGroup"/>
    <m:wrapIndent m:val="1440"/>
    <m:intLim m:val="subSup"/>
    <m:naryLim m:val="undOvr"/>
  </m:mathPr>
  <w:themeFontLang w:val="en-GB" w:eastAsia="ko-KR"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7DDA5C"/>
  <w15:docId w15:val="{70BB2808-B408-4DC2-8C3C-8BEC9FB7F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F97295"/>
    <w:pPr>
      <w:jc w:val="both"/>
    </w:pPr>
    <w:rPr>
      <w:rFonts w:asciiTheme="minorHAnsi" w:hAnsiTheme="minorHAnsi"/>
      <w:color w:val="000000"/>
      <w:sz w:val="22"/>
      <w:szCs w:val="22"/>
      <w:lang w:eastAsia="en-US"/>
    </w:rPr>
  </w:style>
  <w:style w:type="paragraph" w:styleId="Heading1">
    <w:name w:val="heading 1"/>
    <w:basedOn w:val="Heading10"/>
    <w:next w:val="BodyText"/>
    <w:link w:val="Heading1Char"/>
    <w:uiPriority w:val="9"/>
    <w:rsid w:val="00A21B54"/>
    <w:pPr>
      <w:outlineLvl w:val="0"/>
    </w:pPr>
    <w:rPr>
      <w:rFonts w:eastAsia="Times New Roman"/>
      <w:b/>
      <w:bCs/>
      <w:kern w:val="32"/>
      <w:szCs w:val="32"/>
    </w:rPr>
  </w:style>
  <w:style w:type="paragraph" w:styleId="Heading2">
    <w:name w:val="heading 2"/>
    <w:basedOn w:val="Heading20"/>
    <w:next w:val="BodyText"/>
    <w:link w:val="Heading2Char"/>
    <w:uiPriority w:val="9"/>
    <w:rsid w:val="00A21B54"/>
    <w:pPr>
      <w:outlineLvl w:val="1"/>
    </w:pPr>
    <w:rPr>
      <w:rFonts w:eastAsia="Times New Roman"/>
      <w:b w:val="0"/>
      <w:bCs/>
      <w:i/>
      <w:iCs/>
      <w:sz w:val="22"/>
      <w:szCs w:val="28"/>
    </w:rPr>
  </w:style>
  <w:style w:type="paragraph" w:styleId="Heading3">
    <w:name w:val="heading 3"/>
    <w:basedOn w:val="Heading30"/>
    <w:next w:val="BodyText"/>
    <w:link w:val="Heading3Char"/>
    <w:uiPriority w:val="9"/>
    <w:rsid w:val="00A21B54"/>
    <w:pPr>
      <w:spacing w:before="240"/>
      <w:outlineLvl w:val="2"/>
    </w:pPr>
    <w:rPr>
      <w:rFonts w:eastAsia="Times New Roman"/>
      <w:b w:val="0"/>
      <w:bCs/>
      <w:sz w:val="26"/>
      <w:szCs w:val="26"/>
    </w:rPr>
  </w:style>
  <w:style w:type="paragraph" w:styleId="Heading4">
    <w:name w:val="heading 4"/>
    <w:basedOn w:val="Normal"/>
    <w:next w:val="BodyText"/>
    <w:semiHidden/>
    <w:rsid w:val="00A21B54"/>
    <w:pPr>
      <w:keepNext/>
      <w:spacing w:before="240" w:after="60"/>
      <w:outlineLvl w:val="3"/>
    </w:pPr>
    <w:rPr>
      <w:b/>
      <w:bCs/>
      <w:sz w:val="28"/>
      <w:szCs w:val="28"/>
    </w:rPr>
  </w:style>
  <w:style w:type="paragraph" w:styleId="Heading5">
    <w:name w:val="heading 5"/>
    <w:basedOn w:val="Normal"/>
    <w:next w:val="BodyText"/>
    <w:semiHidden/>
    <w:rsid w:val="00A21B54"/>
    <w:pPr>
      <w:keepNext/>
      <w:spacing w:before="240" w:after="60"/>
      <w:outlineLvl w:val="4"/>
    </w:pPr>
    <w:rPr>
      <w:b/>
      <w:bCs/>
      <w:i/>
      <w:iCs/>
      <w:sz w:val="26"/>
      <w:szCs w:val="26"/>
    </w:rPr>
  </w:style>
  <w:style w:type="paragraph" w:styleId="Heading6">
    <w:name w:val="heading 6"/>
    <w:basedOn w:val="Normal"/>
    <w:next w:val="BodyText"/>
    <w:semiHidden/>
    <w:rsid w:val="00A21B54"/>
    <w:pPr>
      <w:keepNext/>
      <w:spacing w:before="240" w:after="60"/>
      <w:outlineLvl w:val="5"/>
    </w:pPr>
    <w:rPr>
      <w:b/>
      <w:bCs/>
    </w:rPr>
  </w:style>
  <w:style w:type="paragraph" w:styleId="Heading7">
    <w:name w:val="heading 7"/>
    <w:basedOn w:val="Normal"/>
    <w:next w:val="BodyText"/>
    <w:semiHidden/>
    <w:rsid w:val="00A21B54"/>
    <w:pPr>
      <w:keepNext/>
      <w:spacing w:before="240" w:after="60"/>
      <w:outlineLvl w:val="6"/>
    </w:pPr>
    <w:rPr>
      <w:sz w:val="24"/>
      <w:szCs w:val="24"/>
    </w:rPr>
  </w:style>
  <w:style w:type="paragraph" w:styleId="Heading8">
    <w:name w:val="heading 8"/>
    <w:basedOn w:val="Normal"/>
    <w:next w:val="BodyText"/>
    <w:semiHidden/>
    <w:rsid w:val="00A21B54"/>
    <w:pPr>
      <w:keepNext/>
      <w:spacing w:before="240" w:after="60"/>
      <w:outlineLvl w:val="7"/>
    </w:pPr>
    <w:rPr>
      <w:i/>
      <w:iCs/>
      <w:sz w:val="24"/>
      <w:szCs w:val="24"/>
    </w:rPr>
  </w:style>
  <w:style w:type="paragraph" w:styleId="Heading9">
    <w:name w:val="heading 9"/>
    <w:basedOn w:val="Normal"/>
    <w:next w:val="BodyText"/>
    <w:semiHidden/>
    <w:rsid w:val="00A21B54"/>
    <w:pPr>
      <w:keepNext/>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B54"/>
    <w:rPr>
      <w:rFonts w:asciiTheme="majorHAnsi" w:eastAsia="Times New Roman" w:hAnsiTheme="majorHAnsi"/>
      <w:b/>
      <w:bCs/>
      <w:color w:val="1C355E" w:themeColor="text2"/>
      <w:kern w:val="32"/>
      <w:sz w:val="28"/>
      <w:szCs w:val="32"/>
      <w:lang w:eastAsia="en-US"/>
    </w:rPr>
  </w:style>
  <w:style w:type="paragraph" w:customStyle="1" w:styleId="base">
    <w:name w:val="___base"/>
    <w:link w:val="baseChar"/>
    <w:semiHidden/>
    <w:rsid w:val="00EF5AD9"/>
    <w:rPr>
      <w:rFonts w:asciiTheme="minorHAnsi" w:hAnsiTheme="minorHAnsi"/>
      <w:color w:val="000000" w:themeColor="text1"/>
      <w:sz w:val="22"/>
      <w:szCs w:val="22"/>
      <w:lang w:eastAsia="en-US"/>
    </w:rPr>
  </w:style>
  <w:style w:type="paragraph" w:customStyle="1" w:styleId="NormalText">
    <w:name w:val="___Normal Text"/>
    <w:basedOn w:val="base"/>
    <w:link w:val="NormalTextChar"/>
    <w:semiHidden/>
    <w:rsid w:val="00EF5AD9"/>
    <w:pPr>
      <w:spacing w:line="240" w:lineRule="atLeast"/>
    </w:pPr>
  </w:style>
  <w:style w:type="character" w:customStyle="1" w:styleId="baseChar">
    <w:name w:val="___base Char"/>
    <w:basedOn w:val="DefaultParagraphFont"/>
    <w:link w:val="base"/>
    <w:semiHidden/>
    <w:rsid w:val="00EF5AD9"/>
    <w:rPr>
      <w:rFonts w:asciiTheme="minorHAnsi" w:hAnsiTheme="minorHAnsi"/>
      <w:color w:val="000000" w:themeColor="text1"/>
      <w:sz w:val="22"/>
      <w:szCs w:val="22"/>
      <w:lang w:eastAsia="en-US"/>
    </w:rPr>
  </w:style>
  <w:style w:type="paragraph" w:customStyle="1" w:styleId="BodyText">
    <w:name w:val="_Body Text"/>
    <w:basedOn w:val="NormalText"/>
    <w:link w:val="BodyTextChar"/>
    <w:qFormat/>
    <w:rsid w:val="00A21B54"/>
    <w:pPr>
      <w:spacing w:after="220"/>
    </w:pPr>
  </w:style>
  <w:style w:type="paragraph" w:customStyle="1" w:styleId="baseHeading">
    <w:name w:val="__base Heading"/>
    <w:basedOn w:val="NormalText"/>
    <w:semiHidden/>
    <w:rsid w:val="00EF5AD9"/>
    <w:pPr>
      <w:keepNext/>
    </w:pPr>
    <w:rPr>
      <w:rFonts w:asciiTheme="majorHAnsi" w:hAnsiTheme="majorHAnsi"/>
      <w:color w:val="1C355E" w:themeColor="text2"/>
      <w:sz w:val="28"/>
    </w:rPr>
  </w:style>
  <w:style w:type="character" w:customStyle="1" w:styleId="Heading2Char">
    <w:name w:val="Heading 2 Char"/>
    <w:basedOn w:val="DefaultParagraphFont"/>
    <w:link w:val="Heading2"/>
    <w:uiPriority w:val="9"/>
    <w:rsid w:val="00A21B54"/>
    <w:rPr>
      <w:rFonts w:asciiTheme="majorHAnsi" w:eastAsia="Times New Roman" w:hAnsiTheme="majorHAnsi"/>
      <w:bCs/>
      <w:i/>
      <w:iCs/>
      <w:color w:val="1C355E" w:themeColor="text2"/>
      <w:sz w:val="22"/>
      <w:szCs w:val="28"/>
      <w:lang w:eastAsia="en-US"/>
    </w:rPr>
  </w:style>
  <w:style w:type="paragraph" w:customStyle="1" w:styleId="baseHeader">
    <w:name w:val="__base Header"/>
    <w:basedOn w:val="base"/>
    <w:semiHidden/>
    <w:rsid w:val="00EF5AD9"/>
    <w:pPr>
      <w:tabs>
        <w:tab w:val="right" w:pos="9639"/>
      </w:tabs>
      <w:spacing w:line="220" w:lineRule="exact"/>
    </w:pPr>
    <w:rPr>
      <w:color w:val="4C4A47" w:themeColor="accent5"/>
      <w:sz w:val="20"/>
      <w:szCs w:val="16"/>
    </w:rPr>
  </w:style>
  <w:style w:type="paragraph" w:customStyle="1" w:styleId="baseFooter">
    <w:name w:val="__base Footer"/>
    <w:basedOn w:val="base"/>
    <w:semiHidden/>
    <w:rsid w:val="00EF5AD9"/>
    <w:pPr>
      <w:tabs>
        <w:tab w:val="right" w:pos="9639"/>
      </w:tabs>
      <w:ind w:right="-1985"/>
    </w:pPr>
    <w:rPr>
      <w:b/>
      <w:color w:val="4C4A47" w:themeColor="accent5"/>
      <w:sz w:val="20"/>
      <w:szCs w:val="16"/>
    </w:rPr>
  </w:style>
  <w:style w:type="paragraph" w:customStyle="1" w:styleId="baseTable">
    <w:name w:val="__base Table"/>
    <w:basedOn w:val="NormalText"/>
    <w:semiHidden/>
    <w:rsid w:val="00EF5AD9"/>
    <w:pPr>
      <w:keepNext/>
      <w:suppressAutoHyphens/>
      <w:spacing w:before="20" w:after="20"/>
      <w:ind w:right="28"/>
    </w:pPr>
    <w:rPr>
      <w:sz w:val="18"/>
    </w:rPr>
  </w:style>
  <w:style w:type="paragraph" w:customStyle="1" w:styleId="Heading10">
    <w:name w:val="_Heading 1"/>
    <w:basedOn w:val="baseHeading"/>
    <w:next w:val="BodyText"/>
    <w:qFormat/>
    <w:rsid w:val="00A21B54"/>
    <w:pPr>
      <w:spacing w:before="60" w:after="120"/>
      <w:outlineLvl w:val="1"/>
    </w:pPr>
  </w:style>
  <w:style w:type="paragraph" w:customStyle="1" w:styleId="Heading20">
    <w:name w:val="_Heading 2"/>
    <w:basedOn w:val="baseHeading"/>
    <w:next w:val="BodyText"/>
    <w:qFormat/>
    <w:rsid w:val="00A21B54"/>
    <w:pPr>
      <w:spacing w:after="60"/>
      <w:outlineLvl w:val="2"/>
    </w:pPr>
    <w:rPr>
      <w:b/>
      <w:sz w:val="24"/>
    </w:rPr>
  </w:style>
  <w:style w:type="paragraph" w:customStyle="1" w:styleId="Heading30">
    <w:name w:val="_Heading 3"/>
    <w:basedOn w:val="baseHeading"/>
    <w:next w:val="BodyText"/>
    <w:qFormat/>
    <w:rsid w:val="00A21B54"/>
    <w:pPr>
      <w:spacing w:before="60" w:after="60"/>
      <w:outlineLvl w:val="3"/>
    </w:pPr>
    <w:rPr>
      <w:b/>
      <w:sz w:val="22"/>
    </w:rPr>
  </w:style>
  <w:style w:type="numbering" w:customStyle="1" w:styleId="ListRP">
    <w:name w:val="__List RP"/>
    <w:uiPriority w:val="99"/>
    <w:semiHidden/>
    <w:rsid w:val="00EF5AD9"/>
    <w:pPr>
      <w:numPr>
        <w:numId w:val="1"/>
      </w:numPr>
    </w:pPr>
  </w:style>
  <w:style w:type="paragraph" w:customStyle="1" w:styleId="Rating">
    <w:name w:val="__Rating"/>
    <w:basedOn w:val="BodyText"/>
    <w:semiHidden/>
    <w:rsid w:val="00EF5AD9"/>
  </w:style>
  <w:style w:type="paragraph" w:styleId="List2">
    <w:name w:val="List 2"/>
    <w:basedOn w:val="Normal"/>
    <w:uiPriority w:val="99"/>
    <w:semiHidden/>
    <w:unhideWhenUsed/>
    <w:rsid w:val="00A21B54"/>
    <w:pPr>
      <w:ind w:left="851" w:hanging="567"/>
      <w:contextualSpacing/>
    </w:pPr>
  </w:style>
  <w:style w:type="paragraph" w:customStyle="1" w:styleId="LeadParagraph">
    <w:name w:val="_Lead Paragraph"/>
    <w:basedOn w:val="BodyText"/>
    <w:qFormat/>
    <w:rsid w:val="00A21B54"/>
    <w:rPr>
      <w:i/>
      <w:sz w:val="28"/>
    </w:rPr>
  </w:style>
  <w:style w:type="paragraph" w:customStyle="1" w:styleId="baseChapter">
    <w:name w:val="__base Chapter"/>
    <w:basedOn w:val="NormalText"/>
    <w:next w:val="BodyText"/>
    <w:link w:val="baseChapterChar"/>
    <w:semiHidden/>
    <w:rsid w:val="00EF5AD9"/>
    <w:pPr>
      <w:framePr w:w="9639" w:wrap="around" w:vAnchor="page" w:hAnchor="text" w:y="1702"/>
      <w:shd w:val="clear" w:color="auto" w:fill="FFFFFF"/>
      <w:spacing w:after="480" w:line="640" w:lineRule="atLeast"/>
    </w:pPr>
    <w:rPr>
      <w:color w:val="1C355E" w:themeColor="text2"/>
      <w:sz w:val="60"/>
    </w:rPr>
  </w:style>
  <w:style w:type="paragraph" w:customStyle="1" w:styleId="TemplateInformation">
    <w:name w:val="___Template Information"/>
    <w:basedOn w:val="NormalText"/>
    <w:semiHidden/>
    <w:rsid w:val="00EF5AD9"/>
    <w:pPr>
      <w:spacing w:line="480" w:lineRule="auto"/>
    </w:pPr>
    <w:rPr>
      <w:color w:val="FF0000"/>
    </w:rPr>
  </w:style>
  <w:style w:type="paragraph" w:customStyle="1" w:styleId="ChapternonTOC">
    <w:name w:val="_Chapter (non TOC)"/>
    <w:basedOn w:val="baseChapter"/>
    <w:next w:val="BodyText"/>
    <w:rsid w:val="00A21B54"/>
    <w:pPr>
      <w:framePr w:wrap="around"/>
    </w:pPr>
  </w:style>
  <w:style w:type="paragraph" w:customStyle="1" w:styleId="Quote">
    <w:name w:val="_Quote"/>
    <w:basedOn w:val="NormalText"/>
    <w:next w:val="BodyText"/>
    <w:qFormat/>
    <w:rsid w:val="00A21B54"/>
    <w:pPr>
      <w:spacing w:after="200"/>
      <w:ind w:left="284" w:right="284"/>
    </w:pPr>
    <w:rPr>
      <w:i/>
    </w:rPr>
  </w:style>
  <w:style w:type="paragraph" w:styleId="Header">
    <w:name w:val="header"/>
    <w:basedOn w:val="Normal"/>
    <w:link w:val="HeaderChar"/>
    <w:uiPriority w:val="99"/>
    <w:unhideWhenUsed/>
    <w:rsid w:val="00A21B54"/>
    <w:pPr>
      <w:tabs>
        <w:tab w:val="center" w:pos="4513"/>
        <w:tab w:val="right" w:pos="9026"/>
      </w:tabs>
    </w:pPr>
  </w:style>
  <w:style w:type="character" w:customStyle="1" w:styleId="Heading3Char">
    <w:name w:val="Heading 3 Char"/>
    <w:basedOn w:val="DefaultParagraphFont"/>
    <w:link w:val="Heading3"/>
    <w:uiPriority w:val="9"/>
    <w:rsid w:val="00A21B54"/>
    <w:rPr>
      <w:rFonts w:asciiTheme="majorHAnsi" w:eastAsia="Times New Roman" w:hAnsiTheme="majorHAnsi"/>
      <w:bCs/>
      <w:color w:val="1C355E" w:themeColor="text2"/>
      <w:sz w:val="26"/>
      <w:szCs w:val="26"/>
      <w:lang w:eastAsia="en-US"/>
    </w:rPr>
  </w:style>
  <w:style w:type="paragraph" w:customStyle="1" w:styleId="StockName">
    <w:name w:val="_Stock Name"/>
    <w:basedOn w:val="baseStockName"/>
    <w:next w:val="Thesis"/>
    <w:rsid w:val="00A21B54"/>
    <w:pPr>
      <w:spacing w:before="57" w:line="240" w:lineRule="atLeast"/>
    </w:pPr>
    <w:rPr>
      <w:position w:val="8"/>
      <w:sz w:val="22"/>
      <w:szCs w:val="72"/>
    </w:rPr>
  </w:style>
  <w:style w:type="character" w:customStyle="1" w:styleId="HeaderChar">
    <w:name w:val="Header Char"/>
    <w:basedOn w:val="DefaultParagraphFont"/>
    <w:link w:val="Header"/>
    <w:uiPriority w:val="99"/>
    <w:rsid w:val="00A21B54"/>
    <w:rPr>
      <w:rFonts w:asciiTheme="minorHAnsi" w:hAnsiTheme="minorHAnsi"/>
      <w:color w:val="000000"/>
      <w:sz w:val="22"/>
      <w:szCs w:val="22"/>
      <w:lang w:eastAsia="en-US"/>
    </w:rPr>
  </w:style>
  <w:style w:type="paragraph" w:customStyle="1" w:styleId="baseStockName">
    <w:name w:val="__base StockName"/>
    <w:basedOn w:val="NormalText"/>
    <w:semiHidden/>
    <w:rsid w:val="00EF5AD9"/>
    <w:pPr>
      <w:tabs>
        <w:tab w:val="right" w:pos="7343"/>
      </w:tabs>
      <w:spacing w:line="640" w:lineRule="exact"/>
    </w:pPr>
    <w:rPr>
      <w:color w:val="1C355E" w:themeColor="text2"/>
      <w:position w:val="6"/>
      <w:sz w:val="60"/>
    </w:rPr>
  </w:style>
  <w:style w:type="paragraph" w:customStyle="1" w:styleId="Strapline">
    <w:name w:val="_Strapline"/>
    <w:basedOn w:val="baseStockName"/>
    <w:rsid w:val="00A21B54"/>
    <w:pPr>
      <w:framePr w:wrap="around" w:vAnchor="page" w:hAnchor="text" w:y="1702"/>
      <w:spacing w:line="560" w:lineRule="exact"/>
    </w:pPr>
    <w:rPr>
      <w:b/>
      <w:position w:val="4"/>
      <w:sz w:val="52"/>
      <w:szCs w:val="52"/>
    </w:rPr>
  </w:style>
  <w:style w:type="paragraph" w:customStyle="1" w:styleId="CovStockName">
    <w:name w:val="_Cov Stock Name"/>
    <w:basedOn w:val="baseStockName"/>
    <w:rsid w:val="00A21B54"/>
    <w:pPr>
      <w:framePr w:wrap="around" w:vAnchor="page" w:hAnchor="text" w:y="1645"/>
      <w:spacing w:line="720" w:lineRule="exact"/>
    </w:pPr>
    <w:rPr>
      <w:sz w:val="72"/>
      <w:szCs w:val="72"/>
    </w:rPr>
  </w:style>
  <w:style w:type="paragraph" w:customStyle="1" w:styleId="CovStrapline">
    <w:name w:val="_Cov Strapline"/>
    <w:basedOn w:val="Strapline"/>
    <w:rsid w:val="00A21B54"/>
    <w:pPr>
      <w:framePr w:wrap="around" w:y="1645"/>
    </w:pPr>
  </w:style>
  <w:style w:type="paragraph" w:customStyle="1" w:styleId="CovDate">
    <w:name w:val="_Cov Date"/>
    <w:basedOn w:val="baseHeader"/>
    <w:rsid w:val="00A21B54"/>
    <w:pPr>
      <w:spacing w:line="340" w:lineRule="exact"/>
    </w:pPr>
    <w:rPr>
      <w:color w:val="FFFFFF"/>
      <w:position w:val="6"/>
    </w:rPr>
  </w:style>
  <w:style w:type="paragraph" w:customStyle="1" w:styleId="CovAnalystName">
    <w:name w:val="_Cov Analyst Name"/>
    <w:basedOn w:val="NormalText"/>
    <w:rsid w:val="00A21B54"/>
    <w:pPr>
      <w:framePr w:wrap="around" w:vAnchor="page" w:hAnchor="text" w:y="1645"/>
      <w:spacing w:after="280"/>
    </w:pPr>
    <w:rPr>
      <w:sz w:val="26"/>
    </w:rPr>
  </w:style>
  <w:style w:type="paragraph" w:styleId="Footer">
    <w:name w:val="footer"/>
    <w:basedOn w:val="Normal"/>
    <w:link w:val="FooterChar"/>
    <w:uiPriority w:val="99"/>
    <w:unhideWhenUsed/>
    <w:rsid w:val="00A21B54"/>
    <w:pPr>
      <w:tabs>
        <w:tab w:val="center" w:pos="4513"/>
        <w:tab w:val="right" w:pos="9026"/>
      </w:tabs>
    </w:pPr>
  </w:style>
  <w:style w:type="character" w:customStyle="1" w:styleId="FooterChar">
    <w:name w:val="Footer Char"/>
    <w:basedOn w:val="DefaultParagraphFont"/>
    <w:link w:val="Footer"/>
    <w:uiPriority w:val="99"/>
    <w:rsid w:val="00A21B54"/>
    <w:rPr>
      <w:rFonts w:asciiTheme="minorHAnsi" w:hAnsiTheme="minorHAnsi"/>
      <w:color w:val="000000"/>
      <w:sz w:val="22"/>
      <w:szCs w:val="22"/>
      <w:lang w:eastAsia="en-US"/>
    </w:rPr>
  </w:style>
  <w:style w:type="paragraph" w:customStyle="1" w:styleId="HeaderLandscapeChapterReference">
    <w:name w:val="__Header Landscape Chapter Reference"/>
    <w:basedOn w:val="HeaderLandscape"/>
    <w:semiHidden/>
    <w:rsid w:val="00EF5AD9"/>
    <w:pPr>
      <w:framePr w:wrap="notBeside"/>
      <w:spacing w:after="480" w:line="440" w:lineRule="exact"/>
    </w:pPr>
    <w:rPr>
      <w:b/>
      <w:sz w:val="22"/>
    </w:rPr>
  </w:style>
  <w:style w:type="paragraph" w:styleId="List">
    <w:name w:val="List"/>
    <w:basedOn w:val="Normal"/>
    <w:uiPriority w:val="99"/>
    <w:semiHidden/>
    <w:unhideWhenUsed/>
    <w:rsid w:val="00A21B54"/>
    <w:pPr>
      <w:ind w:left="283" w:hanging="283"/>
      <w:contextualSpacing/>
    </w:pPr>
  </w:style>
  <w:style w:type="paragraph" w:customStyle="1" w:styleId="footerCover">
    <w:name w:val="__footer Cover"/>
    <w:basedOn w:val="baseFooter"/>
    <w:semiHidden/>
    <w:rsid w:val="00EF5AD9"/>
    <w:pPr>
      <w:tabs>
        <w:tab w:val="clear" w:pos="9639"/>
        <w:tab w:val="right" w:pos="10773"/>
      </w:tabs>
    </w:pPr>
    <w:rPr>
      <w:b w:val="0"/>
      <w:color w:val="FFFFFF"/>
      <w:sz w:val="26"/>
    </w:rPr>
  </w:style>
  <w:style w:type="paragraph" w:customStyle="1" w:styleId="baseFPMarginAnchored">
    <w:name w:val="__base FPMarginAnchored"/>
    <w:basedOn w:val="NormalText"/>
    <w:semiHidden/>
    <w:rsid w:val="00EF5AD9"/>
    <w:pPr>
      <w:framePr w:w="2722" w:wrap="around" w:vAnchor="page" w:hAnchor="page" w:x="568" w:yAlign="bottom"/>
      <w:tabs>
        <w:tab w:val="right" w:pos="2523"/>
      </w:tabs>
      <w:ind w:right="28"/>
    </w:pPr>
    <w:rPr>
      <w:sz w:val="18"/>
    </w:rPr>
  </w:style>
  <w:style w:type="paragraph" w:customStyle="1" w:styleId="Chapter">
    <w:name w:val="_Chapter"/>
    <w:basedOn w:val="baseChapter"/>
    <w:next w:val="BodyText"/>
    <w:link w:val="ChapterChar"/>
    <w:qFormat/>
    <w:rsid w:val="00A21B54"/>
    <w:pPr>
      <w:framePr w:wrap="around"/>
    </w:pPr>
  </w:style>
  <w:style w:type="paragraph" w:customStyle="1" w:styleId="Footerbackpage">
    <w:name w:val="_Footer backpage"/>
    <w:basedOn w:val="baseFooter"/>
    <w:rsid w:val="00A21B54"/>
    <w:pPr>
      <w:tabs>
        <w:tab w:val="clear" w:pos="9639"/>
        <w:tab w:val="right" w:pos="10773"/>
      </w:tabs>
    </w:pPr>
  </w:style>
  <w:style w:type="paragraph" w:customStyle="1" w:styleId="FPPicturePlaceholder">
    <w:name w:val="__FP Picture Placeholder"/>
    <w:basedOn w:val="NormalText"/>
    <w:semiHidden/>
    <w:rsid w:val="00EF5AD9"/>
    <w:pPr>
      <w:framePr w:wrap="around" w:vAnchor="page" w:hAnchor="text" w:y="1645"/>
    </w:pPr>
  </w:style>
  <w:style w:type="paragraph" w:customStyle="1" w:styleId="baseFPMargin">
    <w:name w:val="__base FPMargin"/>
    <w:basedOn w:val="NormalText"/>
    <w:semiHidden/>
    <w:rsid w:val="007C1D97"/>
    <w:pPr>
      <w:framePr w:w="1984" w:wrap="around" w:vAnchor="page" w:hAnchor="page" w:x="8788" w:y="7089"/>
      <w:tabs>
        <w:tab w:val="right" w:pos="2523"/>
      </w:tabs>
      <w:ind w:left="28" w:right="113"/>
    </w:pPr>
    <w:rPr>
      <w:sz w:val="18"/>
    </w:rPr>
  </w:style>
  <w:style w:type="paragraph" w:customStyle="1" w:styleId="baseKeyData">
    <w:name w:val="__base KeyData"/>
    <w:basedOn w:val="baseFPMargin"/>
    <w:semiHidden/>
    <w:rsid w:val="00A21B54"/>
    <w:pPr>
      <w:framePr w:w="1985" w:wrap="around" w:x="8790" w:y="3006" w:anchorLock="1"/>
    </w:pPr>
  </w:style>
  <w:style w:type="paragraph" w:customStyle="1" w:styleId="KeyDatatext">
    <w:name w:val="_KeyData text"/>
    <w:basedOn w:val="baseKeyData"/>
    <w:rsid w:val="00A21B54"/>
    <w:pPr>
      <w:framePr w:wrap="around"/>
      <w:ind w:left="0" w:right="0"/>
      <w:jc w:val="right"/>
    </w:pPr>
    <w:rPr>
      <w:color w:val="1C355E" w:themeColor="text2"/>
      <w:sz w:val="22"/>
    </w:rPr>
  </w:style>
  <w:style w:type="paragraph" w:customStyle="1" w:styleId="KeyDataSpace">
    <w:name w:val="_KeyData Space"/>
    <w:basedOn w:val="baseKeyData"/>
    <w:rsid w:val="00A21B54"/>
    <w:pPr>
      <w:framePr w:wrap="around"/>
    </w:pPr>
  </w:style>
  <w:style w:type="character" w:customStyle="1" w:styleId="Bulletleadin">
    <w:name w:val="_Bullet lead in"/>
    <w:basedOn w:val="DefaultParagraphFont"/>
    <w:uiPriority w:val="1"/>
    <w:qFormat/>
    <w:rsid w:val="00A21B54"/>
    <w:rPr>
      <w:rFonts w:asciiTheme="minorHAnsi" w:hAnsiTheme="minorHAnsi"/>
      <w:b/>
      <w:sz w:val="20"/>
    </w:rPr>
  </w:style>
  <w:style w:type="paragraph" w:customStyle="1" w:styleId="SECTIONFrontPage">
    <w:name w:val="__SECTION Front Page"/>
    <w:basedOn w:val="1pthidden"/>
    <w:next w:val="BodyText"/>
    <w:semiHidden/>
    <w:rsid w:val="00EF5AD9"/>
  </w:style>
  <w:style w:type="paragraph" w:customStyle="1" w:styleId="SectionBreak">
    <w:name w:val="_Section Break"/>
    <w:basedOn w:val="NormalText"/>
    <w:rsid w:val="00A21B54"/>
    <w:pPr>
      <w:spacing w:line="240" w:lineRule="auto"/>
      <w:jc w:val="center"/>
    </w:pPr>
    <w:rPr>
      <w:b/>
      <w:color w:val="auto"/>
      <w:sz w:val="60"/>
    </w:rPr>
  </w:style>
  <w:style w:type="paragraph" w:customStyle="1" w:styleId="headerRunning">
    <w:name w:val="__header Running"/>
    <w:basedOn w:val="baseHeader"/>
    <w:semiHidden/>
    <w:rsid w:val="00EF5AD9"/>
    <w:pPr>
      <w:spacing w:line="220" w:lineRule="atLeast"/>
      <w:ind w:right="-1985"/>
    </w:pPr>
  </w:style>
  <w:style w:type="paragraph" w:customStyle="1" w:styleId="SECTIONRedburnContacts">
    <w:name w:val="__SECTION Redburn Contacts"/>
    <w:basedOn w:val="1pthidden"/>
    <w:next w:val="BodyText"/>
    <w:semiHidden/>
    <w:rsid w:val="00EF5AD9"/>
  </w:style>
  <w:style w:type="paragraph" w:customStyle="1" w:styleId="SECTIONBackPage">
    <w:name w:val="__SECTION Back Page"/>
    <w:basedOn w:val="1pthidden"/>
    <w:next w:val="BodyText"/>
    <w:semiHidden/>
    <w:rsid w:val="00EF5AD9"/>
  </w:style>
  <w:style w:type="paragraph" w:customStyle="1" w:styleId="ICBAPlaceHolder">
    <w:name w:val="__ICBA PlaceHolder"/>
    <w:basedOn w:val="baseInternalCoverBottomAnchored"/>
    <w:semiHidden/>
    <w:rsid w:val="00EF5AD9"/>
    <w:pPr>
      <w:framePr w:wrap="around"/>
      <w:jc w:val="center"/>
    </w:pPr>
  </w:style>
  <w:style w:type="paragraph" w:customStyle="1" w:styleId="HeaderRunningOpeningPages">
    <w:name w:val="__Header Running Opening Pages"/>
    <w:basedOn w:val="headerRunning"/>
    <w:semiHidden/>
    <w:rsid w:val="00EF5AD9"/>
  </w:style>
  <w:style w:type="paragraph" w:customStyle="1" w:styleId="HeaderLandscape">
    <w:name w:val="__Header Landscape"/>
    <w:basedOn w:val="baseHeader"/>
    <w:semiHidden/>
    <w:rsid w:val="00EF5AD9"/>
    <w:pPr>
      <w:framePr w:w="2098" w:h="9639" w:hRule="exact" w:wrap="notBeside" w:vAnchor="page" w:hAnchor="page" w:x="14176" w:y="1135"/>
      <w:spacing w:line="240" w:lineRule="atLeast"/>
      <w:jc w:val="both"/>
    </w:pPr>
  </w:style>
  <w:style w:type="paragraph" w:customStyle="1" w:styleId="ICBAanchor">
    <w:name w:val="__ICBA anchor"/>
    <w:basedOn w:val="baseInternalCoverBottomAnchored"/>
    <w:semiHidden/>
    <w:rsid w:val="00EF5AD9"/>
    <w:pPr>
      <w:framePr w:wrap="around"/>
      <w:spacing w:before="0" w:after="0" w:line="1021" w:lineRule="exact"/>
    </w:pPr>
  </w:style>
  <w:style w:type="paragraph" w:customStyle="1" w:styleId="footerlandscape">
    <w:name w:val="__footer landscape"/>
    <w:basedOn w:val="baseFooter"/>
    <w:semiHidden/>
    <w:rsid w:val="00EF5AD9"/>
    <w:pPr>
      <w:framePr w:w="284" w:h="9639" w:hRule="exact" w:wrap="around" w:vAnchor="page" w:hAnchor="page" w:x="398" w:y="1135" w:anchorLock="1"/>
      <w:spacing w:line="160" w:lineRule="exact"/>
      <w:ind w:right="0"/>
    </w:pPr>
  </w:style>
  <w:style w:type="paragraph" w:customStyle="1" w:styleId="baseDisclaimer">
    <w:name w:val="__base Disclaimer"/>
    <w:basedOn w:val="NormalText"/>
    <w:link w:val="baseDisclaimerChar"/>
    <w:semiHidden/>
    <w:rsid w:val="00EF5AD9"/>
    <w:pPr>
      <w:framePr w:w="9639" w:wrap="around" w:vAnchor="page" w:hAnchor="text" w:y="1419"/>
    </w:pPr>
  </w:style>
  <w:style w:type="paragraph" w:customStyle="1" w:styleId="DisclaimerHeading">
    <w:name w:val="_Disclaimer Heading"/>
    <w:basedOn w:val="baseDisclaimer"/>
    <w:next w:val="Disclaimer"/>
    <w:rsid w:val="00A21B54"/>
    <w:pPr>
      <w:framePr w:wrap="around"/>
    </w:pPr>
    <w:rPr>
      <w:b/>
      <w:caps/>
      <w:sz w:val="20"/>
    </w:rPr>
  </w:style>
  <w:style w:type="paragraph" w:customStyle="1" w:styleId="Disclaimer">
    <w:name w:val="_Disclaimer"/>
    <w:basedOn w:val="baseDisclaimer"/>
    <w:link w:val="DisclaimerChar"/>
    <w:rsid w:val="00A21B54"/>
    <w:pPr>
      <w:framePr w:wrap="around"/>
    </w:pPr>
    <w:rPr>
      <w:spacing w:val="-2"/>
      <w:sz w:val="16"/>
      <w:szCs w:val="16"/>
    </w:rPr>
  </w:style>
  <w:style w:type="paragraph" w:customStyle="1" w:styleId="Disclaimeranchor">
    <w:name w:val="__Disclaimer anchor"/>
    <w:basedOn w:val="baseDisclaimer"/>
    <w:semiHidden/>
    <w:rsid w:val="00EF5AD9"/>
    <w:pPr>
      <w:framePr w:wrap="around"/>
      <w:spacing w:line="1021" w:lineRule="exact"/>
    </w:pPr>
  </w:style>
  <w:style w:type="paragraph" w:customStyle="1" w:styleId="Analystanchor">
    <w:name w:val="__Analyst anchor"/>
    <w:basedOn w:val="baseAnalyst"/>
    <w:semiHidden/>
    <w:rsid w:val="00EF5AD9"/>
    <w:pPr>
      <w:spacing w:line="1021" w:lineRule="exact"/>
    </w:pPr>
  </w:style>
  <w:style w:type="paragraph" w:customStyle="1" w:styleId="1pt">
    <w:name w:val="__1pt"/>
    <w:basedOn w:val="NormalText"/>
    <w:next w:val="BodyText"/>
    <w:rsid w:val="00EF5AD9"/>
    <w:pPr>
      <w:spacing w:line="20" w:lineRule="exact"/>
    </w:pPr>
  </w:style>
  <w:style w:type="paragraph" w:customStyle="1" w:styleId="BPCovfooter">
    <w:name w:val="__BPCov footer"/>
    <w:basedOn w:val="baseFooter"/>
    <w:semiHidden/>
    <w:rsid w:val="00EF5AD9"/>
    <w:pPr>
      <w:ind w:right="0"/>
    </w:pPr>
    <w:rPr>
      <w:color w:val="FFFFFF"/>
      <w:sz w:val="36"/>
    </w:rPr>
  </w:style>
  <w:style w:type="paragraph" w:customStyle="1" w:styleId="baseRPText">
    <w:name w:val="__base RP Text"/>
    <w:basedOn w:val="NormalText"/>
    <w:semiHidden/>
    <w:rsid w:val="00EF5AD9"/>
    <w:pPr>
      <w:spacing w:line="190" w:lineRule="atLeast"/>
    </w:pPr>
    <w:rPr>
      <w:noProof/>
      <w:sz w:val="15"/>
    </w:rPr>
  </w:style>
  <w:style w:type="paragraph" w:customStyle="1" w:styleId="Analysttablespacing">
    <w:name w:val="__Analyst tablespacing"/>
    <w:basedOn w:val="Analystanchor"/>
    <w:semiHidden/>
    <w:rsid w:val="00EF5AD9"/>
    <w:pPr>
      <w:spacing w:line="240" w:lineRule="auto"/>
    </w:pPr>
  </w:style>
  <w:style w:type="paragraph" w:customStyle="1" w:styleId="ChapterIntro">
    <w:name w:val="_Chapter Intro"/>
    <w:basedOn w:val="NormalText"/>
    <w:rsid w:val="00A21B54"/>
    <w:pPr>
      <w:spacing w:after="280" w:line="380" w:lineRule="exact"/>
    </w:pPr>
    <w:rPr>
      <w:color w:val="1C355E" w:themeColor="text2"/>
      <w:sz w:val="28"/>
      <w:szCs w:val="28"/>
    </w:rPr>
  </w:style>
  <w:style w:type="paragraph" w:customStyle="1" w:styleId="DisclaimerSubHeading">
    <w:name w:val="_Disclaimer SubHeading"/>
    <w:basedOn w:val="Disclaimer"/>
    <w:rsid w:val="00A21B54"/>
    <w:pPr>
      <w:framePr w:wrap="around"/>
    </w:pPr>
    <w:rPr>
      <w:i/>
    </w:rPr>
  </w:style>
  <w:style w:type="paragraph" w:customStyle="1" w:styleId="Chapternonumber">
    <w:name w:val="_Chapter (no number)"/>
    <w:basedOn w:val="baseChapter"/>
    <w:rsid w:val="00A21B54"/>
    <w:pPr>
      <w:framePr w:wrap="around"/>
    </w:pPr>
  </w:style>
  <w:style w:type="paragraph" w:styleId="FootnoteText">
    <w:name w:val="footnote text"/>
    <w:basedOn w:val="Normal"/>
    <w:link w:val="FootnoteTextChar"/>
    <w:uiPriority w:val="99"/>
    <w:semiHidden/>
    <w:unhideWhenUsed/>
    <w:rsid w:val="00A21B54"/>
    <w:pPr>
      <w:jc w:val="left"/>
    </w:pPr>
    <w:rPr>
      <w:i/>
      <w:sz w:val="14"/>
      <w:szCs w:val="20"/>
    </w:rPr>
  </w:style>
  <w:style w:type="character" w:customStyle="1" w:styleId="FootnoteTextChar">
    <w:name w:val="Footnote Text Char"/>
    <w:basedOn w:val="DefaultParagraphFont"/>
    <w:link w:val="FootnoteText"/>
    <w:uiPriority w:val="99"/>
    <w:semiHidden/>
    <w:rsid w:val="00A21B54"/>
    <w:rPr>
      <w:rFonts w:asciiTheme="minorHAnsi" w:hAnsiTheme="minorHAnsi"/>
      <w:i/>
      <w:color w:val="000000"/>
      <w:sz w:val="14"/>
      <w:lang w:eastAsia="en-US"/>
    </w:rPr>
  </w:style>
  <w:style w:type="paragraph" w:customStyle="1" w:styleId="SECTIONDivider">
    <w:name w:val="__SECTION Divider"/>
    <w:basedOn w:val="1pthidden"/>
    <w:next w:val="BodyText"/>
    <w:semiHidden/>
    <w:rsid w:val="00EF5AD9"/>
  </w:style>
  <w:style w:type="paragraph" w:styleId="ListNumber">
    <w:name w:val="List Number"/>
    <w:aliases w:val="_List Number"/>
    <w:basedOn w:val="NormalText"/>
    <w:semiHidden/>
    <w:unhideWhenUsed/>
    <w:rsid w:val="00A21B54"/>
    <w:pPr>
      <w:numPr>
        <w:numId w:val="17"/>
      </w:numPr>
      <w:tabs>
        <w:tab w:val="left" w:pos="284"/>
      </w:tabs>
      <w:spacing w:after="200"/>
    </w:pPr>
  </w:style>
  <w:style w:type="paragraph" w:customStyle="1" w:styleId="baseInternalCoverBottomAnchored">
    <w:name w:val="__base InternalCover BottomAnchored"/>
    <w:basedOn w:val="base"/>
    <w:semiHidden/>
    <w:rsid w:val="00EF5AD9"/>
    <w:pPr>
      <w:framePr w:w="7655" w:h="1134" w:wrap="around" w:vAnchor="page" w:hAnchor="text" w:yAlign="bottom"/>
      <w:spacing w:before="20" w:after="20"/>
      <w:ind w:right="28"/>
    </w:pPr>
    <w:rPr>
      <w:sz w:val="16"/>
    </w:rPr>
  </w:style>
  <w:style w:type="paragraph" w:customStyle="1" w:styleId="ICBATableTitle">
    <w:name w:val="_ICBA Table Title"/>
    <w:basedOn w:val="baseInternalCoverBottomAnchored"/>
    <w:rsid w:val="00A21B54"/>
    <w:pPr>
      <w:keepNext/>
      <w:keepLines/>
      <w:framePr w:wrap="around"/>
    </w:pPr>
    <w:rPr>
      <w:b/>
      <w:sz w:val="20"/>
    </w:rPr>
  </w:style>
  <w:style w:type="paragraph" w:customStyle="1" w:styleId="ICBATableHeadercr">
    <w:name w:val="_ICBA Table Header cr"/>
    <w:basedOn w:val="baseInternalCoverBottomAnchored"/>
    <w:rsid w:val="00A21B54"/>
    <w:pPr>
      <w:framePr w:wrap="around"/>
      <w:jc w:val="center"/>
    </w:pPr>
    <w:rPr>
      <w:b/>
    </w:rPr>
  </w:style>
  <w:style w:type="paragraph" w:customStyle="1" w:styleId="ICBATableHeaderlf">
    <w:name w:val="_ICBA Table Header lf"/>
    <w:basedOn w:val="ICBATableHeadercr"/>
    <w:rsid w:val="00A21B54"/>
    <w:pPr>
      <w:framePr w:wrap="around"/>
      <w:jc w:val="left"/>
    </w:pPr>
  </w:style>
  <w:style w:type="paragraph" w:customStyle="1" w:styleId="ICBATableHeaderrt">
    <w:name w:val="_ICBA Table Header rt"/>
    <w:basedOn w:val="ICBATableHeadercr"/>
    <w:rsid w:val="00A21B54"/>
    <w:pPr>
      <w:framePr w:wrap="around"/>
      <w:jc w:val="right"/>
    </w:pPr>
  </w:style>
  <w:style w:type="paragraph" w:customStyle="1" w:styleId="ICBATableTextcr">
    <w:name w:val="_ICBA Table Text cr"/>
    <w:basedOn w:val="baseInternalCoverBottomAnchored"/>
    <w:rsid w:val="00A21B54"/>
    <w:pPr>
      <w:framePr w:wrap="around"/>
      <w:jc w:val="center"/>
    </w:pPr>
  </w:style>
  <w:style w:type="paragraph" w:customStyle="1" w:styleId="ICBATableTextlf">
    <w:name w:val="_ICBA Table Text lf"/>
    <w:basedOn w:val="ICBATableTextcr"/>
    <w:rsid w:val="00A21B54"/>
    <w:pPr>
      <w:framePr w:wrap="around"/>
      <w:jc w:val="left"/>
    </w:pPr>
  </w:style>
  <w:style w:type="paragraph" w:customStyle="1" w:styleId="ICBATableTextrt">
    <w:name w:val="_ICBA Table Text rt"/>
    <w:basedOn w:val="ICBATableTextcr"/>
    <w:rsid w:val="00A21B54"/>
    <w:pPr>
      <w:framePr w:wrap="around"/>
      <w:jc w:val="right"/>
    </w:pPr>
  </w:style>
  <w:style w:type="paragraph" w:customStyle="1" w:styleId="ICBASource">
    <w:name w:val="_ICBA Source"/>
    <w:basedOn w:val="baseInternalCoverBottomAnchored"/>
    <w:rsid w:val="00A21B54"/>
    <w:pPr>
      <w:keepLines/>
      <w:framePr w:wrap="around"/>
      <w:spacing w:before="60" w:after="0"/>
    </w:pPr>
    <w:rPr>
      <w:i/>
      <w:sz w:val="14"/>
    </w:rPr>
  </w:style>
  <w:style w:type="paragraph" w:customStyle="1" w:styleId="baseAnalyst">
    <w:name w:val="__base Analyst"/>
    <w:basedOn w:val="base"/>
    <w:semiHidden/>
    <w:rsid w:val="00EF5AD9"/>
    <w:pPr>
      <w:ind w:right="28"/>
    </w:pPr>
    <w:rPr>
      <w:sz w:val="20"/>
    </w:rPr>
  </w:style>
  <w:style w:type="paragraph" w:customStyle="1" w:styleId="1pthidden">
    <w:name w:val="__1pt hidden"/>
    <w:basedOn w:val="1pt"/>
    <w:next w:val="BodyText"/>
    <w:semiHidden/>
    <w:rsid w:val="00EF5AD9"/>
    <w:rPr>
      <w:vanish/>
    </w:rPr>
  </w:style>
  <w:style w:type="paragraph" w:customStyle="1" w:styleId="Tablefootnote">
    <w:name w:val="_Table footnote"/>
    <w:basedOn w:val="baseTable"/>
    <w:rsid w:val="00A21B54"/>
    <w:pPr>
      <w:keepNext w:val="0"/>
      <w:spacing w:before="60" w:after="220" w:line="240" w:lineRule="auto"/>
    </w:pPr>
    <w:rPr>
      <w:i/>
      <w:sz w:val="14"/>
    </w:rPr>
  </w:style>
  <w:style w:type="paragraph" w:customStyle="1" w:styleId="TableTitle">
    <w:name w:val="_Table Title"/>
    <w:basedOn w:val="baseTable"/>
    <w:next w:val="Tableplaceholder"/>
    <w:link w:val="TableTitleChar"/>
    <w:qFormat/>
    <w:rsid w:val="00A21B54"/>
    <w:pPr>
      <w:keepLines/>
      <w:spacing w:before="0" w:after="0"/>
    </w:pPr>
    <w:rPr>
      <w:b/>
      <w:sz w:val="20"/>
    </w:rPr>
  </w:style>
  <w:style w:type="paragraph" w:customStyle="1" w:styleId="ChartTitle">
    <w:name w:val="_Chart Title"/>
    <w:basedOn w:val="TableTitle"/>
    <w:qFormat/>
    <w:rsid w:val="00A21B54"/>
  </w:style>
  <w:style w:type="paragraph" w:customStyle="1" w:styleId="Tableheader">
    <w:name w:val="_Table header"/>
    <w:basedOn w:val="baseTable"/>
    <w:qFormat/>
    <w:rsid w:val="00A21B54"/>
    <w:pPr>
      <w:jc w:val="center"/>
    </w:pPr>
    <w:rPr>
      <w:b/>
    </w:rPr>
  </w:style>
  <w:style w:type="paragraph" w:customStyle="1" w:styleId="Tableheaderlf">
    <w:name w:val="_Table header lf"/>
    <w:basedOn w:val="Tableheader"/>
    <w:qFormat/>
    <w:rsid w:val="00A21B54"/>
    <w:pPr>
      <w:jc w:val="left"/>
    </w:pPr>
  </w:style>
  <w:style w:type="paragraph" w:customStyle="1" w:styleId="Tableheaderrt">
    <w:name w:val="_Table header rt"/>
    <w:basedOn w:val="Tableheader"/>
    <w:qFormat/>
    <w:rsid w:val="00A21B54"/>
    <w:pPr>
      <w:jc w:val="right"/>
    </w:pPr>
  </w:style>
  <w:style w:type="paragraph" w:customStyle="1" w:styleId="Tabletext">
    <w:name w:val="_Table text"/>
    <w:basedOn w:val="baseTable"/>
    <w:qFormat/>
    <w:rsid w:val="00A21B54"/>
    <w:pPr>
      <w:jc w:val="center"/>
    </w:pPr>
  </w:style>
  <w:style w:type="paragraph" w:customStyle="1" w:styleId="Tabletextlf">
    <w:name w:val="_Table text lf"/>
    <w:basedOn w:val="Tabletext"/>
    <w:qFormat/>
    <w:rsid w:val="00A21B54"/>
    <w:pPr>
      <w:jc w:val="left"/>
    </w:pPr>
  </w:style>
  <w:style w:type="paragraph" w:customStyle="1" w:styleId="Tabletextrt">
    <w:name w:val="_Table text rt"/>
    <w:basedOn w:val="Tabletext"/>
    <w:qFormat/>
    <w:rsid w:val="00A21B54"/>
    <w:pPr>
      <w:jc w:val="right"/>
    </w:pPr>
  </w:style>
  <w:style w:type="paragraph" w:customStyle="1" w:styleId="Tabletextbold">
    <w:name w:val="_Table text bold"/>
    <w:basedOn w:val="Tabletext"/>
    <w:next w:val="Tabletext"/>
    <w:qFormat/>
    <w:rsid w:val="00A21B54"/>
    <w:rPr>
      <w:b/>
    </w:rPr>
  </w:style>
  <w:style w:type="paragraph" w:customStyle="1" w:styleId="Tableplaceholder">
    <w:name w:val="__Table placeholder"/>
    <w:basedOn w:val="baseTable"/>
    <w:next w:val="Tablefootnote"/>
    <w:rsid w:val="00EF5AD9"/>
    <w:pPr>
      <w:jc w:val="center"/>
    </w:pPr>
  </w:style>
  <w:style w:type="paragraph" w:customStyle="1" w:styleId="Tablespaceafter">
    <w:name w:val="__Table spaceafter"/>
    <w:basedOn w:val="baseTable"/>
    <w:next w:val="BodyText"/>
    <w:semiHidden/>
    <w:rsid w:val="00EF5AD9"/>
    <w:pPr>
      <w:keepNext w:val="0"/>
      <w:spacing w:before="0" w:after="0" w:line="14" w:lineRule="exact"/>
    </w:pPr>
  </w:style>
  <w:style w:type="paragraph" w:customStyle="1" w:styleId="SECTIONThesis">
    <w:name w:val="__SECTION Thesis"/>
    <w:basedOn w:val="1pthidden"/>
    <w:next w:val="BodyText"/>
    <w:semiHidden/>
    <w:rsid w:val="00EF5AD9"/>
  </w:style>
  <w:style w:type="paragraph" w:customStyle="1" w:styleId="CSTableTitle">
    <w:name w:val="_CS Table Title"/>
    <w:basedOn w:val="TableTitle"/>
    <w:rsid w:val="00A21B54"/>
    <w:pPr>
      <w:tabs>
        <w:tab w:val="right" w:pos="9639"/>
      </w:tabs>
      <w:spacing w:before="40"/>
    </w:pPr>
    <w:rPr>
      <w:color w:val="FFFFFF"/>
    </w:rPr>
  </w:style>
  <w:style w:type="paragraph" w:styleId="TOC1">
    <w:name w:val="toc 1"/>
    <w:basedOn w:val="NormalText"/>
    <w:next w:val="Normal"/>
    <w:autoRedefine/>
    <w:uiPriority w:val="39"/>
    <w:semiHidden/>
    <w:unhideWhenUsed/>
    <w:rsid w:val="00A21B54"/>
    <w:pPr>
      <w:numPr>
        <w:numId w:val="18"/>
      </w:numPr>
      <w:tabs>
        <w:tab w:val="left" w:pos="397"/>
        <w:tab w:val="right" w:leader="dot" w:pos="7655"/>
      </w:tabs>
      <w:spacing w:after="100"/>
    </w:pPr>
    <w:rPr>
      <w:b/>
    </w:rPr>
  </w:style>
  <w:style w:type="paragraph" w:styleId="TOC2">
    <w:name w:val="toc 2"/>
    <w:basedOn w:val="NormalText"/>
    <w:next w:val="Normal"/>
    <w:autoRedefine/>
    <w:uiPriority w:val="39"/>
    <w:unhideWhenUsed/>
    <w:rsid w:val="00A21B54"/>
    <w:pPr>
      <w:tabs>
        <w:tab w:val="right" w:leader="dot" w:pos="7655"/>
      </w:tabs>
      <w:spacing w:after="100"/>
    </w:pPr>
    <w:rPr>
      <w:b/>
    </w:rPr>
  </w:style>
  <w:style w:type="paragraph" w:styleId="List3">
    <w:name w:val="List 3"/>
    <w:basedOn w:val="Normal"/>
    <w:uiPriority w:val="99"/>
    <w:semiHidden/>
    <w:unhideWhenUsed/>
    <w:rsid w:val="00A21B54"/>
    <w:pPr>
      <w:ind w:left="1418" w:hanging="851"/>
      <w:contextualSpacing/>
    </w:pPr>
  </w:style>
  <w:style w:type="paragraph" w:customStyle="1" w:styleId="BodyTextBold">
    <w:name w:val="_Body Text Bold"/>
    <w:basedOn w:val="BodyText"/>
    <w:next w:val="BodyText"/>
    <w:rsid w:val="00A21B54"/>
    <w:rPr>
      <w:b/>
    </w:rPr>
  </w:style>
  <w:style w:type="character" w:customStyle="1" w:styleId="FooterPgNo">
    <w:name w:val="__Footer_PgNo"/>
    <w:basedOn w:val="DefaultParagraphFont"/>
    <w:semiHidden/>
    <w:rsid w:val="00EF5AD9"/>
    <w:rPr>
      <w:rFonts w:asciiTheme="minorHAnsi" w:hAnsiTheme="minorHAnsi"/>
      <w:color w:val="4C4A47" w:themeColor="accent5"/>
      <w:sz w:val="20"/>
    </w:rPr>
  </w:style>
  <w:style w:type="paragraph" w:styleId="ListBullet">
    <w:name w:val="List Bullet"/>
    <w:basedOn w:val="Normal"/>
    <w:uiPriority w:val="99"/>
    <w:semiHidden/>
    <w:unhideWhenUsed/>
    <w:rsid w:val="00A21B54"/>
    <w:pPr>
      <w:numPr>
        <w:numId w:val="8"/>
      </w:numPr>
      <w:tabs>
        <w:tab w:val="left" w:pos="284"/>
      </w:tabs>
      <w:contextualSpacing/>
    </w:pPr>
  </w:style>
  <w:style w:type="paragraph" w:styleId="ListBullet2">
    <w:name w:val="List Bullet 2"/>
    <w:basedOn w:val="Normal"/>
    <w:uiPriority w:val="99"/>
    <w:semiHidden/>
    <w:unhideWhenUsed/>
    <w:rsid w:val="00A21B54"/>
    <w:pPr>
      <w:numPr>
        <w:numId w:val="9"/>
      </w:numPr>
      <w:tabs>
        <w:tab w:val="left" w:pos="567"/>
      </w:tabs>
      <w:contextualSpacing/>
    </w:pPr>
  </w:style>
  <w:style w:type="paragraph" w:styleId="ListParagraph">
    <w:name w:val="List Paragraph"/>
    <w:basedOn w:val="Normal"/>
    <w:uiPriority w:val="34"/>
    <w:semiHidden/>
    <w:rsid w:val="00A21B54"/>
    <w:pPr>
      <w:ind w:left="567"/>
    </w:pPr>
  </w:style>
  <w:style w:type="paragraph" w:customStyle="1" w:styleId="FooterRunning">
    <w:name w:val="__Footer Running"/>
    <w:basedOn w:val="baseFooter"/>
    <w:rsid w:val="00EF5AD9"/>
    <w:rPr>
      <w:spacing w:val="-2"/>
      <w:szCs w:val="15"/>
    </w:rPr>
  </w:style>
  <w:style w:type="paragraph" w:customStyle="1" w:styleId="headerCover">
    <w:name w:val="__header Cover"/>
    <w:basedOn w:val="base"/>
    <w:semiHidden/>
    <w:rsid w:val="002C0820"/>
    <w:pPr>
      <w:tabs>
        <w:tab w:val="right" w:pos="9639"/>
      </w:tabs>
      <w:ind w:right="40"/>
      <w:jc w:val="right"/>
    </w:pPr>
    <w:rPr>
      <w:rFonts w:eastAsia="Times New Roman"/>
      <w:b/>
      <w:i/>
      <w:iCs/>
      <w:color w:val="1C355E" w:themeColor="text2"/>
      <w:sz w:val="32"/>
      <w:szCs w:val="18"/>
      <w:lang w:eastAsia="en-GB"/>
    </w:rPr>
  </w:style>
  <w:style w:type="character" w:styleId="Hyperlink">
    <w:name w:val="Hyperlink"/>
    <w:basedOn w:val="DefaultParagraphFont"/>
    <w:uiPriority w:val="99"/>
    <w:unhideWhenUsed/>
    <w:rsid w:val="00A21B54"/>
    <w:rPr>
      <w:rFonts w:asciiTheme="minorHAnsi" w:hAnsiTheme="minorHAnsi"/>
      <w:color w:val="0000FF"/>
      <w:u w:val="single"/>
    </w:rPr>
  </w:style>
  <w:style w:type="paragraph" w:styleId="BalloonText">
    <w:name w:val="Balloon Text"/>
    <w:basedOn w:val="Normal"/>
    <w:link w:val="BalloonTextChar"/>
    <w:uiPriority w:val="99"/>
    <w:semiHidden/>
    <w:unhideWhenUsed/>
    <w:rsid w:val="00A21B54"/>
    <w:rPr>
      <w:rFonts w:eastAsia="Times New Roman"/>
      <w:sz w:val="16"/>
      <w:szCs w:val="16"/>
    </w:rPr>
  </w:style>
  <w:style w:type="character" w:customStyle="1" w:styleId="BalloonTextChar">
    <w:name w:val="Balloon Text Char"/>
    <w:basedOn w:val="DefaultParagraphFont"/>
    <w:link w:val="BalloonText"/>
    <w:uiPriority w:val="99"/>
    <w:semiHidden/>
    <w:rsid w:val="00A21B54"/>
    <w:rPr>
      <w:rFonts w:asciiTheme="minorHAnsi" w:eastAsia="Times New Roman" w:hAnsiTheme="minorHAnsi"/>
      <w:color w:val="000000"/>
      <w:sz w:val="16"/>
      <w:szCs w:val="16"/>
      <w:lang w:eastAsia="en-US"/>
    </w:rPr>
  </w:style>
  <w:style w:type="table" w:styleId="TableGrid">
    <w:name w:val="Table Grid"/>
    <w:basedOn w:val="TableNormal"/>
    <w:uiPriority w:val="59"/>
    <w:rsid w:val="00A21B54"/>
    <w:tblPr/>
    <w:tcPr>
      <w:shd w:val="clear" w:color="auto" w:fill="auto"/>
    </w:tcPr>
  </w:style>
  <w:style w:type="paragraph" w:customStyle="1" w:styleId="Thesis">
    <w:name w:val="_Thesis"/>
    <w:basedOn w:val="NormalText"/>
    <w:qFormat/>
    <w:rsid w:val="00A21B54"/>
    <w:pPr>
      <w:spacing w:before="200" w:after="199" w:line="280" w:lineRule="atLeast"/>
    </w:pPr>
    <w:rPr>
      <w:i/>
      <w:color w:val="1C355E" w:themeColor="text2"/>
      <w:sz w:val="24"/>
    </w:rPr>
  </w:style>
  <w:style w:type="paragraph" w:styleId="List4">
    <w:name w:val="List 4"/>
    <w:basedOn w:val="Normal"/>
    <w:uiPriority w:val="99"/>
    <w:semiHidden/>
    <w:unhideWhenUsed/>
    <w:rsid w:val="00A21B54"/>
    <w:pPr>
      <w:ind w:left="1985" w:hanging="1134"/>
      <w:contextualSpacing/>
    </w:pPr>
  </w:style>
  <w:style w:type="paragraph" w:styleId="List5">
    <w:name w:val="List 5"/>
    <w:basedOn w:val="Normal"/>
    <w:uiPriority w:val="99"/>
    <w:semiHidden/>
    <w:unhideWhenUsed/>
    <w:rsid w:val="00A21B54"/>
    <w:pPr>
      <w:ind w:left="2552" w:hanging="1418"/>
      <w:contextualSpacing/>
    </w:pPr>
  </w:style>
  <w:style w:type="paragraph" w:styleId="ListNumber2">
    <w:name w:val="List Number 2"/>
    <w:basedOn w:val="Normal"/>
    <w:uiPriority w:val="99"/>
    <w:semiHidden/>
    <w:unhideWhenUsed/>
    <w:rsid w:val="00A21B54"/>
    <w:pPr>
      <w:numPr>
        <w:numId w:val="13"/>
      </w:numPr>
      <w:tabs>
        <w:tab w:val="left" w:pos="567"/>
      </w:tabs>
      <w:contextualSpacing/>
    </w:pPr>
  </w:style>
  <w:style w:type="paragraph" w:customStyle="1" w:styleId="Bullet">
    <w:name w:val="_Bullet"/>
    <w:basedOn w:val="NormalText"/>
    <w:qFormat/>
    <w:rsid w:val="00A21B54"/>
    <w:pPr>
      <w:numPr>
        <w:numId w:val="6"/>
      </w:numPr>
      <w:suppressAutoHyphens/>
      <w:spacing w:after="220"/>
    </w:pPr>
  </w:style>
  <w:style w:type="paragraph" w:customStyle="1" w:styleId="Bullet2">
    <w:name w:val="_Bullet 2"/>
    <w:basedOn w:val="Bullet"/>
    <w:qFormat/>
    <w:rsid w:val="00A21B54"/>
    <w:pPr>
      <w:numPr>
        <w:ilvl w:val="1"/>
      </w:numPr>
    </w:pPr>
  </w:style>
  <w:style w:type="paragraph" w:customStyle="1" w:styleId="BulletNumbered">
    <w:name w:val="_Bullet Numbered"/>
    <w:basedOn w:val="NormalText"/>
    <w:qFormat/>
    <w:rsid w:val="00A21B54"/>
    <w:pPr>
      <w:numPr>
        <w:numId w:val="7"/>
      </w:numPr>
      <w:spacing w:before="120" w:after="220"/>
    </w:pPr>
  </w:style>
  <w:style w:type="paragraph" w:customStyle="1" w:styleId="SECTIONInnerFrontCover">
    <w:name w:val="__SECTION Inner Front Cover"/>
    <w:basedOn w:val="1pthidden"/>
    <w:next w:val="BodyText"/>
    <w:semiHidden/>
    <w:rsid w:val="00EF5AD9"/>
  </w:style>
  <w:style w:type="paragraph" w:customStyle="1" w:styleId="SECTIONAnalystContacts">
    <w:name w:val="__SECTION Analyst Contacts"/>
    <w:basedOn w:val="1pthidden"/>
    <w:next w:val="BodyText"/>
    <w:semiHidden/>
    <w:rsid w:val="00EF5AD9"/>
  </w:style>
  <w:style w:type="numbering" w:customStyle="1" w:styleId="ListBullet0">
    <w:name w:val="__List Bullet"/>
    <w:basedOn w:val="NoList"/>
    <w:uiPriority w:val="99"/>
    <w:semiHidden/>
    <w:rsid w:val="00C565EC"/>
    <w:pPr>
      <w:numPr>
        <w:numId w:val="2"/>
      </w:numPr>
    </w:pPr>
  </w:style>
  <w:style w:type="paragraph" w:customStyle="1" w:styleId="SECTIONTOC">
    <w:name w:val="__SECTION TOC"/>
    <w:basedOn w:val="1pthidden"/>
    <w:next w:val="BodyText"/>
    <w:semiHidden/>
    <w:rsid w:val="00EF5AD9"/>
  </w:style>
  <w:style w:type="paragraph" w:customStyle="1" w:styleId="SECTIONExecutiveSummary">
    <w:name w:val="__SECTION Executive Summary"/>
    <w:basedOn w:val="1pthidden"/>
    <w:next w:val="BodyText"/>
    <w:semiHidden/>
    <w:rsid w:val="00EF5AD9"/>
  </w:style>
  <w:style w:type="paragraph" w:customStyle="1" w:styleId="SECTIONSummaryData">
    <w:name w:val="__SECTION Summary Data"/>
    <w:basedOn w:val="1pthidden"/>
    <w:next w:val="BodyText"/>
    <w:semiHidden/>
    <w:rsid w:val="00EF5AD9"/>
  </w:style>
  <w:style w:type="paragraph" w:customStyle="1" w:styleId="SECTIONChapter">
    <w:name w:val="__SECTION Chapter"/>
    <w:basedOn w:val="1pthidden"/>
    <w:next w:val="BodyText"/>
    <w:semiHidden/>
    <w:rsid w:val="00EF5AD9"/>
  </w:style>
  <w:style w:type="paragraph" w:customStyle="1" w:styleId="ChapterNumber">
    <w:name w:val="_Chapter Number"/>
    <w:basedOn w:val="baseChapter"/>
    <w:link w:val="ChapterNumberChar"/>
    <w:rsid w:val="00A21B54"/>
    <w:pPr>
      <w:framePr w:wrap="around"/>
      <w:spacing w:line="1800" w:lineRule="exact"/>
    </w:pPr>
    <w:rPr>
      <w:color w:val="A4AEBF" w:themeColor="accent2"/>
      <w:position w:val="14"/>
      <w:sz w:val="180"/>
      <w:szCs w:val="180"/>
    </w:rPr>
  </w:style>
  <w:style w:type="character" w:customStyle="1" w:styleId="NormalTextChar">
    <w:name w:val="___Normal Text Char"/>
    <w:basedOn w:val="baseChar"/>
    <w:link w:val="NormalText"/>
    <w:semiHidden/>
    <w:rsid w:val="00EF5AD9"/>
    <w:rPr>
      <w:rFonts w:asciiTheme="minorHAnsi" w:hAnsiTheme="minorHAnsi"/>
      <w:color w:val="000000" w:themeColor="text1"/>
      <w:sz w:val="22"/>
      <w:szCs w:val="22"/>
      <w:lang w:eastAsia="en-US"/>
    </w:rPr>
  </w:style>
  <w:style w:type="character" w:customStyle="1" w:styleId="baseChapterChar">
    <w:name w:val="__base Chapter Char"/>
    <w:basedOn w:val="NormalTextChar"/>
    <w:link w:val="baseChapter"/>
    <w:semiHidden/>
    <w:rsid w:val="00EF5AD9"/>
    <w:rPr>
      <w:rFonts w:asciiTheme="minorHAnsi" w:hAnsiTheme="minorHAnsi"/>
      <w:color w:val="1C355E" w:themeColor="text2"/>
      <w:sz w:val="60"/>
      <w:szCs w:val="22"/>
      <w:shd w:val="clear" w:color="auto" w:fill="FFFFFF"/>
      <w:lang w:eastAsia="en-US"/>
    </w:rPr>
  </w:style>
  <w:style w:type="character" w:customStyle="1" w:styleId="ChapterChar">
    <w:name w:val="_Chapter Char"/>
    <w:basedOn w:val="baseChapterChar"/>
    <w:link w:val="Chapter"/>
    <w:rsid w:val="00A21B54"/>
    <w:rPr>
      <w:rFonts w:asciiTheme="minorHAnsi" w:hAnsiTheme="minorHAnsi"/>
      <w:color w:val="1C355E" w:themeColor="text2"/>
      <w:sz w:val="60"/>
      <w:szCs w:val="22"/>
      <w:shd w:val="clear" w:color="auto" w:fill="FFFFFF"/>
      <w:lang w:eastAsia="en-US"/>
    </w:rPr>
  </w:style>
  <w:style w:type="character" w:customStyle="1" w:styleId="ChapterNumberChar">
    <w:name w:val="_Chapter Number Char"/>
    <w:basedOn w:val="ChapterChar"/>
    <w:link w:val="ChapterNumber"/>
    <w:rsid w:val="00A21B54"/>
    <w:rPr>
      <w:rFonts w:asciiTheme="minorHAnsi" w:hAnsiTheme="minorHAnsi"/>
      <w:color w:val="A4AEBF" w:themeColor="accent2"/>
      <w:position w:val="14"/>
      <w:sz w:val="180"/>
      <w:szCs w:val="180"/>
      <w:shd w:val="clear" w:color="auto" w:fill="FFFFFF"/>
      <w:lang w:eastAsia="en-US"/>
    </w:rPr>
  </w:style>
  <w:style w:type="paragraph" w:customStyle="1" w:styleId="chapterRunning">
    <w:name w:val="__chapter Running"/>
    <w:basedOn w:val="headerRunning"/>
    <w:semiHidden/>
    <w:rsid w:val="00EF5AD9"/>
    <w:pPr>
      <w:framePr w:w="9639" w:h="1021" w:hRule="exact" w:wrap="around" w:vAnchor="page" w:hAnchor="text" w:y="1702"/>
      <w:spacing w:after="480" w:line="440" w:lineRule="exact"/>
      <w:ind w:right="0"/>
    </w:pPr>
    <w:rPr>
      <w:b/>
      <w:sz w:val="22"/>
    </w:rPr>
  </w:style>
  <w:style w:type="paragraph" w:customStyle="1" w:styleId="AnalystTeamHeading">
    <w:name w:val="_Analyst Team Heading"/>
    <w:basedOn w:val="baseAnalyst"/>
    <w:rsid w:val="00A21B54"/>
    <w:pPr>
      <w:spacing w:after="360" w:line="240" w:lineRule="atLeast"/>
    </w:pPr>
    <w:rPr>
      <w:b/>
      <w:color w:val="1C355E" w:themeColor="text2"/>
      <w:sz w:val="26"/>
      <w:szCs w:val="26"/>
    </w:rPr>
  </w:style>
  <w:style w:type="paragraph" w:customStyle="1" w:styleId="AnalystText">
    <w:name w:val="_Analyst Text"/>
    <w:basedOn w:val="baseAnalyst"/>
    <w:rsid w:val="00A21B54"/>
    <w:pPr>
      <w:spacing w:after="160"/>
    </w:pPr>
    <w:rPr>
      <w:sz w:val="16"/>
      <w:szCs w:val="16"/>
    </w:rPr>
  </w:style>
  <w:style w:type="paragraph" w:customStyle="1" w:styleId="AnalystName">
    <w:name w:val="_Analyst Name"/>
    <w:basedOn w:val="baseAnalyst"/>
    <w:next w:val="AnalystContact"/>
    <w:qFormat/>
    <w:rsid w:val="00A21B54"/>
    <w:pPr>
      <w:spacing w:line="240" w:lineRule="atLeast"/>
    </w:pPr>
    <w:rPr>
      <w:b/>
      <w:sz w:val="22"/>
    </w:rPr>
  </w:style>
  <w:style w:type="paragraph" w:customStyle="1" w:styleId="AnalystContact">
    <w:name w:val="_Analyst Contact"/>
    <w:basedOn w:val="baseAnalyst"/>
    <w:qFormat/>
    <w:rsid w:val="00A21B54"/>
    <w:pPr>
      <w:tabs>
        <w:tab w:val="left" w:pos="408"/>
      </w:tabs>
    </w:pPr>
    <w:rPr>
      <w:position w:val="4"/>
      <w:sz w:val="22"/>
    </w:rPr>
  </w:style>
  <w:style w:type="paragraph" w:styleId="TOC3">
    <w:name w:val="toc 3"/>
    <w:basedOn w:val="NormalText"/>
    <w:next w:val="Normal"/>
    <w:autoRedefine/>
    <w:uiPriority w:val="39"/>
    <w:unhideWhenUsed/>
    <w:rsid w:val="00A21B54"/>
    <w:pPr>
      <w:tabs>
        <w:tab w:val="right" w:leader="dot" w:pos="7655"/>
      </w:tabs>
      <w:spacing w:after="100"/>
      <w:ind w:left="397"/>
    </w:pPr>
    <w:rPr>
      <w:sz w:val="18"/>
    </w:rPr>
  </w:style>
  <w:style w:type="paragraph" w:customStyle="1" w:styleId="StyleRPTeamLinespacingExactly9pt">
    <w:name w:val="Style _RP Team + Line spacing:  Exactly 9 pt"/>
    <w:basedOn w:val="Normal"/>
    <w:semiHidden/>
    <w:rsid w:val="00A21B54"/>
    <w:pPr>
      <w:spacing w:line="180" w:lineRule="exact"/>
      <w:jc w:val="left"/>
    </w:pPr>
    <w:rPr>
      <w:rFonts w:eastAsia="Times New Roman"/>
      <w:b/>
      <w:bCs/>
      <w:color w:val="auto"/>
      <w:sz w:val="17"/>
      <w:szCs w:val="20"/>
    </w:rPr>
  </w:style>
  <w:style w:type="paragraph" w:customStyle="1" w:styleId="SECTIONDisclaimerPage">
    <w:name w:val="__SECTION Disclaimer Page"/>
    <w:basedOn w:val="1pthidden"/>
    <w:next w:val="BodyText"/>
    <w:semiHidden/>
    <w:rsid w:val="00EF5AD9"/>
  </w:style>
  <w:style w:type="character" w:customStyle="1" w:styleId="Thesislead">
    <w:name w:val="_Thesis lead"/>
    <w:basedOn w:val="DefaultParagraphFont"/>
    <w:qFormat/>
    <w:rsid w:val="00A21B54"/>
    <w:rPr>
      <w:rFonts w:asciiTheme="minorHAnsi" w:hAnsiTheme="minorHAnsi"/>
      <w:b/>
      <w:i/>
      <w:color w:val="1C355E" w:themeColor="text2"/>
      <w:sz w:val="22"/>
      <w:szCs w:val="48"/>
    </w:rPr>
  </w:style>
  <w:style w:type="paragraph" w:customStyle="1" w:styleId="6pt">
    <w:name w:val="__6pt"/>
    <w:basedOn w:val="1pt"/>
    <w:semiHidden/>
    <w:rsid w:val="00EF5AD9"/>
    <w:pPr>
      <w:spacing w:line="120" w:lineRule="exact"/>
    </w:pPr>
  </w:style>
  <w:style w:type="character" w:styleId="FootnoteReference">
    <w:name w:val="footnote reference"/>
    <w:basedOn w:val="DefaultParagraphFont"/>
    <w:semiHidden/>
    <w:rsid w:val="00A21B54"/>
    <w:rPr>
      <w:rFonts w:asciiTheme="minorHAnsi" w:hAnsiTheme="minorHAnsi"/>
      <w:vertAlign w:val="superscript"/>
    </w:rPr>
  </w:style>
  <w:style w:type="paragraph" w:customStyle="1" w:styleId="StyleChapterPatternClear">
    <w:name w:val="Style _Chapter + Pattern: Clear"/>
    <w:basedOn w:val="Chapter"/>
    <w:semiHidden/>
    <w:rsid w:val="00A21B54"/>
    <w:pPr>
      <w:framePr w:wrap="around"/>
    </w:pPr>
    <w:rPr>
      <w:rFonts w:eastAsia="Times New Roman"/>
      <w:bCs/>
      <w:szCs w:val="20"/>
    </w:rPr>
  </w:style>
  <w:style w:type="numbering" w:styleId="111111">
    <w:name w:val="Outline List 2"/>
    <w:basedOn w:val="NoList"/>
    <w:semiHidden/>
    <w:rsid w:val="00A21B54"/>
    <w:pPr>
      <w:numPr>
        <w:numId w:val="3"/>
      </w:numPr>
    </w:pPr>
  </w:style>
  <w:style w:type="numbering" w:styleId="1ai">
    <w:name w:val="Outline List 1"/>
    <w:basedOn w:val="NoList"/>
    <w:semiHidden/>
    <w:rsid w:val="00A21B54"/>
    <w:pPr>
      <w:numPr>
        <w:numId w:val="4"/>
      </w:numPr>
    </w:pPr>
  </w:style>
  <w:style w:type="numbering" w:styleId="ArticleSection">
    <w:name w:val="Outline List 3"/>
    <w:basedOn w:val="NoList"/>
    <w:semiHidden/>
    <w:rsid w:val="00A21B54"/>
    <w:pPr>
      <w:numPr>
        <w:numId w:val="5"/>
      </w:numPr>
    </w:pPr>
  </w:style>
  <w:style w:type="paragraph" w:styleId="BlockText">
    <w:name w:val="Block Text"/>
    <w:basedOn w:val="Normal"/>
    <w:semiHidden/>
    <w:rsid w:val="00A21B54"/>
    <w:pPr>
      <w:spacing w:after="120"/>
      <w:ind w:left="1440" w:right="1440"/>
    </w:pPr>
  </w:style>
  <w:style w:type="paragraph" w:styleId="BodyText0">
    <w:name w:val="Body Text"/>
    <w:basedOn w:val="Normal"/>
    <w:semiHidden/>
    <w:rsid w:val="00A21B54"/>
    <w:pPr>
      <w:spacing w:after="120"/>
    </w:pPr>
  </w:style>
  <w:style w:type="paragraph" w:styleId="BodyText2">
    <w:name w:val="Body Text 2"/>
    <w:basedOn w:val="Normal"/>
    <w:semiHidden/>
    <w:rsid w:val="00A21B54"/>
    <w:pPr>
      <w:spacing w:after="120" w:line="480" w:lineRule="auto"/>
    </w:pPr>
  </w:style>
  <w:style w:type="paragraph" w:styleId="BodyText3">
    <w:name w:val="Body Text 3"/>
    <w:basedOn w:val="Normal"/>
    <w:semiHidden/>
    <w:rsid w:val="00A21B54"/>
    <w:pPr>
      <w:spacing w:after="120"/>
    </w:pPr>
    <w:rPr>
      <w:sz w:val="16"/>
      <w:szCs w:val="16"/>
    </w:rPr>
  </w:style>
  <w:style w:type="paragraph" w:styleId="BodyTextFirstIndent">
    <w:name w:val="Body Text First Indent"/>
    <w:basedOn w:val="BodyText0"/>
    <w:semiHidden/>
    <w:rsid w:val="00A21B54"/>
    <w:pPr>
      <w:ind w:firstLine="210"/>
    </w:pPr>
  </w:style>
  <w:style w:type="paragraph" w:styleId="BodyTextIndent">
    <w:name w:val="Body Text Indent"/>
    <w:basedOn w:val="Normal"/>
    <w:semiHidden/>
    <w:rsid w:val="00A21B54"/>
    <w:pPr>
      <w:spacing w:after="120"/>
      <w:ind w:left="283"/>
    </w:pPr>
  </w:style>
  <w:style w:type="paragraph" w:styleId="BodyTextFirstIndent2">
    <w:name w:val="Body Text First Indent 2"/>
    <w:basedOn w:val="BodyTextIndent"/>
    <w:semiHidden/>
    <w:rsid w:val="00A21B54"/>
    <w:pPr>
      <w:ind w:firstLine="210"/>
    </w:pPr>
  </w:style>
  <w:style w:type="paragraph" w:styleId="BodyTextIndent2">
    <w:name w:val="Body Text Indent 2"/>
    <w:basedOn w:val="Normal"/>
    <w:semiHidden/>
    <w:rsid w:val="00A21B54"/>
    <w:pPr>
      <w:spacing w:after="120" w:line="480" w:lineRule="auto"/>
      <w:ind w:left="283"/>
    </w:pPr>
  </w:style>
  <w:style w:type="paragraph" w:styleId="BodyTextIndent3">
    <w:name w:val="Body Text Indent 3"/>
    <w:basedOn w:val="Normal"/>
    <w:semiHidden/>
    <w:rsid w:val="00A21B54"/>
    <w:pPr>
      <w:spacing w:after="120"/>
      <w:ind w:left="283"/>
    </w:pPr>
    <w:rPr>
      <w:sz w:val="16"/>
      <w:szCs w:val="16"/>
    </w:rPr>
  </w:style>
  <w:style w:type="paragraph" w:styleId="Closing">
    <w:name w:val="Closing"/>
    <w:basedOn w:val="Normal"/>
    <w:semiHidden/>
    <w:rsid w:val="00A21B54"/>
    <w:pPr>
      <w:ind w:left="4252"/>
    </w:pPr>
  </w:style>
  <w:style w:type="paragraph" w:styleId="Date">
    <w:name w:val="Date"/>
    <w:basedOn w:val="Normal"/>
    <w:next w:val="Normal"/>
    <w:semiHidden/>
    <w:rsid w:val="00A21B54"/>
  </w:style>
  <w:style w:type="paragraph" w:styleId="E-mailSignature">
    <w:name w:val="E-mail Signature"/>
    <w:basedOn w:val="Normal"/>
    <w:semiHidden/>
    <w:rsid w:val="00A21B54"/>
  </w:style>
  <w:style w:type="character" w:styleId="Emphasis">
    <w:name w:val="Emphasis"/>
    <w:basedOn w:val="DefaultParagraphFont"/>
    <w:semiHidden/>
    <w:rsid w:val="00A21B54"/>
    <w:rPr>
      <w:rFonts w:asciiTheme="minorHAnsi" w:hAnsiTheme="minorHAnsi"/>
      <w:i/>
      <w:iCs/>
    </w:rPr>
  </w:style>
  <w:style w:type="paragraph" w:styleId="EnvelopeAddress">
    <w:name w:val="envelope address"/>
    <w:basedOn w:val="Normal"/>
    <w:semiHidden/>
    <w:rsid w:val="00A21B54"/>
    <w:pPr>
      <w:framePr w:w="7920" w:h="1980" w:hRule="exact" w:hSpace="180" w:wrap="auto" w:hAnchor="page" w:xAlign="center" w:yAlign="bottom"/>
      <w:ind w:left="2880"/>
    </w:pPr>
    <w:rPr>
      <w:rFonts w:cs="Arial"/>
      <w:sz w:val="24"/>
      <w:szCs w:val="24"/>
    </w:rPr>
  </w:style>
  <w:style w:type="paragraph" w:styleId="EnvelopeReturn">
    <w:name w:val="envelope return"/>
    <w:basedOn w:val="Normal"/>
    <w:semiHidden/>
    <w:rsid w:val="00A21B54"/>
    <w:rPr>
      <w:rFonts w:cs="Arial"/>
      <w:sz w:val="20"/>
      <w:szCs w:val="20"/>
    </w:rPr>
  </w:style>
  <w:style w:type="character" w:styleId="FollowedHyperlink">
    <w:name w:val="FollowedHyperlink"/>
    <w:basedOn w:val="DefaultParagraphFont"/>
    <w:semiHidden/>
    <w:rsid w:val="00A21B54"/>
    <w:rPr>
      <w:rFonts w:asciiTheme="minorHAnsi" w:hAnsiTheme="minorHAnsi"/>
      <w:color w:val="800080"/>
      <w:u w:val="single"/>
    </w:rPr>
  </w:style>
  <w:style w:type="character" w:styleId="HTMLAcronym">
    <w:name w:val="HTML Acronym"/>
    <w:basedOn w:val="DefaultParagraphFont"/>
    <w:semiHidden/>
    <w:rsid w:val="00A21B54"/>
    <w:rPr>
      <w:rFonts w:asciiTheme="minorHAnsi" w:hAnsiTheme="minorHAnsi"/>
    </w:rPr>
  </w:style>
  <w:style w:type="paragraph" w:styleId="HTMLAddress">
    <w:name w:val="HTML Address"/>
    <w:basedOn w:val="Normal"/>
    <w:semiHidden/>
    <w:rsid w:val="00A21B54"/>
    <w:rPr>
      <w:i/>
      <w:iCs/>
    </w:rPr>
  </w:style>
  <w:style w:type="character" w:styleId="HTMLCite">
    <w:name w:val="HTML Cite"/>
    <w:basedOn w:val="DefaultParagraphFont"/>
    <w:semiHidden/>
    <w:rsid w:val="00A21B54"/>
    <w:rPr>
      <w:rFonts w:asciiTheme="minorHAnsi" w:hAnsiTheme="minorHAnsi"/>
      <w:i/>
      <w:iCs/>
    </w:rPr>
  </w:style>
  <w:style w:type="character" w:styleId="HTMLCode">
    <w:name w:val="HTML Code"/>
    <w:basedOn w:val="DefaultParagraphFont"/>
    <w:semiHidden/>
    <w:rsid w:val="00A21B54"/>
    <w:rPr>
      <w:rFonts w:asciiTheme="minorHAnsi" w:hAnsiTheme="minorHAnsi" w:cs="Courier New"/>
      <w:sz w:val="20"/>
      <w:szCs w:val="20"/>
    </w:rPr>
  </w:style>
  <w:style w:type="character" w:styleId="HTMLDefinition">
    <w:name w:val="HTML Definition"/>
    <w:basedOn w:val="DefaultParagraphFont"/>
    <w:semiHidden/>
    <w:rsid w:val="00A21B54"/>
    <w:rPr>
      <w:rFonts w:asciiTheme="minorHAnsi" w:hAnsiTheme="minorHAnsi"/>
      <w:i/>
      <w:iCs/>
    </w:rPr>
  </w:style>
  <w:style w:type="character" w:styleId="HTMLKeyboard">
    <w:name w:val="HTML Keyboard"/>
    <w:basedOn w:val="DefaultParagraphFont"/>
    <w:semiHidden/>
    <w:rsid w:val="00A21B54"/>
    <w:rPr>
      <w:rFonts w:asciiTheme="minorHAnsi" w:hAnsiTheme="minorHAnsi" w:cs="Courier New"/>
      <w:sz w:val="20"/>
      <w:szCs w:val="20"/>
    </w:rPr>
  </w:style>
  <w:style w:type="paragraph" w:styleId="HTMLPreformatted">
    <w:name w:val="HTML Preformatted"/>
    <w:basedOn w:val="Normal"/>
    <w:semiHidden/>
    <w:rsid w:val="00A21B54"/>
    <w:rPr>
      <w:rFonts w:cs="Courier New"/>
      <w:sz w:val="20"/>
      <w:szCs w:val="20"/>
    </w:rPr>
  </w:style>
  <w:style w:type="character" w:styleId="HTMLSample">
    <w:name w:val="HTML Sample"/>
    <w:basedOn w:val="DefaultParagraphFont"/>
    <w:semiHidden/>
    <w:rsid w:val="00A21B54"/>
    <w:rPr>
      <w:rFonts w:asciiTheme="minorHAnsi" w:hAnsiTheme="minorHAnsi" w:cs="Courier New"/>
    </w:rPr>
  </w:style>
  <w:style w:type="character" w:styleId="HTMLTypewriter">
    <w:name w:val="HTML Typewriter"/>
    <w:basedOn w:val="DefaultParagraphFont"/>
    <w:semiHidden/>
    <w:rsid w:val="00A21B54"/>
    <w:rPr>
      <w:rFonts w:asciiTheme="minorHAnsi" w:hAnsiTheme="minorHAnsi" w:cs="Courier New"/>
      <w:sz w:val="20"/>
      <w:szCs w:val="20"/>
    </w:rPr>
  </w:style>
  <w:style w:type="character" w:styleId="HTMLVariable">
    <w:name w:val="HTML Variable"/>
    <w:basedOn w:val="DefaultParagraphFont"/>
    <w:semiHidden/>
    <w:rsid w:val="00A21B54"/>
    <w:rPr>
      <w:rFonts w:asciiTheme="minorHAnsi" w:hAnsiTheme="minorHAnsi"/>
      <w:i/>
      <w:iCs/>
    </w:rPr>
  </w:style>
  <w:style w:type="character" w:styleId="LineNumber">
    <w:name w:val="line number"/>
    <w:basedOn w:val="DefaultParagraphFont"/>
    <w:semiHidden/>
    <w:rsid w:val="00A21B54"/>
    <w:rPr>
      <w:rFonts w:asciiTheme="minorHAnsi" w:hAnsiTheme="minorHAnsi"/>
    </w:rPr>
  </w:style>
  <w:style w:type="paragraph" w:styleId="ListBullet3">
    <w:name w:val="List Bullet 3"/>
    <w:basedOn w:val="Normal"/>
    <w:semiHidden/>
    <w:rsid w:val="00A21B54"/>
    <w:pPr>
      <w:numPr>
        <w:numId w:val="10"/>
      </w:numPr>
    </w:pPr>
  </w:style>
  <w:style w:type="paragraph" w:styleId="ListBullet4">
    <w:name w:val="List Bullet 4"/>
    <w:basedOn w:val="Normal"/>
    <w:semiHidden/>
    <w:rsid w:val="00A21B54"/>
    <w:pPr>
      <w:numPr>
        <w:numId w:val="11"/>
      </w:numPr>
    </w:pPr>
  </w:style>
  <w:style w:type="paragraph" w:styleId="ListBullet5">
    <w:name w:val="List Bullet 5"/>
    <w:basedOn w:val="Normal"/>
    <w:semiHidden/>
    <w:rsid w:val="00A21B54"/>
    <w:pPr>
      <w:numPr>
        <w:numId w:val="12"/>
      </w:numPr>
    </w:pPr>
  </w:style>
  <w:style w:type="paragraph" w:styleId="ListContinue">
    <w:name w:val="List Continue"/>
    <w:basedOn w:val="Normal"/>
    <w:semiHidden/>
    <w:rsid w:val="00A21B54"/>
    <w:pPr>
      <w:spacing w:after="120"/>
      <w:ind w:left="283"/>
    </w:pPr>
  </w:style>
  <w:style w:type="paragraph" w:styleId="ListContinue2">
    <w:name w:val="List Continue 2"/>
    <w:basedOn w:val="Normal"/>
    <w:semiHidden/>
    <w:rsid w:val="00A21B54"/>
    <w:pPr>
      <w:spacing w:after="120"/>
      <w:ind w:left="566"/>
    </w:pPr>
  </w:style>
  <w:style w:type="paragraph" w:styleId="ListContinue3">
    <w:name w:val="List Continue 3"/>
    <w:basedOn w:val="Normal"/>
    <w:semiHidden/>
    <w:rsid w:val="00A21B54"/>
    <w:pPr>
      <w:spacing w:after="120"/>
      <w:ind w:left="849"/>
    </w:pPr>
  </w:style>
  <w:style w:type="paragraph" w:styleId="ListContinue4">
    <w:name w:val="List Continue 4"/>
    <w:basedOn w:val="Normal"/>
    <w:semiHidden/>
    <w:rsid w:val="00A21B54"/>
    <w:pPr>
      <w:spacing w:after="120"/>
      <w:ind w:left="1132"/>
    </w:pPr>
  </w:style>
  <w:style w:type="paragraph" w:styleId="ListContinue5">
    <w:name w:val="List Continue 5"/>
    <w:basedOn w:val="Normal"/>
    <w:semiHidden/>
    <w:rsid w:val="00A21B54"/>
    <w:pPr>
      <w:spacing w:after="120"/>
      <w:ind w:left="1415"/>
    </w:pPr>
  </w:style>
  <w:style w:type="paragraph" w:styleId="ListNumber3">
    <w:name w:val="List Number 3"/>
    <w:basedOn w:val="Normal"/>
    <w:semiHidden/>
    <w:rsid w:val="00A21B54"/>
    <w:pPr>
      <w:numPr>
        <w:numId w:val="14"/>
      </w:numPr>
    </w:pPr>
  </w:style>
  <w:style w:type="paragraph" w:styleId="ListNumber4">
    <w:name w:val="List Number 4"/>
    <w:basedOn w:val="Normal"/>
    <w:semiHidden/>
    <w:rsid w:val="00A21B54"/>
    <w:pPr>
      <w:numPr>
        <w:numId w:val="15"/>
      </w:numPr>
    </w:pPr>
  </w:style>
  <w:style w:type="paragraph" w:styleId="ListNumber5">
    <w:name w:val="List Number 5"/>
    <w:basedOn w:val="Normal"/>
    <w:semiHidden/>
    <w:rsid w:val="00A21B54"/>
    <w:pPr>
      <w:numPr>
        <w:numId w:val="16"/>
      </w:numPr>
    </w:pPr>
  </w:style>
  <w:style w:type="paragraph" w:styleId="MessageHeader">
    <w:name w:val="Message Header"/>
    <w:basedOn w:val="Normal"/>
    <w:semiHidden/>
    <w:rsid w:val="00A21B54"/>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NormalWeb">
    <w:name w:val="Normal (Web)"/>
    <w:basedOn w:val="Normal"/>
    <w:uiPriority w:val="99"/>
    <w:semiHidden/>
    <w:rsid w:val="00A21B54"/>
    <w:rPr>
      <w:sz w:val="24"/>
      <w:szCs w:val="24"/>
    </w:rPr>
  </w:style>
  <w:style w:type="paragraph" w:styleId="NormalIndent">
    <w:name w:val="Normal Indent"/>
    <w:basedOn w:val="Normal"/>
    <w:semiHidden/>
    <w:rsid w:val="00A21B54"/>
    <w:pPr>
      <w:ind w:left="720"/>
    </w:pPr>
  </w:style>
  <w:style w:type="paragraph" w:styleId="NoteHeading">
    <w:name w:val="Note Heading"/>
    <w:basedOn w:val="Normal"/>
    <w:next w:val="Normal"/>
    <w:semiHidden/>
    <w:rsid w:val="00A21B54"/>
  </w:style>
  <w:style w:type="character" w:styleId="PageNumber">
    <w:name w:val="page number"/>
    <w:basedOn w:val="DefaultParagraphFont"/>
    <w:semiHidden/>
    <w:rsid w:val="00A21B54"/>
    <w:rPr>
      <w:rFonts w:asciiTheme="minorHAnsi" w:hAnsiTheme="minorHAnsi"/>
    </w:rPr>
  </w:style>
  <w:style w:type="paragraph" w:styleId="PlainText">
    <w:name w:val="Plain Text"/>
    <w:basedOn w:val="Normal"/>
    <w:semiHidden/>
    <w:rsid w:val="00A21B54"/>
    <w:rPr>
      <w:rFonts w:cs="Courier New"/>
      <w:sz w:val="20"/>
      <w:szCs w:val="20"/>
    </w:rPr>
  </w:style>
  <w:style w:type="paragraph" w:styleId="Salutation">
    <w:name w:val="Salutation"/>
    <w:basedOn w:val="Normal"/>
    <w:next w:val="Normal"/>
    <w:semiHidden/>
    <w:rsid w:val="00A21B54"/>
  </w:style>
  <w:style w:type="paragraph" w:styleId="Signature">
    <w:name w:val="Signature"/>
    <w:basedOn w:val="Normal"/>
    <w:semiHidden/>
    <w:rsid w:val="00A21B54"/>
    <w:pPr>
      <w:ind w:left="4252"/>
    </w:pPr>
  </w:style>
  <w:style w:type="character" w:styleId="Strong">
    <w:name w:val="Strong"/>
    <w:basedOn w:val="DefaultParagraphFont"/>
    <w:semiHidden/>
    <w:rsid w:val="00A21B54"/>
    <w:rPr>
      <w:rFonts w:asciiTheme="minorHAnsi" w:hAnsiTheme="minorHAnsi"/>
      <w:b/>
      <w:bCs/>
    </w:rPr>
  </w:style>
  <w:style w:type="paragraph" w:styleId="Subtitle">
    <w:name w:val="Subtitle"/>
    <w:basedOn w:val="Normal"/>
    <w:semiHidden/>
    <w:rsid w:val="00A21B54"/>
    <w:pPr>
      <w:spacing w:after="60"/>
      <w:jc w:val="center"/>
      <w:outlineLvl w:val="1"/>
    </w:pPr>
    <w:rPr>
      <w:rFonts w:cs="Arial"/>
      <w:sz w:val="24"/>
      <w:szCs w:val="24"/>
    </w:rPr>
  </w:style>
  <w:style w:type="table" w:styleId="Table3Deffects1">
    <w:name w:val="Table 3D effects 1"/>
    <w:basedOn w:val="TableNormal"/>
    <w:semiHidden/>
    <w:rsid w:val="00A21B54"/>
    <w:pPr>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A21B54"/>
    <w:pPr>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A21B54"/>
    <w:pPr>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A21B54"/>
    <w:pPr>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A21B54"/>
    <w:pPr>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A21B54"/>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A21B54"/>
    <w:pPr>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A21B54"/>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A21B54"/>
    <w:pPr>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A21B54"/>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A21B54"/>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A21B54"/>
    <w:pPr>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A21B54"/>
    <w:pPr>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A21B54"/>
    <w:pPr>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A21B54"/>
    <w:pPr>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A21B54"/>
    <w:pPr>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A21B54"/>
    <w:pPr>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A21B54"/>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A21B54"/>
    <w:pPr>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A21B54"/>
    <w:pPr>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A21B54"/>
    <w:pPr>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A21B54"/>
    <w:pPr>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A21B54"/>
    <w:pPr>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A21B54"/>
    <w:pPr>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A21B54"/>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A21B54"/>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A21B54"/>
    <w:pPr>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A21B54"/>
    <w:pPr>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A21B54"/>
    <w:pPr>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A21B54"/>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A21B54"/>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A21B54"/>
    <w:pPr>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A21B54"/>
    <w:pPr>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A21B54"/>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A21B54"/>
    <w:pPr>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A21B54"/>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A21B54"/>
    <w:pPr>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A21B54"/>
    <w:pPr>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A21B54"/>
    <w:pPr>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A21B5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A21B54"/>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A21B54"/>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A21B5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semiHidden/>
    <w:rsid w:val="00A21B54"/>
    <w:pPr>
      <w:spacing w:before="240" w:after="60"/>
      <w:jc w:val="center"/>
      <w:outlineLvl w:val="0"/>
    </w:pPr>
    <w:rPr>
      <w:rFonts w:cs="Arial"/>
      <w:b/>
      <w:bCs/>
      <w:kern w:val="28"/>
      <w:sz w:val="32"/>
      <w:szCs w:val="32"/>
    </w:rPr>
  </w:style>
  <w:style w:type="paragraph" w:styleId="Caption">
    <w:name w:val="caption"/>
    <w:basedOn w:val="Normal"/>
    <w:next w:val="Normal"/>
    <w:semiHidden/>
    <w:rsid w:val="00A21B54"/>
    <w:rPr>
      <w:b/>
      <w:bCs/>
      <w:sz w:val="20"/>
      <w:szCs w:val="20"/>
    </w:rPr>
  </w:style>
  <w:style w:type="character" w:styleId="CommentReference">
    <w:name w:val="annotation reference"/>
    <w:basedOn w:val="DefaultParagraphFont"/>
    <w:semiHidden/>
    <w:rsid w:val="00A21B54"/>
    <w:rPr>
      <w:rFonts w:asciiTheme="minorHAnsi" w:hAnsiTheme="minorHAnsi"/>
      <w:sz w:val="16"/>
      <w:szCs w:val="16"/>
    </w:rPr>
  </w:style>
  <w:style w:type="paragraph" w:styleId="CommentText">
    <w:name w:val="annotation text"/>
    <w:basedOn w:val="Normal"/>
    <w:semiHidden/>
    <w:rsid w:val="00A21B54"/>
    <w:rPr>
      <w:sz w:val="20"/>
      <w:szCs w:val="20"/>
    </w:rPr>
  </w:style>
  <w:style w:type="paragraph" w:styleId="CommentSubject">
    <w:name w:val="annotation subject"/>
    <w:basedOn w:val="CommentText"/>
    <w:next w:val="CommentText"/>
    <w:semiHidden/>
    <w:rsid w:val="00A21B54"/>
    <w:rPr>
      <w:b/>
      <w:bCs/>
    </w:rPr>
  </w:style>
  <w:style w:type="paragraph" w:styleId="DocumentMap">
    <w:name w:val="Document Map"/>
    <w:basedOn w:val="Normal"/>
    <w:semiHidden/>
    <w:rsid w:val="00A21B54"/>
    <w:pPr>
      <w:shd w:val="clear" w:color="auto" w:fill="000080"/>
    </w:pPr>
    <w:rPr>
      <w:rFonts w:cs="Tahoma"/>
      <w:sz w:val="20"/>
      <w:szCs w:val="20"/>
    </w:rPr>
  </w:style>
  <w:style w:type="character" w:styleId="EndnoteReference">
    <w:name w:val="endnote reference"/>
    <w:basedOn w:val="DefaultParagraphFont"/>
    <w:semiHidden/>
    <w:rsid w:val="00A21B54"/>
    <w:rPr>
      <w:rFonts w:asciiTheme="minorHAnsi" w:hAnsiTheme="minorHAnsi"/>
      <w:vertAlign w:val="superscript"/>
    </w:rPr>
  </w:style>
  <w:style w:type="paragraph" w:styleId="EndnoteText">
    <w:name w:val="endnote text"/>
    <w:basedOn w:val="Normal"/>
    <w:semiHidden/>
    <w:rsid w:val="00A21B54"/>
    <w:rPr>
      <w:sz w:val="20"/>
      <w:szCs w:val="20"/>
    </w:rPr>
  </w:style>
  <w:style w:type="paragraph" w:styleId="Index1">
    <w:name w:val="index 1"/>
    <w:basedOn w:val="Normal"/>
    <w:next w:val="Normal"/>
    <w:autoRedefine/>
    <w:semiHidden/>
    <w:rsid w:val="00A21B54"/>
    <w:pPr>
      <w:ind w:left="220" w:hanging="220"/>
    </w:pPr>
  </w:style>
  <w:style w:type="paragraph" w:styleId="Index2">
    <w:name w:val="index 2"/>
    <w:basedOn w:val="Normal"/>
    <w:next w:val="Normal"/>
    <w:autoRedefine/>
    <w:semiHidden/>
    <w:rsid w:val="00A21B54"/>
    <w:pPr>
      <w:ind w:left="440" w:hanging="220"/>
    </w:pPr>
  </w:style>
  <w:style w:type="paragraph" w:styleId="Index3">
    <w:name w:val="index 3"/>
    <w:basedOn w:val="Normal"/>
    <w:next w:val="Normal"/>
    <w:autoRedefine/>
    <w:semiHidden/>
    <w:rsid w:val="00A21B54"/>
    <w:pPr>
      <w:ind w:left="660" w:hanging="220"/>
    </w:pPr>
  </w:style>
  <w:style w:type="paragraph" w:styleId="Index4">
    <w:name w:val="index 4"/>
    <w:basedOn w:val="Normal"/>
    <w:next w:val="Normal"/>
    <w:autoRedefine/>
    <w:semiHidden/>
    <w:rsid w:val="00A21B54"/>
    <w:pPr>
      <w:ind w:left="880" w:hanging="220"/>
    </w:pPr>
  </w:style>
  <w:style w:type="paragraph" w:styleId="Index5">
    <w:name w:val="index 5"/>
    <w:basedOn w:val="Normal"/>
    <w:next w:val="Normal"/>
    <w:autoRedefine/>
    <w:semiHidden/>
    <w:rsid w:val="00A21B54"/>
    <w:pPr>
      <w:ind w:left="1100" w:hanging="220"/>
    </w:pPr>
  </w:style>
  <w:style w:type="paragraph" w:styleId="Index6">
    <w:name w:val="index 6"/>
    <w:basedOn w:val="Normal"/>
    <w:next w:val="Normal"/>
    <w:autoRedefine/>
    <w:semiHidden/>
    <w:rsid w:val="00A21B54"/>
    <w:pPr>
      <w:ind w:left="1320" w:hanging="220"/>
    </w:pPr>
  </w:style>
  <w:style w:type="paragraph" w:styleId="Index7">
    <w:name w:val="index 7"/>
    <w:basedOn w:val="Normal"/>
    <w:next w:val="Normal"/>
    <w:autoRedefine/>
    <w:semiHidden/>
    <w:rsid w:val="00A21B54"/>
    <w:pPr>
      <w:ind w:left="1540" w:hanging="220"/>
    </w:pPr>
  </w:style>
  <w:style w:type="paragraph" w:styleId="Index8">
    <w:name w:val="index 8"/>
    <w:basedOn w:val="Normal"/>
    <w:next w:val="Normal"/>
    <w:autoRedefine/>
    <w:semiHidden/>
    <w:rsid w:val="00A21B54"/>
    <w:pPr>
      <w:ind w:left="1760" w:hanging="220"/>
    </w:pPr>
  </w:style>
  <w:style w:type="paragraph" w:styleId="Index9">
    <w:name w:val="index 9"/>
    <w:basedOn w:val="Normal"/>
    <w:next w:val="Normal"/>
    <w:autoRedefine/>
    <w:semiHidden/>
    <w:rsid w:val="00A21B54"/>
    <w:pPr>
      <w:ind w:left="1980" w:hanging="220"/>
    </w:pPr>
  </w:style>
  <w:style w:type="paragraph" w:styleId="IndexHeading">
    <w:name w:val="index heading"/>
    <w:basedOn w:val="Normal"/>
    <w:next w:val="Index1"/>
    <w:semiHidden/>
    <w:rsid w:val="00A21B54"/>
    <w:rPr>
      <w:rFonts w:cs="Arial"/>
      <w:b/>
      <w:bCs/>
    </w:rPr>
  </w:style>
  <w:style w:type="paragraph" w:styleId="MacroText">
    <w:name w:val="macro"/>
    <w:semiHidden/>
    <w:rsid w:val="00A21B54"/>
    <w:pPr>
      <w:tabs>
        <w:tab w:val="left" w:pos="480"/>
        <w:tab w:val="left" w:pos="960"/>
        <w:tab w:val="left" w:pos="1440"/>
        <w:tab w:val="left" w:pos="1920"/>
        <w:tab w:val="left" w:pos="2400"/>
        <w:tab w:val="left" w:pos="2880"/>
        <w:tab w:val="left" w:pos="3360"/>
        <w:tab w:val="left" w:pos="3840"/>
        <w:tab w:val="left" w:pos="4320"/>
      </w:tabs>
      <w:jc w:val="both"/>
    </w:pPr>
    <w:rPr>
      <w:rFonts w:asciiTheme="minorHAnsi" w:hAnsiTheme="minorHAnsi" w:cs="Courier New"/>
      <w:color w:val="000000"/>
      <w:lang w:eastAsia="en-US"/>
    </w:rPr>
  </w:style>
  <w:style w:type="paragraph" w:styleId="TableofAuthorities">
    <w:name w:val="table of authorities"/>
    <w:basedOn w:val="Normal"/>
    <w:next w:val="Normal"/>
    <w:semiHidden/>
    <w:rsid w:val="00A21B54"/>
    <w:pPr>
      <w:ind w:left="220" w:hanging="220"/>
    </w:pPr>
  </w:style>
  <w:style w:type="paragraph" w:styleId="TableofFigures">
    <w:name w:val="table of figures"/>
    <w:basedOn w:val="Normal"/>
    <w:next w:val="Normal"/>
    <w:semiHidden/>
    <w:rsid w:val="00A21B54"/>
  </w:style>
  <w:style w:type="paragraph" w:styleId="TOAHeading">
    <w:name w:val="toa heading"/>
    <w:basedOn w:val="Normal"/>
    <w:next w:val="Normal"/>
    <w:semiHidden/>
    <w:rsid w:val="00A21B54"/>
    <w:pPr>
      <w:spacing w:before="120"/>
    </w:pPr>
    <w:rPr>
      <w:rFonts w:cs="Arial"/>
      <w:b/>
      <w:bCs/>
      <w:sz w:val="24"/>
      <w:szCs w:val="24"/>
    </w:rPr>
  </w:style>
  <w:style w:type="paragraph" w:styleId="TOC4">
    <w:name w:val="toc 4"/>
    <w:basedOn w:val="Normal"/>
    <w:next w:val="Normal"/>
    <w:autoRedefine/>
    <w:semiHidden/>
    <w:rsid w:val="00A21B54"/>
    <w:pPr>
      <w:ind w:left="660"/>
    </w:pPr>
  </w:style>
  <w:style w:type="paragraph" w:styleId="TOC5">
    <w:name w:val="toc 5"/>
    <w:basedOn w:val="Normal"/>
    <w:next w:val="Normal"/>
    <w:autoRedefine/>
    <w:semiHidden/>
    <w:rsid w:val="00A21B54"/>
    <w:pPr>
      <w:ind w:left="880"/>
    </w:pPr>
  </w:style>
  <w:style w:type="paragraph" w:styleId="TOC6">
    <w:name w:val="toc 6"/>
    <w:basedOn w:val="Normal"/>
    <w:next w:val="Normal"/>
    <w:autoRedefine/>
    <w:semiHidden/>
    <w:rsid w:val="00A21B54"/>
    <w:pPr>
      <w:ind w:left="1100"/>
    </w:pPr>
  </w:style>
  <w:style w:type="paragraph" w:styleId="TOC7">
    <w:name w:val="toc 7"/>
    <w:basedOn w:val="Normal"/>
    <w:next w:val="Normal"/>
    <w:autoRedefine/>
    <w:semiHidden/>
    <w:rsid w:val="00A21B54"/>
    <w:pPr>
      <w:ind w:left="1320"/>
    </w:pPr>
  </w:style>
  <w:style w:type="paragraph" w:styleId="TOC8">
    <w:name w:val="toc 8"/>
    <w:basedOn w:val="Normal"/>
    <w:next w:val="Normal"/>
    <w:autoRedefine/>
    <w:semiHidden/>
    <w:rsid w:val="00A21B54"/>
    <w:pPr>
      <w:ind w:left="1540"/>
    </w:pPr>
  </w:style>
  <w:style w:type="paragraph" w:styleId="TOC9">
    <w:name w:val="toc 9"/>
    <w:basedOn w:val="Normal"/>
    <w:next w:val="Normal"/>
    <w:autoRedefine/>
    <w:semiHidden/>
    <w:rsid w:val="00A21B54"/>
    <w:pPr>
      <w:ind w:left="1760"/>
    </w:pPr>
  </w:style>
  <w:style w:type="paragraph" w:customStyle="1" w:styleId="ReportTitle">
    <w:name w:val="_Report Title"/>
    <w:basedOn w:val="baseHeading"/>
    <w:next w:val="ReportSubTitle"/>
    <w:qFormat/>
    <w:rsid w:val="009D7119"/>
    <w:pPr>
      <w:spacing w:before="300" w:line="480" w:lineRule="atLeast"/>
    </w:pPr>
    <w:rPr>
      <w:b/>
      <w:sz w:val="48"/>
    </w:rPr>
  </w:style>
  <w:style w:type="paragraph" w:customStyle="1" w:styleId="ReportSubTitle">
    <w:name w:val="_Report SubTitle"/>
    <w:basedOn w:val="baseHeading"/>
    <w:next w:val="StockName"/>
    <w:qFormat/>
    <w:rsid w:val="00310E77"/>
    <w:pPr>
      <w:tabs>
        <w:tab w:val="right" w:pos="9639"/>
      </w:tabs>
      <w:spacing w:before="300" w:after="200" w:line="320" w:lineRule="atLeast"/>
      <w:ind w:right="-1986"/>
    </w:pPr>
    <w:rPr>
      <w:b/>
      <w:sz w:val="32"/>
    </w:rPr>
  </w:style>
  <w:style w:type="paragraph" w:customStyle="1" w:styleId="Webaddress">
    <w:name w:val="_Web address"/>
    <w:basedOn w:val="AnalystName"/>
    <w:rsid w:val="00A21B54"/>
    <w:rPr>
      <w:color w:val="1C355E" w:themeColor="text2"/>
    </w:rPr>
  </w:style>
  <w:style w:type="character" w:customStyle="1" w:styleId="baseDisclaimerChar">
    <w:name w:val="__base Disclaimer Char"/>
    <w:basedOn w:val="NormalTextChar"/>
    <w:link w:val="baseDisclaimer"/>
    <w:semiHidden/>
    <w:rsid w:val="00EF5AD9"/>
    <w:rPr>
      <w:rFonts w:asciiTheme="minorHAnsi" w:hAnsiTheme="minorHAnsi"/>
      <w:color w:val="000000" w:themeColor="text1"/>
      <w:sz w:val="22"/>
      <w:szCs w:val="22"/>
      <w:lang w:eastAsia="en-US"/>
    </w:rPr>
  </w:style>
  <w:style w:type="character" w:customStyle="1" w:styleId="DisclaimerChar">
    <w:name w:val="_Disclaimer Char"/>
    <w:basedOn w:val="baseDisclaimerChar"/>
    <w:link w:val="Disclaimer"/>
    <w:rsid w:val="00A21B54"/>
    <w:rPr>
      <w:rFonts w:asciiTheme="minorHAnsi" w:hAnsiTheme="minorHAnsi"/>
      <w:color w:val="000000" w:themeColor="text1"/>
      <w:spacing w:val="-2"/>
      <w:sz w:val="16"/>
      <w:szCs w:val="16"/>
      <w:lang w:eastAsia="en-US"/>
    </w:rPr>
  </w:style>
  <w:style w:type="paragraph" w:customStyle="1" w:styleId="Analystdesignation">
    <w:name w:val="_Analyst designation"/>
    <w:basedOn w:val="AnalystContact"/>
    <w:next w:val="AnalystContact"/>
    <w:qFormat/>
    <w:rsid w:val="00A21B54"/>
    <w:pPr>
      <w:spacing w:after="284" w:line="240" w:lineRule="atLeast"/>
      <w:contextualSpacing/>
    </w:pPr>
    <w:rPr>
      <w:b/>
      <w:color w:val="auto"/>
    </w:rPr>
  </w:style>
  <w:style w:type="paragraph" w:customStyle="1" w:styleId="AnalystAddress">
    <w:name w:val="_Analyst Address"/>
    <w:basedOn w:val="AnalystContact"/>
    <w:qFormat/>
    <w:rsid w:val="00A21B54"/>
    <w:pPr>
      <w:spacing w:after="284"/>
      <w:contextualSpacing/>
    </w:pPr>
  </w:style>
  <w:style w:type="paragraph" w:customStyle="1" w:styleId="MainAuthor">
    <w:name w:val="_Main Author"/>
    <w:basedOn w:val="AnalystName"/>
    <w:qFormat/>
    <w:rsid w:val="00A21B54"/>
    <w:pPr>
      <w:tabs>
        <w:tab w:val="right" w:pos="9639"/>
      </w:tabs>
      <w:spacing w:after="40" w:line="200" w:lineRule="atLeast"/>
    </w:pPr>
    <w:rPr>
      <w:b w:val="0"/>
    </w:rPr>
  </w:style>
  <w:style w:type="paragraph" w:customStyle="1" w:styleId="SectorDate">
    <w:name w:val="_Sector Date"/>
    <w:basedOn w:val="NormalText"/>
    <w:qFormat/>
    <w:rsid w:val="00A65E86"/>
    <w:pPr>
      <w:framePr w:w="2268" w:wrap="around" w:vAnchor="page" w:hAnchor="page" w:x="8506" w:y="3800" w:anchorLock="1"/>
      <w:spacing w:before="160" w:after="199"/>
      <w:jc w:val="right"/>
    </w:pPr>
    <w:rPr>
      <w:color w:val="1C355E" w:themeColor="text2"/>
      <w:sz w:val="24"/>
    </w:rPr>
  </w:style>
  <w:style w:type="paragraph" w:customStyle="1" w:styleId="ReportTitleSector">
    <w:name w:val="_Report Title Sector"/>
    <w:basedOn w:val="ReportTitle"/>
    <w:qFormat/>
    <w:rsid w:val="00A21B54"/>
    <w:pPr>
      <w:ind w:right="-1985"/>
    </w:pPr>
  </w:style>
  <w:style w:type="paragraph" w:customStyle="1" w:styleId="Date0">
    <w:name w:val="_Date"/>
    <w:basedOn w:val="NormalText"/>
    <w:qFormat/>
    <w:rsid w:val="00A21B54"/>
    <w:pPr>
      <w:spacing w:before="57" w:line="320" w:lineRule="atLeast"/>
      <w:jc w:val="right"/>
    </w:pPr>
    <w:rPr>
      <w:color w:val="1C355E" w:themeColor="text2"/>
      <w:sz w:val="24"/>
    </w:rPr>
  </w:style>
  <w:style w:type="paragraph" w:customStyle="1" w:styleId="Style1">
    <w:name w:val="Style1"/>
    <w:basedOn w:val="NormalText"/>
    <w:semiHidden/>
    <w:rsid w:val="00A21B54"/>
    <w:pPr>
      <w:spacing w:before="199" w:after="199"/>
      <w:contextualSpacing/>
    </w:pPr>
    <w:rPr>
      <w:sz w:val="20"/>
    </w:rPr>
  </w:style>
  <w:style w:type="paragraph" w:customStyle="1" w:styleId="SectorStockList">
    <w:name w:val="_Sector Stock List"/>
    <w:basedOn w:val="NormalText"/>
    <w:qFormat/>
    <w:rsid w:val="00A21B54"/>
    <w:pPr>
      <w:spacing w:before="120" w:after="199" w:line="220" w:lineRule="atLeast"/>
      <w:contextualSpacing/>
    </w:pPr>
    <w:rPr>
      <w:b/>
    </w:rPr>
  </w:style>
  <w:style w:type="paragraph" w:customStyle="1" w:styleId="Aggregatesthisreport">
    <w:name w:val="_Aggregates this report"/>
    <w:basedOn w:val="NormalText"/>
    <w:rsid w:val="00A21B54"/>
    <w:pPr>
      <w:spacing w:before="120"/>
    </w:pPr>
    <w:rPr>
      <w:b/>
      <w:i/>
      <w:color w:val="4C4A47" w:themeColor="accent5"/>
    </w:rPr>
  </w:style>
  <w:style w:type="paragraph" w:customStyle="1" w:styleId="ReportTitleAggregates">
    <w:name w:val="_Report Title Aggregates"/>
    <w:basedOn w:val="ReportTitle"/>
    <w:qFormat/>
    <w:rsid w:val="00A21B54"/>
  </w:style>
  <w:style w:type="paragraph" w:customStyle="1" w:styleId="ReportTitleSectorAggregates">
    <w:name w:val="_Report Title Sector Aggregates"/>
    <w:basedOn w:val="ReportTitleSector"/>
    <w:qFormat/>
    <w:rsid w:val="00A21B54"/>
  </w:style>
  <w:style w:type="paragraph" w:customStyle="1" w:styleId="SectorStockListAggregates">
    <w:name w:val="_Sector Stock List Aggregates"/>
    <w:basedOn w:val="SectorStockList"/>
    <w:rsid w:val="00A21B54"/>
    <w:pPr>
      <w:spacing w:before="0"/>
      <w:contextualSpacing w:val="0"/>
    </w:pPr>
  </w:style>
  <w:style w:type="paragraph" w:customStyle="1" w:styleId="InnerRatings">
    <w:name w:val="_InnerRatings"/>
    <w:basedOn w:val="KeyDatatext"/>
    <w:qFormat/>
    <w:rsid w:val="00A21B54"/>
    <w:pPr>
      <w:framePr w:wrap="around"/>
      <w:spacing w:before="300" w:after="140" w:line="800" w:lineRule="exact"/>
    </w:pPr>
    <w:rPr>
      <w:sz w:val="24"/>
    </w:rPr>
  </w:style>
  <w:style w:type="paragraph" w:customStyle="1" w:styleId="DateCompanyAggregates">
    <w:name w:val="_Date Company Aggregates"/>
    <w:basedOn w:val="SectorDate"/>
    <w:qFormat/>
    <w:rsid w:val="00117C65"/>
    <w:pPr>
      <w:framePr w:w="1985" w:wrap="around" w:x="8790" w:y="3006"/>
      <w:spacing w:before="180" w:after="0"/>
    </w:pPr>
  </w:style>
  <w:style w:type="paragraph" w:customStyle="1" w:styleId="Footernumber">
    <w:name w:val="_Footer number"/>
    <w:basedOn w:val="FooterRunning"/>
    <w:rsid w:val="00A21B54"/>
    <w:pPr>
      <w:framePr w:wrap="around" w:vAnchor="text" w:hAnchor="page" w:x="10678" w:y="1"/>
    </w:pPr>
  </w:style>
  <w:style w:type="paragraph" w:styleId="Bibliography">
    <w:name w:val="Bibliography"/>
    <w:basedOn w:val="Normal"/>
    <w:next w:val="Normal"/>
    <w:uiPriority w:val="37"/>
    <w:semiHidden/>
    <w:unhideWhenUsed/>
    <w:rsid w:val="00A21B54"/>
  </w:style>
  <w:style w:type="character" w:styleId="BookTitle">
    <w:name w:val="Book Title"/>
    <w:basedOn w:val="DefaultParagraphFont"/>
    <w:uiPriority w:val="33"/>
    <w:semiHidden/>
    <w:rsid w:val="00A21B54"/>
    <w:rPr>
      <w:rFonts w:asciiTheme="minorHAnsi" w:hAnsiTheme="minorHAnsi"/>
      <w:b/>
      <w:bCs/>
      <w:smallCaps/>
      <w:spacing w:val="5"/>
    </w:rPr>
  </w:style>
  <w:style w:type="table" w:styleId="ColorfulGrid">
    <w:name w:val="Colorful Grid"/>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C3D2ED" w:themeFill="accent1" w:themeFillTint="33"/>
    </w:tcPr>
    <w:tblStylePr w:type="firstRow">
      <w:rPr>
        <w:b/>
        <w:bCs/>
      </w:rPr>
      <w:tblPr/>
      <w:tcPr>
        <w:shd w:val="clear" w:color="auto" w:fill="87A6DB" w:themeFill="accent1" w:themeFillTint="66"/>
      </w:tcPr>
    </w:tblStylePr>
    <w:tblStylePr w:type="lastRow">
      <w:rPr>
        <w:b/>
        <w:bCs/>
        <w:color w:val="000000" w:themeColor="text1"/>
      </w:rPr>
      <w:tblPr/>
      <w:tcPr>
        <w:shd w:val="clear" w:color="auto" w:fill="87A6DB" w:themeFill="accent1" w:themeFillTint="66"/>
      </w:tcPr>
    </w:tblStylePr>
    <w:tblStylePr w:type="firstCol">
      <w:rPr>
        <w:color w:val="FFFFFF" w:themeColor="background1"/>
      </w:rPr>
      <w:tblPr/>
      <w:tcPr>
        <w:shd w:val="clear" w:color="auto" w:fill="152746" w:themeFill="accent1" w:themeFillShade="BF"/>
      </w:tcPr>
    </w:tblStylePr>
    <w:tblStylePr w:type="lastCol">
      <w:rPr>
        <w:color w:val="FFFFFF" w:themeColor="background1"/>
      </w:rPr>
      <w:tblPr/>
      <w:tcPr>
        <w:shd w:val="clear" w:color="auto" w:fill="152746" w:themeFill="accent1" w:themeFillShade="BF"/>
      </w:tcPr>
    </w:tblStylePr>
    <w:tblStylePr w:type="band1Vert">
      <w:tblPr/>
      <w:tcPr>
        <w:shd w:val="clear" w:color="auto" w:fill="6A91D2" w:themeFill="accent1" w:themeFillTint="7F"/>
      </w:tcPr>
    </w:tblStylePr>
    <w:tblStylePr w:type="band1Horz">
      <w:tblPr/>
      <w:tcPr>
        <w:shd w:val="clear" w:color="auto" w:fill="6A91D2" w:themeFill="accent1" w:themeFillTint="7F"/>
      </w:tcPr>
    </w:tblStylePr>
  </w:style>
  <w:style w:type="table" w:styleId="ColorfulGrid-Accent2">
    <w:name w:val="Colorful Grid Accent 2"/>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ECEEF2" w:themeFill="accent2" w:themeFillTint="33"/>
    </w:tcPr>
    <w:tblStylePr w:type="firstRow">
      <w:rPr>
        <w:b/>
        <w:bCs/>
      </w:rPr>
      <w:tblPr/>
      <w:tcPr>
        <w:shd w:val="clear" w:color="auto" w:fill="DADEE5" w:themeFill="accent2" w:themeFillTint="66"/>
      </w:tcPr>
    </w:tblStylePr>
    <w:tblStylePr w:type="lastRow">
      <w:rPr>
        <w:b/>
        <w:bCs/>
        <w:color w:val="000000" w:themeColor="text1"/>
      </w:rPr>
      <w:tblPr/>
      <w:tcPr>
        <w:shd w:val="clear" w:color="auto" w:fill="DADEE5" w:themeFill="accent2" w:themeFillTint="66"/>
      </w:tcPr>
    </w:tblStylePr>
    <w:tblStylePr w:type="firstCol">
      <w:rPr>
        <w:color w:val="FFFFFF" w:themeColor="background1"/>
      </w:rPr>
      <w:tblPr/>
      <w:tcPr>
        <w:shd w:val="clear" w:color="auto" w:fill="6F7F9A" w:themeFill="accent2" w:themeFillShade="BF"/>
      </w:tcPr>
    </w:tblStylePr>
    <w:tblStylePr w:type="lastCol">
      <w:rPr>
        <w:color w:val="FFFFFF" w:themeColor="background1"/>
      </w:rPr>
      <w:tblPr/>
      <w:tcPr>
        <w:shd w:val="clear" w:color="auto" w:fill="6F7F9A" w:themeFill="accent2" w:themeFillShade="BF"/>
      </w:tcPr>
    </w:tblStylePr>
    <w:tblStylePr w:type="band1Vert">
      <w:tblPr/>
      <w:tcPr>
        <w:shd w:val="clear" w:color="auto" w:fill="D1D6DF" w:themeFill="accent2" w:themeFillTint="7F"/>
      </w:tcPr>
    </w:tblStylePr>
    <w:tblStylePr w:type="band1Horz">
      <w:tblPr/>
      <w:tcPr>
        <w:shd w:val="clear" w:color="auto" w:fill="D1D6DF" w:themeFill="accent2" w:themeFillTint="7F"/>
      </w:tcPr>
    </w:tblStylePr>
  </w:style>
  <w:style w:type="table" w:styleId="ColorfulGrid-Accent3">
    <w:name w:val="Colorful Grid Accent 3"/>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E9E9E8" w:themeFill="accent3" w:themeFillTint="33"/>
    </w:tcPr>
    <w:tblStylePr w:type="firstRow">
      <w:rPr>
        <w:b/>
        <w:bCs/>
      </w:rPr>
      <w:tblPr/>
      <w:tcPr>
        <w:shd w:val="clear" w:color="auto" w:fill="D4D3D2" w:themeFill="accent3" w:themeFillTint="66"/>
      </w:tcPr>
    </w:tblStylePr>
    <w:tblStylePr w:type="lastRow">
      <w:rPr>
        <w:b/>
        <w:bCs/>
        <w:color w:val="000000" w:themeColor="text1"/>
      </w:rPr>
      <w:tblPr/>
      <w:tcPr>
        <w:shd w:val="clear" w:color="auto" w:fill="D4D3D2" w:themeFill="accent3" w:themeFillTint="66"/>
      </w:tcPr>
    </w:tblStylePr>
    <w:tblStylePr w:type="firstCol">
      <w:rPr>
        <w:color w:val="FFFFFF" w:themeColor="background1"/>
      </w:rPr>
      <w:tblPr/>
      <w:tcPr>
        <w:shd w:val="clear" w:color="auto" w:fill="6F6D6C" w:themeFill="accent3" w:themeFillShade="BF"/>
      </w:tcPr>
    </w:tblStylePr>
    <w:tblStylePr w:type="lastCol">
      <w:rPr>
        <w:color w:val="FFFFFF" w:themeColor="background1"/>
      </w:rPr>
      <w:tblPr/>
      <w:tcPr>
        <w:shd w:val="clear" w:color="auto" w:fill="6F6D6C" w:themeFill="accent3" w:themeFillShade="BF"/>
      </w:tcPr>
    </w:tblStylePr>
    <w:tblStylePr w:type="band1Vert">
      <w:tblPr/>
      <w:tcPr>
        <w:shd w:val="clear" w:color="auto" w:fill="C9C8C8" w:themeFill="accent3" w:themeFillTint="7F"/>
      </w:tcPr>
    </w:tblStylePr>
    <w:tblStylePr w:type="band1Horz">
      <w:tblPr/>
      <w:tcPr>
        <w:shd w:val="clear" w:color="auto" w:fill="C9C8C8" w:themeFill="accent3" w:themeFillTint="7F"/>
      </w:tcPr>
    </w:tblStylePr>
  </w:style>
  <w:style w:type="table" w:styleId="ColorfulGrid-Accent4">
    <w:name w:val="Colorful Grid Accent 4"/>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FAF9F8" w:themeFill="accent4" w:themeFillTint="33"/>
    </w:tcPr>
    <w:tblStylePr w:type="firstRow">
      <w:rPr>
        <w:b/>
        <w:bCs/>
      </w:rPr>
      <w:tblPr/>
      <w:tcPr>
        <w:shd w:val="clear" w:color="auto" w:fill="F5F3F2" w:themeFill="accent4" w:themeFillTint="66"/>
      </w:tcPr>
    </w:tblStylePr>
    <w:tblStylePr w:type="lastRow">
      <w:rPr>
        <w:b/>
        <w:bCs/>
        <w:color w:val="000000" w:themeColor="text1"/>
      </w:rPr>
      <w:tblPr/>
      <w:tcPr>
        <w:shd w:val="clear" w:color="auto" w:fill="F5F3F2" w:themeFill="accent4" w:themeFillTint="66"/>
      </w:tcPr>
    </w:tblStylePr>
    <w:tblStylePr w:type="firstCol">
      <w:rPr>
        <w:color w:val="FFFFFF" w:themeColor="background1"/>
      </w:rPr>
      <w:tblPr/>
      <w:tcPr>
        <w:shd w:val="clear" w:color="auto" w:fill="B4AA9F" w:themeFill="accent4" w:themeFillShade="BF"/>
      </w:tcPr>
    </w:tblStylePr>
    <w:tblStylePr w:type="lastCol">
      <w:rPr>
        <w:color w:val="FFFFFF" w:themeColor="background1"/>
      </w:rPr>
      <w:tblPr/>
      <w:tcPr>
        <w:shd w:val="clear" w:color="auto" w:fill="B4AA9F" w:themeFill="accent4" w:themeFillShade="BF"/>
      </w:tcPr>
    </w:tblStylePr>
    <w:tblStylePr w:type="band1Vert">
      <w:tblPr/>
      <w:tcPr>
        <w:shd w:val="clear" w:color="auto" w:fill="F2F0EE" w:themeFill="accent4" w:themeFillTint="7F"/>
      </w:tcPr>
    </w:tblStylePr>
    <w:tblStylePr w:type="band1Horz">
      <w:tblPr/>
      <w:tcPr>
        <w:shd w:val="clear" w:color="auto" w:fill="F2F0EE" w:themeFill="accent4" w:themeFillTint="7F"/>
      </w:tcPr>
    </w:tblStylePr>
  </w:style>
  <w:style w:type="table" w:styleId="ColorfulGrid-Accent5">
    <w:name w:val="Colorful Grid Accent 5"/>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DCDAD9" w:themeFill="accent5" w:themeFillTint="33"/>
    </w:tcPr>
    <w:tblStylePr w:type="firstRow">
      <w:rPr>
        <w:b/>
        <w:bCs/>
      </w:rPr>
      <w:tblPr/>
      <w:tcPr>
        <w:shd w:val="clear" w:color="auto" w:fill="B8B6B3" w:themeFill="accent5" w:themeFillTint="66"/>
      </w:tcPr>
    </w:tblStylePr>
    <w:tblStylePr w:type="lastRow">
      <w:rPr>
        <w:b/>
        <w:bCs/>
        <w:color w:val="000000" w:themeColor="text1"/>
      </w:rPr>
      <w:tblPr/>
      <w:tcPr>
        <w:shd w:val="clear" w:color="auto" w:fill="B8B6B3" w:themeFill="accent5" w:themeFillTint="66"/>
      </w:tcPr>
    </w:tblStylePr>
    <w:tblStylePr w:type="firstCol">
      <w:rPr>
        <w:color w:val="FFFFFF" w:themeColor="background1"/>
      </w:rPr>
      <w:tblPr/>
      <w:tcPr>
        <w:shd w:val="clear" w:color="auto" w:fill="383735" w:themeFill="accent5" w:themeFillShade="BF"/>
      </w:tcPr>
    </w:tblStylePr>
    <w:tblStylePr w:type="lastCol">
      <w:rPr>
        <w:color w:val="FFFFFF" w:themeColor="background1"/>
      </w:rPr>
      <w:tblPr/>
      <w:tcPr>
        <w:shd w:val="clear" w:color="auto" w:fill="383735" w:themeFill="accent5" w:themeFillShade="BF"/>
      </w:tcPr>
    </w:tblStylePr>
    <w:tblStylePr w:type="band1Vert">
      <w:tblPr/>
      <w:tcPr>
        <w:shd w:val="clear" w:color="auto" w:fill="A7A5A1" w:themeFill="accent5" w:themeFillTint="7F"/>
      </w:tcPr>
    </w:tblStylePr>
    <w:tblStylePr w:type="band1Horz">
      <w:tblPr/>
      <w:tcPr>
        <w:shd w:val="clear" w:color="auto" w:fill="A7A5A1" w:themeFill="accent5" w:themeFillTint="7F"/>
      </w:tcPr>
    </w:tblStylePr>
  </w:style>
  <w:style w:type="table" w:styleId="ColorfulGrid-Accent6">
    <w:name w:val="Colorful Grid Accent 6"/>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F5F6F8" w:themeFill="accent6" w:themeFillTint="33"/>
    </w:tcPr>
    <w:tblStylePr w:type="firstRow">
      <w:rPr>
        <w:b/>
        <w:bCs/>
      </w:rPr>
      <w:tblPr/>
      <w:tcPr>
        <w:shd w:val="clear" w:color="auto" w:fill="ECEEF2" w:themeFill="accent6" w:themeFillTint="66"/>
      </w:tcPr>
    </w:tblStylePr>
    <w:tblStylePr w:type="lastRow">
      <w:rPr>
        <w:b/>
        <w:bCs/>
        <w:color w:val="000000" w:themeColor="text1"/>
      </w:rPr>
      <w:tblPr/>
      <w:tcPr>
        <w:shd w:val="clear" w:color="auto" w:fill="ECEEF2" w:themeFill="accent6" w:themeFillTint="66"/>
      </w:tcPr>
    </w:tblStylePr>
    <w:tblStylePr w:type="firstCol">
      <w:rPr>
        <w:color w:val="FFFFFF" w:themeColor="background1"/>
      </w:rPr>
      <w:tblPr/>
      <w:tcPr>
        <w:shd w:val="clear" w:color="auto" w:fill="929EB1" w:themeFill="accent6" w:themeFillShade="BF"/>
      </w:tcPr>
    </w:tblStylePr>
    <w:tblStylePr w:type="lastCol">
      <w:rPr>
        <w:color w:val="FFFFFF" w:themeColor="background1"/>
      </w:rPr>
      <w:tblPr/>
      <w:tcPr>
        <w:shd w:val="clear" w:color="auto" w:fill="929EB1" w:themeFill="accent6" w:themeFillShade="BF"/>
      </w:tcPr>
    </w:tblStylePr>
    <w:tblStylePr w:type="band1Vert">
      <w:tblPr/>
      <w:tcPr>
        <w:shd w:val="clear" w:color="auto" w:fill="E8EAEF" w:themeFill="accent6" w:themeFillTint="7F"/>
      </w:tcPr>
    </w:tblStylePr>
    <w:tblStylePr w:type="band1Horz">
      <w:tblPr/>
      <w:tcPr>
        <w:shd w:val="clear" w:color="auto" w:fill="E8EAEF" w:themeFill="accent6" w:themeFillTint="7F"/>
      </w:tcPr>
    </w:tblStylePr>
  </w:style>
  <w:style w:type="table" w:styleId="ColorfulList">
    <w:name w:val="Colorful List"/>
    <w:basedOn w:val="TableNormal"/>
    <w:uiPriority w:val="72"/>
    <w:semiHidden/>
    <w:rsid w:val="00A21B5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A88A1" w:themeFill="accent2" w:themeFillShade="CC"/>
      </w:tcPr>
    </w:tblStylePr>
    <w:tblStylePr w:type="lastRow">
      <w:rPr>
        <w:b/>
        <w:bCs/>
        <w:color w:val="7A88A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A21B54"/>
    <w:rPr>
      <w:color w:val="000000" w:themeColor="text1"/>
    </w:rPr>
    <w:tblPr>
      <w:tblStyleRowBandSize w:val="1"/>
      <w:tblStyleColBandSize w:val="1"/>
    </w:tblPr>
    <w:tcPr>
      <w:shd w:val="clear" w:color="auto" w:fill="E1E9F6" w:themeFill="accent1" w:themeFillTint="19"/>
    </w:tcPr>
    <w:tblStylePr w:type="firstRow">
      <w:rPr>
        <w:b/>
        <w:bCs/>
        <w:color w:val="FFFFFF" w:themeColor="background1"/>
      </w:rPr>
      <w:tblPr/>
      <w:tcPr>
        <w:tcBorders>
          <w:bottom w:val="single" w:sz="12" w:space="0" w:color="FFFFFF" w:themeColor="background1"/>
        </w:tcBorders>
        <w:shd w:val="clear" w:color="auto" w:fill="7A88A1" w:themeFill="accent2" w:themeFillShade="CC"/>
      </w:tcPr>
    </w:tblStylePr>
    <w:tblStylePr w:type="lastRow">
      <w:rPr>
        <w:b/>
        <w:bCs/>
        <w:color w:val="7A88A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5C8E9" w:themeFill="accent1" w:themeFillTint="3F"/>
      </w:tcPr>
    </w:tblStylePr>
    <w:tblStylePr w:type="band1Horz">
      <w:tblPr/>
      <w:tcPr>
        <w:shd w:val="clear" w:color="auto" w:fill="C3D2ED" w:themeFill="accent1" w:themeFillTint="33"/>
      </w:tcPr>
    </w:tblStylePr>
  </w:style>
  <w:style w:type="table" w:styleId="ColorfulList-Accent2">
    <w:name w:val="Colorful List Accent 2"/>
    <w:basedOn w:val="TableNormal"/>
    <w:uiPriority w:val="72"/>
    <w:semiHidden/>
    <w:rsid w:val="00A21B54"/>
    <w:rPr>
      <w:color w:val="000000" w:themeColor="text1"/>
    </w:rPr>
    <w:tblPr>
      <w:tblStyleRowBandSize w:val="1"/>
      <w:tblStyleColBandSize w:val="1"/>
    </w:tblPr>
    <w:tcPr>
      <w:shd w:val="clear" w:color="auto" w:fill="F6F6F8" w:themeFill="accent2" w:themeFillTint="19"/>
    </w:tcPr>
    <w:tblStylePr w:type="firstRow">
      <w:rPr>
        <w:b/>
        <w:bCs/>
        <w:color w:val="FFFFFF" w:themeColor="background1"/>
      </w:rPr>
      <w:tblPr/>
      <w:tcPr>
        <w:tcBorders>
          <w:bottom w:val="single" w:sz="12" w:space="0" w:color="FFFFFF" w:themeColor="background1"/>
        </w:tcBorders>
        <w:shd w:val="clear" w:color="auto" w:fill="7A88A1" w:themeFill="accent2" w:themeFillShade="CC"/>
      </w:tcPr>
    </w:tblStylePr>
    <w:tblStylePr w:type="lastRow">
      <w:rPr>
        <w:b/>
        <w:bCs/>
        <w:color w:val="7A88A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AEF" w:themeFill="accent2" w:themeFillTint="3F"/>
      </w:tcPr>
    </w:tblStylePr>
    <w:tblStylePr w:type="band1Horz">
      <w:tblPr/>
      <w:tcPr>
        <w:shd w:val="clear" w:color="auto" w:fill="ECEEF2" w:themeFill="accent2" w:themeFillTint="33"/>
      </w:tcPr>
    </w:tblStylePr>
  </w:style>
  <w:style w:type="table" w:styleId="ColorfulList-Accent3">
    <w:name w:val="Colorful List Accent 3"/>
    <w:basedOn w:val="TableNormal"/>
    <w:uiPriority w:val="72"/>
    <w:semiHidden/>
    <w:rsid w:val="00A21B54"/>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BEB6AC" w:themeFill="accent4" w:themeFillShade="CC"/>
      </w:tcPr>
    </w:tblStylePr>
    <w:tblStylePr w:type="lastRow">
      <w:rPr>
        <w:b/>
        <w:bCs/>
        <w:color w:val="BEB6AC"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4E3" w:themeFill="accent3" w:themeFillTint="3F"/>
      </w:tcPr>
    </w:tblStylePr>
    <w:tblStylePr w:type="band1Horz">
      <w:tblPr/>
      <w:tcPr>
        <w:shd w:val="clear" w:color="auto" w:fill="E9E9E8" w:themeFill="accent3" w:themeFillTint="33"/>
      </w:tcPr>
    </w:tblStylePr>
  </w:style>
  <w:style w:type="table" w:styleId="ColorfulList-Accent4">
    <w:name w:val="Colorful List Accent 4"/>
    <w:basedOn w:val="TableNormal"/>
    <w:uiPriority w:val="72"/>
    <w:semiHidden/>
    <w:rsid w:val="00A21B54"/>
    <w:rPr>
      <w:color w:val="000000" w:themeColor="text1"/>
    </w:rPr>
    <w:tblPr>
      <w:tblStyleRowBandSize w:val="1"/>
      <w:tblStyleColBandSize w:val="1"/>
    </w:tblPr>
    <w:tcPr>
      <w:shd w:val="clear" w:color="auto" w:fill="FCFCFB" w:themeFill="accent4" w:themeFillTint="19"/>
    </w:tcPr>
    <w:tblStylePr w:type="firstRow">
      <w:rPr>
        <w:b/>
        <w:bCs/>
        <w:color w:val="FFFFFF" w:themeColor="background1"/>
      </w:rPr>
      <w:tblPr/>
      <w:tcPr>
        <w:tcBorders>
          <w:bottom w:val="single" w:sz="12" w:space="0" w:color="FFFFFF" w:themeColor="background1"/>
        </w:tcBorders>
        <w:shd w:val="clear" w:color="auto" w:fill="767473" w:themeFill="accent3" w:themeFillShade="CC"/>
      </w:tcPr>
    </w:tblStylePr>
    <w:tblStylePr w:type="lastRow">
      <w:rPr>
        <w:b/>
        <w:bCs/>
        <w:color w:val="76747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7F6" w:themeFill="accent4" w:themeFillTint="3F"/>
      </w:tcPr>
    </w:tblStylePr>
    <w:tblStylePr w:type="band1Horz">
      <w:tblPr/>
      <w:tcPr>
        <w:shd w:val="clear" w:color="auto" w:fill="FAF9F8" w:themeFill="accent4" w:themeFillTint="33"/>
      </w:tcPr>
    </w:tblStylePr>
  </w:style>
  <w:style w:type="table" w:styleId="ColorfulList-Accent5">
    <w:name w:val="Colorful List Accent 5"/>
    <w:basedOn w:val="TableNormal"/>
    <w:uiPriority w:val="72"/>
    <w:semiHidden/>
    <w:rsid w:val="00A21B54"/>
    <w:rPr>
      <w:color w:val="000000" w:themeColor="text1"/>
    </w:rPr>
    <w:tblPr>
      <w:tblStyleRowBandSize w:val="1"/>
      <w:tblStyleColBandSize w:val="1"/>
    </w:tblPr>
    <w:tcPr>
      <w:shd w:val="clear" w:color="auto" w:fill="EDEDEC" w:themeFill="accent5" w:themeFillTint="19"/>
    </w:tcPr>
    <w:tblStylePr w:type="firstRow">
      <w:rPr>
        <w:b/>
        <w:bCs/>
        <w:color w:val="FFFFFF" w:themeColor="background1"/>
      </w:rPr>
      <w:tblPr/>
      <w:tcPr>
        <w:tcBorders>
          <w:bottom w:val="single" w:sz="12" w:space="0" w:color="FFFFFF" w:themeColor="background1"/>
        </w:tcBorders>
        <w:shd w:val="clear" w:color="auto" w:fill="9FA9BB" w:themeFill="accent6" w:themeFillShade="CC"/>
      </w:tcPr>
    </w:tblStylePr>
    <w:tblStylePr w:type="lastRow">
      <w:rPr>
        <w:b/>
        <w:bCs/>
        <w:color w:val="9FA9B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2D0" w:themeFill="accent5" w:themeFillTint="3F"/>
      </w:tcPr>
    </w:tblStylePr>
    <w:tblStylePr w:type="band1Horz">
      <w:tblPr/>
      <w:tcPr>
        <w:shd w:val="clear" w:color="auto" w:fill="DCDAD9" w:themeFill="accent5" w:themeFillTint="33"/>
      </w:tcPr>
    </w:tblStylePr>
  </w:style>
  <w:style w:type="table" w:styleId="ColorfulList-Accent6">
    <w:name w:val="Colorful List Accent 6"/>
    <w:basedOn w:val="TableNormal"/>
    <w:uiPriority w:val="72"/>
    <w:semiHidden/>
    <w:rsid w:val="00A21B54"/>
    <w:rPr>
      <w:color w:val="000000" w:themeColor="text1"/>
    </w:rPr>
    <w:tblPr>
      <w:tblStyleRowBandSize w:val="1"/>
      <w:tblStyleColBandSize w:val="1"/>
    </w:tblPr>
    <w:tcPr>
      <w:shd w:val="clear" w:color="auto" w:fill="FAFBFB" w:themeFill="accent6" w:themeFillTint="19"/>
    </w:tcPr>
    <w:tblStylePr w:type="firstRow">
      <w:rPr>
        <w:b/>
        <w:bCs/>
        <w:color w:val="FFFFFF" w:themeColor="background1"/>
      </w:rPr>
      <w:tblPr/>
      <w:tcPr>
        <w:tcBorders>
          <w:bottom w:val="single" w:sz="12" w:space="0" w:color="FFFFFF" w:themeColor="background1"/>
        </w:tcBorders>
        <w:shd w:val="clear" w:color="auto" w:fill="3C3B38" w:themeFill="accent5" w:themeFillShade="CC"/>
      </w:tcPr>
    </w:tblStylePr>
    <w:tblStylePr w:type="lastRow">
      <w:rPr>
        <w:b/>
        <w:bCs/>
        <w:color w:val="3C3B3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4F7" w:themeFill="accent6" w:themeFillTint="3F"/>
      </w:tcPr>
    </w:tblStylePr>
    <w:tblStylePr w:type="band1Horz">
      <w:tblPr/>
      <w:tcPr>
        <w:shd w:val="clear" w:color="auto" w:fill="F5F6F8" w:themeFill="accent6" w:themeFillTint="33"/>
      </w:tcPr>
    </w:tblStylePr>
  </w:style>
  <w:style w:type="table" w:styleId="ColorfulShading">
    <w:name w:val="Colorful Shading"/>
    <w:basedOn w:val="TableNormal"/>
    <w:uiPriority w:val="71"/>
    <w:semiHidden/>
    <w:rsid w:val="00A21B54"/>
    <w:rPr>
      <w:color w:val="000000" w:themeColor="text1"/>
    </w:rPr>
    <w:tblPr>
      <w:tblStyleRowBandSize w:val="1"/>
      <w:tblStyleColBandSize w:val="1"/>
      <w:tblBorders>
        <w:top w:val="single" w:sz="24" w:space="0" w:color="A4AEB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4AEB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A21B54"/>
    <w:rPr>
      <w:color w:val="000000" w:themeColor="text1"/>
    </w:rPr>
    <w:tblPr>
      <w:tblStyleRowBandSize w:val="1"/>
      <w:tblStyleColBandSize w:val="1"/>
      <w:tblBorders>
        <w:top w:val="single" w:sz="24" w:space="0" w:color="A4AEBF" w:themeColor="accent2"/>
        <w:left w:val="single" w:sz="4" w:space="0" w:color="1C355E" w:themeColor="accent1"/>
        <w:bottom w:val="single" w:sz="4" w:space="0" w:color="1C355E" w:themeColor="accent1"/>
        <w:right w:val="single" w:sz="4" w:space="0" w:color="1C355E" w:themeColor="accent1"/>
        <w:insideH w:val="single" w:sz="4" w:space="0" w:color="FFFFFF" w:themeColor="background1"/>
        <w:insideV w:val="single" w:sz="4" w:space="0" w:color="FFFFFF" w:themeColor="background1"/>
      </w:tblBorders>
    </w:tblPr>
    <w:tcPr>
      <w:shd w:val="clear" w:color="auto" w:fill="E1E9F6" w:themeFill="accent1" w:themeFillTint="19"/>
    </w:tcPr>
    <w:tblStylePr w:type="firstRow">
      <w:rPr>
        <w:b/>
        <w:bCs/>
      </w:rPr>
      <w:tblPr/>
      <w:tcPr>
        <w:tcBorders>
          <w:top w:val="nil"/>
          <w:left w:val="nil"/>
          <w:bottom w:val="single" w:sz="24" w:space="0" w:color="A4AEB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1F38" w:themeFill="accent1" w:themeFillShade="99"/>
      </w:tcPr>
    </w:tblStylePr>
    <w:tblStylePr w:type="firstCol">
      <w:rPr>
        <w:color w:val="FFFFFF" w:themeColor="background1"/>
      </w:rPr>
      <w:tblPr/>
      <w:tcPr>
        <w:tcBorders>
          <w:top w:val="nil"/>
          <w:left w:val="nil"/>
          <w:bottom w:val="nil"/>
          <w:right w:val="nil"/>
          <w:insideH w:val="single" w:sz="4" w:space="0" w:color="101F38" w:themeColor="accent1" w:themeShade="99"/>
          <w:insideV w:val="nil"/>
        </w:tcBorders>
        <w:shd w:val="clear" w:color="auto" w:fill="101F3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01F38" w:themeFill="accent1" w:themeFillShade="99"/>
      </w:tcPr>
    </w:tblStylePr>
    <w:tblStylePr w:type="band1Vert">
      <w:tblPr/>
      <w:tcPr>
        <w:shd w:val="clear" w:color="auto" w:fill="87A6DB" w:themeFill="accent1" w:themeFillTint="66"/>
      </w:tcPr>
    </w:tblStylePr>
    <w:tblStylePr w:type="band1Horz">
      <w:tblPr/>
      <w:tcPr>
        <w:shd w:val="clear" w:color="auto" w:fill="6A91D2"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A21B54"/>
    <w:rPr>
      <w:color w:val="000000" w:themeColor="text1"/>
    </w:rPr>
    <w:tblPr>
      <w:tblStyleRowBandSize w:val="1"/>
      <w:tblStyleColBandSize w:val="1"/>
      <w:tblBorders>
        <w:top w:val="single" w:sz="24" w:space="0" w:color="A4AEBF" w:themeColor="accent2"/>
        <w:left w:val="single" w:sz="4" w:space="0" w:color="A4AEBF" w:themeColor="accent2"/>
        <w:bottom w:val="single" w:sz="4" w:space="0" w:color="A4AEBF" w:themeColor="accent2"/>
        <w:right w:val="single" w:sz="4" w:space="0" w:color="A4AEBF" w:themeColor="accent2"/>
        <w:insideH w:val="single" w:sz="4" w:space="0" w:color="FFFFFF" w:themeColor="background1"/>
        <w:insideV w:val="single" w:sz="4" w:space="0" w:color="FFFFFF" w:themeColor="background1"/>
      </w:tblBorders>
    </w:tblPr>
    <w:tcPr>
      <w:shd w:val="clear" w:color="auto" w:fill="F6F6F8" w:themeFill="accent2" w:themeFillTint="19"/>
    </w:tcPr>
    <w:tblStylePr w:type="firstRow">
      <w:rPr>
        <w:b/>
        <w:bCs/>
      </w:rPr>
      <w:tblPr/>
      <w:tcPr>
        <w:tcBorders>
          <w:top w:val="nil"/>
          <w:left w:val="nil"/>
          <w:bottom w:val="single" w:sz="24" w:space="0" w:color="A4AEB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57D" w:themeFill="accent2" w:themeFillShade="99"/>
      </w:tcPr>
    </w:tblStylePr>
    <w:tblStylePr w:type="firstCol">
      <w:rPr>
        <w:color w:val="FFFFFF" w:themeColor="background1"/>
      </w:rPr>
      <w:tblPr/>
      <w:tcPr>
        <w:tcBorders>
          <w:top w:val="nil"/>
          <w:left w:val="nil"/>
          <w:bottom w:val="nil"/>
          <w:right w:val="nil"/>
          <w:insideH w:val="single" w:sz="4" w:space="0" w:color="58657D" w:themeColor="accent2" w:themeShade="99"/>
          <w:insideV w:val="nil"/>
        </w:tcBorders>
        <w:shd w:val="clear" w:color="auto" w:fill="58657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8657D" w:themeFill="accent2" w:themeFillShade="99"/>
      </w:tcPr>
    </w:tblStylePr>
    <w:tblStylePr w:type="band1Vert">
      <w:tblPr/>
      <w:tcPr>
        <w:shd w:val="clear" w:color="auto" w:fill="DADEE5" w:themeFill="accent2" w:themeFillTint="66"/>
      </w:tcPr>
    </w:tblStylePr>
    <w:tblStylePr w:type="band1Horz">
      <w:tblPr/>
      <w:tcPr>
        <w:shd w:val="clear" w:color="auto" w:fill="D1D6D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A21B54"/>
    <w:rPr>
      <w:color w:val="000000" w:themeColor="text1"/>
    </w:rPr>
    <w:tblPr>
      <w:tblStyleRowBandSize w:val="1"/>
      <w:tblStyleColBandSize w:val="1"/>
      <w:tblBorders>
        <w:top w:val="single" w:sz="24" w:space="0" w:color="E6E3DF" w:themeColor="accent4"/>
        <w:left w:val="single" w:sz="4" w:space="0" w:color="949291" w:themeColor="accent3"/>
        <w:bottom w:val="single" w:sz="4" w:space="0" w:color="949291" w:themeColor="accent3"/>
        <w:right w:val="single" w:sz="4" w:space="0" w:color="949291"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E6E3D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5756" w:themeFill="accent3" w:themeFillShade="99"/>
      </w:tcPr>
    </w:tblStylePr>
    <w:tblStylePr w:type="firstCol">
      <w:rPr>
        <w:color w:val="FFFFFF" w:themeColor="background1"/>
      </w:rPr>
      <w:tblPr/>
      <w:tcPr>
        <w:tcBorders>
          <w:top w:val="nil"/>
          <w:left w:val="nil"/>
          <w:bottom w:val="nil"/>
          <w:right w:val="nil"/>
          <w:insideH w:val="single" w:sz="4" w:space="0" w:color="595756" w:themeColor="accent3" w:themeShade="99"/>
          <w:insideV w:val="nil"/>
        </w:tcBorders>
        <w:shd w:val="clear" w:color="auto" w:fill="595756"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95756" w:themeFill="accent3" w:themeFillShade="99"/>
      </w:tcPr>
    </w:tblStylePr>
    <w:tblStylePr w:type="band1Vert">
      <w:tblPr/>
      <w:tcPr>
        <w:shd w:val="clear" w:color="auto" w:fill="D4D3D2" w:themeFill="accent3" w:themeFillTint="66"/>
      </w:tcPr>
    </w:tblStylePr>
    <w:tblStylePr w:type="band1Horz">
      <w:tblPr/>
      <w:tcPr>
        <w:shd w:val="clear" w:color="auto" w:fill="C9C8C8" w:themeFill="accent3" w:themeFillTint="7F"/>
      </w:tcPr>
    </w:tblStylePr>
  </w:style>
  <w:style w:type="table" w:styleId="ColorfulShading-Accent4">
    <w:name w:val="Colorful Shading Accent 4"/>
    <w:basedOn w:val="TableNormal"/>
    <w:uiPriority w:val="71"/>
    <w:semiHidden/>
    <w:rsid w:val="00A21B54"/>
    <w:rPr>
      <w:color w:val="000000" w:themeColor="text1"/>
    </w:rPr>
    <w:tblPr>
      <w:tblStyleRowBandSize w:val="1"/>
      <w:tblStyleColBandSize w:val="1"/>
      <w:tblBorders>
        <w:top w:val="single" w:sz="24" w:space="0" w:color="949291" w:themeColor="accent3"/>
        <w:left w:val="single" w:sz="4" w:space="0" w:color="E6E3DF" w:themeColor="accent4"/>
        <w:bottom w:val="single" w:sz="4" w:space="0" w:color="E6E3DF" w:themeColor="accent4"/>
        <w:right w:val="single" w:sz="4" w:space="0" w:color="E6E3DF" w:themeColor="accent4"/>
        <w:insideH w:val="single" w:sz="4" w:space="0" w:color="FFFFFF" w:themeColor="background1"/>
        <w:insideV w:val="single" w:sz="4" w:space="0" w:color="FFFFFF" w:themeColor="background1"/>
      </w:tblBorders>
    </w:tblPr>
    <w:tcPr>
      <w:shd w:val="clear" w:color="auto" w:fill="FCFCFB" w:themeFill="accent4" w:themeFillTint="19"/>
    </w:tcPr>
    <w:tblStylePr w:type="firstRow">
      <w:rPr>
        <w:b/>
        <w:bCs/>
      </w:rPr>
      <w:tblPr/>
      <w:tcPr>
        <w:tcBorders>
          <w:top w:val="nil"/>
          <w:left w:val="nil"/>
          <w:bottom w:val="single" w:sz="24" w:space="0" w:color="94929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68979" w:themeFill="accent4" w:themeFillShade="99"/>
      </w:tcPr>
    </w:tblStylePr>
    <w:tblStylePr w:type="firstCol">
      <w:rPr>
        <w:color w:val="FFFFFF" w:themeColor="background1"/>
      </w:rPr>
      <w:tblPr/>
      <w:tcPr>
        <w:tcBorders>
          <w:top w:val="nil"/>
          <w:left w:val="nil"/>
          <w:bottom w:val="nil"/>
          <w:right w:val="nil"/>
          <w:insideH w:val="single" w:sz="4" w:space="0" w:color="968979" w:themeColor="accent4" w:themeShade="99"/>
          <w:insideV w:val="nil"/>
        </w:tcBorders>
        <w:shd w:val="clear" w:color="auto" w:fill="96897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68979" w:themeFill="accent4" w:themeFillShade="99"/>
      </w:tcPr>
    </w:tblStylePr>
    <w:tblStylePr w:type="band1Vert">
      <w:tblPr/>
      <w:tcPr>
        <w:shd w:val="clear" w:color="auto" w:fill="F5F3F2" w:themeFill="accent4" w:themeFillTint="66"/>
      </w:tcPr>
    </w:tblStylePr>
    <w:tblStylePr w:type="band1Horz">
      <w:tblPr/>
      <w:tcPr>
        <w:shd w:val="clear" w:color="auto" w:fill="F2F0E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A21B54"/>
    <w:rPr>
      <w:color w:val="000000" w:themeColor="text1"/>
    </w:rPr>
    <w:tblPr>
      <w:tblStyleRowBandSize w:val="1"/>
      <w:tblStyleColBandSize w:val="1"/>
      <w:tblBorders>
        <w:top w:val="single" w:sz="24" w:space="0" w:color="D2D7DF" w:themeColor="accent6"/>
        <w:left w:val="single" w:sz="4" w:space="0" w:color="4C4A47" w:themeColor="accent5"/>
        <w:bottom w:val="single" w:sz="4" w:space="0" w:color="4C4A47" w:themeColor="accent5"/>
        <w:right w:val="single" w:sz="4" w:space="0" w:color="4C4A47" w:themeColor="accent5"/>
        <w:insideH w:val="single" w:sz="4" w:space="0" w:color="FFFFFF" w:themeColor="background1"/>
        <w:insideV w:val="single" w:sz="4" w:space="0" w:color="FFFFFF" w:themeColor="background1"/>
      </w:tblBorders>
    </w:tblPr>
    <w:tcPr>
      <w:shd w:val="clear" w:color="auto" w:fill="EDEDEC" w:themeFill="accent5" w:themeFillTint="19"/>
    </w:tcPr>
    <w:tblStylePr w:type="firstRow">
      <w:rPr>
        <w:b/>
        <w:bCs/>
      </w:rPr>
      <w:tblPr/>
      <w:tcPr>
        <w:tcBorders>
          <w:top w:val="nil"/>
          <w:left w:val="nil"/>
          <w:bottom w:val="single" w:sz="24" w:space="0" w:color="D2D7D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2C2A" w:themeFill="accent5" w:themeFillShade="99"/>
      </w:tcPr>
    </w:tblStylePr>
    <w:tblStylePr w:type="firstCol">
      <w:rPr>
        <w:color w:val="FFFFFF" w:themeColor="background1"/>
      </w:rPr>
      <w:tblPr/>
      <w:tcPr>
        <w:tcBorders>
          <w:top w:val="nil"/>
          <w:left w:val="nil"/>
          <w:bottom w:val="nil"/>
          <w:right w:val="nil"/>
          <w:insideH w:val="single" w:sz="4" w:space="0" w:color="2D2C2A" w:themeColor="accent5" w:themeShade="99"/>
          <w:insideV w:val="nil"/>
        </w:tcBorders>
        <w:shd w:val="clear" w:color="auto" w:fill="2D2C2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D2C2A" w:themeFill="accent5" w:themeFillShade="99"/>
      </w:tcPr>
    </w:tblStylePr>
    <w:tblStylePr w:type="band1Vert">
      <w:tblPr/>
      <w:tcPr>
        <w:shd w:val="clear" w:color="auto" w:fill="B8B6B3" w:themeFill="accent5" w:themeFillTint="66"/>
      </w:tcPr>
    </w:tblStylePr>
    <w:tblStylePr w:type="band1Horz">
      <w:tblPr/>
      <w:tcPr>
        <w:shd w:val="clear" w:color="auto" w:fill="A7A5A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A21B54"/>
    <w:rPr>
      <w:color w:val="000000" w:themeColor="text1"/>
    </w:rPr>
    <w:tblPr>
      <w:tblStyleRowBandSize w:val="1"/>
      <w:tblStyleColBandSize w:val="1"/>
      <w:tblBorders>
        <w:top w:val="single" w:sz="24" w:space="0" w:color="4C4A47" w:themeColor="accent5"/>
        <w:left w:val="single" w:sz="4" w:space="0" w:color="D2D7DF" w:themeColor="accent6"/>
        <w:bottom w:val="single" w:sz="4" w:space="0" w:color="D2D7DF" w:themeColor="accent6"/>
        <w:right w:val="single" w:sz="4" w:space="0" w:color="D2D7DF" w:themeColor="accent6"/>
        <w:insideH w:val="single" w:sz="4" w:space="0" w:color="FFFFFF" w:themeColor="background1"/>
        <w:insideV w:val="single" w:sz="4" w:space="0" w:color="FFFFFF" w:themeColor="background1"/>
      </w:tblBorders>
    </w:tblPr>
    <w:tcPr>
      <w:shd w:val="clear" w:color="auto" w:fill="FAFBFB" w:themeFill="accent6" w:themeFillTint="19"/>
    </w:tcPr>
    <w:tblStylePr w:type="firstRow">
      <w:rPr>
        <w:b/>
        <w:bCs/>
      </w:rPr>
      <w:tblPr/>
      <w:tcPr>
        <w:tcBorders>
          <w:top w:val="nil"/>
          <w:left w:val="nil"/>
          <w:bottom w:val="single" w:sz="24" w:space="0" w:color="4C4A47"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C7C97" w:themeFill="accent6" w:themeFillShade="99"/>
      </w:tcPr>
    </w:tblStylePr>
    <w:tblStylePr w:type="firstCol">
      <w:rPr>
        <w:color w:val="FFFFFF" w:themeColor="background1"/>
      </w:rPr>
      <w:tblPr/>
      <w:tcPr>
        <w:tcBorders>
          <w:top w:val="nil"/>
          <w:left w:val="nil"/>
          <w:bottom w:val="nil"/>
          <w:right w:val="nil"/>
          <w:insideH w:val="single" w:sz="4" w:space="0" w:color="6C7C97" w:themeColor="accent6" w:themeShade="99"/>
          <w:insideV w:val="nil"/>
        </w:tcBorders>
        <w:shd w:val="clear" w:color="auto" w:fill="6C7C9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C7C97" w:themeFill="accent6" w:themeFillShade="99"/>
      </w:tcPr>
    </w:tblStylePr>
    <w:tblStylePr w:type="band1Vert">
      <w:tblPr/>
      <w:tcPr>
        <w:shd w:val="clear" w:color="auto" w:fill="ECEEF2" w:themeFill="accent6" w:themeFillTint="66"/>
      </w:tcPr>
    </w:tblStylePr>
    <w:tblStylePr w:type="band1Horz">
      <w:tblPr/>
      <w:tcPr>
        <w:shd w:val="clear" w:color="auto" w:fill="E8EAE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rsid w:val="00A21B5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A21B54"/>
    <w:rPr>
      <w:color w:val="FFFFFF" w:themeColor="background1"/>
    </w:rPr>
    <w:tblPr>
      <w:tblStyleRowBandSize w:val="1"/>
      <w:tblStyleColBandSize w:val="1"/>
    </w:tblPr>
    <w:tcPr>
      <w:shd w:val="clear" w:color="auto" w:fill="1C355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1A2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274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2746" w:themeFill="accent1" w:themeFillShade="BF"/>
      </w:tcPr>
    </w:tblStylePr>
    <w:tblStylePr w:type="band1Vert">
      <w:tblPr/>
      <w:tcPr>
        <w:tcBorders>
          <w:top w:val="nil"/>
          <w:left w:val="nil"/>
          <w:bottom w:val="nil"/>
          <w:right w:val="nil"/>
          <w:insideH w:val="nil"/>
          <w:insideV w:val="nil"/>
        </w:tcBorders>
        <w:shd w:val="clear" w:color="auto" w:fill="152746" w:themeFill="accent1" w:themeFillShade="BF"/>
      </w:tcPr>
    </w:tblStylePr>
    <w:tblStylePr w:type="band1Horz">
      <w:tblPr/>
      <w:tcPr>
        <w:tcBorders>
          <w:top w:val="nil"/>
          <w:left w:val="nil"/>
          <w:bottom w:val="nil"/>
          <w:right w:val="nil"/>
          <w:insideH w:val="nil"/>
          <w:insideV w:val="nil"/>
        </w:tcBorders>
        <w:shd w:val="clear" w:color="auto" w:fill="152746" w:themeFill="accent1" w:themeFillShade="BF"/>
      </w:tcPr>
    </w:tblStylePr>
  </w:style>
  <w:style w:type="table" w:styleId="DarkList-Accent2">
    <w:name w:val="Dark List Accent 2"/>
    <w:basedOn w:val="TableNormal"/>
    <w:uiPriority w:val="70"/>
    <w:semiHidden/>
    <w:rsid w:val="00A21B54"/>
    <w:rPr>
      <w:color w:val="FFFFFF" w:themeColor="background1"/>
    </w:rPr>
    <w:tblPr>
      <w:tblStyleRowBandSize w:val="1"/>
      <w:tblStyleColBandSize w:val="1"/>
    </w:tblPr>
    <w:tcPr>
      <w:shd w:val="clear" w:color="auto" w:fill="A4AEB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46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F7F9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F7F9A" w:themeFill="accent2" w:themeFillShade="BF"/>
      </w:tcPr>
    </w:tblStylePr>
    <w:tblStylePr w:type="band1Vert">
      <w:tblPr/>
      <w:tcPr>
        <w:tcBorders>
          <w:top w:val="nil"/>
          <w:left w:val="nil"/>
          <w:bottom w:val="nil"/>
          <w:right w:val="nil"/>
          <w:insideH w:val="nil"/>
          <w:insideV w:val="nil"/>
        </w:tcBorders>
        <w:shd w:val="clear" w:color="auto" w:fill="6F7F9A" w:themeFill="accent2" w:themeFillShade="BF"/>
      </w:tcPr>
    </w:tblStylePr>
    <w:tblStylePr w:type="band1Horz">
      <w:tblPr/>
      <w:tcPr>
        <w:tcBorders>
          <w:top w:val="nil"/>
          <w:left w:val="nil"/>
          <w:bottom w:val="nil"/>
          <w:right w:val="nil"/>
          <w:insideH w:val="nil"/>
          <w:insideV w:val="nil"/>
        </w:tcBorders>
        <w:shd w:val="clear" w:color="auto" w:fill="6F7F9A" w:themeFill="accent2" w:themeFillShade="BF"/>
      </w:tcPr>
    </w:tblStylePr>
  </w:style>
  <w:style w:type="table" w:styleId="DarkList-Accent3">
    <w:name w:val="Dark List Accent 3"/>
    <w:basedOn w:val="TableNormal"/>
    <w:uiPriority w:val="70"/>
    <w:semiHidden/>
    <w:rsid w:val="00A21B54"/>
    <w:rPr>
      <w:color w:val="FFFFFF" w:themeColor="background1"/>
    </w:rPr>
    <w:tblPr>
      <w:tblStyleRowBandSize w:val="1"/>
      <w:tblStyleColBandSize w:val="1"/>
    </w:tblPr>
    <w:tcPr>
      <w:shd w:val="clear" w:color="auto" w:fill="94929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484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F6D6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F6D6C" w:themeFill="accent3" w:themeFillShade="BF"/>
      </w:tcPr>
    </w:tblStylePr>
    <w:tblStylePr w:type="band1Vert">
      <w:tblPr/>
      <w:tcPr>
        <w:tcBorders>
          <w:top w:val="nil"/>
          <w:left w:val="nil"/>
          <w:bottom w:val="nil"/>
          <w:right w:val="nil"/>
          <w:insideH w:val="nil"/>
          <w:insideV w:val="nil"/>
        </w:tcBorders>
        <w:shd w:val="clear" w:color="auto" w:fill="6F6D6C" w:themeFill="accent3" w:themeFillShade="BF"/>
      </w:tcPr>
    </w:tblStylePr>
    <w:tblStylePr w:type="band1Horz">
      <w:tblPr/>
      <w:tcPr>
        <w:tcBorders>
          <w:top w:val="nil"/>
          <w:left w:val="nil"/>
          <w:bottom w:val="nil"/>
          <w:right w:val="nil"/>
          <w:insideH w:val="nil"/>
          <w:insideV w:val="nil"/>
        </w:tcBorders>
        <w:shd w:val="clear" w:color="auto" w:fill="6F6D6C" w:themeFill="accent3" w:themeFillShade="BF"/>
      </w:tcPr>
    </w:tblStylePr>
  </w:style>
  <w:style w:type="table" w:styleId="DarkList-Accent4">
    <w:name w:val="Dark List Accent 4"/>
    <w:basedOn w:val="TableNormal"/>
    <w:uiPriority w:val="70"/>
    <w:semiHidden/>
    <w:rsid w:val="00A21B54"/>
    <w:rPr>
      <w:color w:val="FFFFFF" w:themeColor="background1"/>
    </w:rPr>
    <w:tblPr>
      <w:tblStyleRowBandSize w:val="1"/>
      <w:tblStyleColBandSize w:val="1"/>
    </w:tblPr>
    <w:tcPr>
      <w:shd w:val="clear" w:color="auto" w:fill="E6E3D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E726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4AA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4AA9F" w:themeFill="accent4" w:themeFillShade="BF"/>
      </w:tcPr>
    </w:tblStylePr>
    <w:tblStylePr w:type="band1Vert">
      <w:tblPr/>
      <w:tcPr>
        <w:tcBorders>
          <w:top w:val="nil"/>
          <w:left w:val="nil"/>
          <w:bottom w:val="nil"/>
          <w:right w:val="nil"/>
          <w:insideH w:val="nil"/>
          <w:insideV w:val="nil"/>
        </w:tcBorders>
        <w:shd w:val="clear" w:color="auto" w:fill="B4AA9F" w:themeFill="accent4" w:themeFillShade="BF"/>
      </w:tcPr>
    </w:tblStylePr>
    <w:tblStylePr w:type="band1Horz">
      <w:tblPr/>
      <w:tcPr>
        <w:tcBorders>
          <w:top w:val="nil"/>
          <w:left w:val="nil"/>
          <w:bottom w:val="nil"/>
          <w:right w:val="nil"/>
          <w:insideH w:val="nil"/>
          <w:insideV w:val="nil"/>
        </w:tcBorders>
        <w:shd w:val="clear" w:color="auto" w:fill="B4AA9F" w:themeFill="accent4" w:themeFillShade="BF"/>
      </w:tcPr>
    </w:tblStylePr>
  </w:style>
  <w:style w:type="table" w:styleId="DarkList-Accent5">
    <w:name w:val="Dark List Accent 5"/>
    <w:basedOn w:val="TableNormal"/>
    <w:uiPriority w:val="70"/>
    <w:semiHidden/>
    <w:rsid w:val="00A21B54"/>
    <w:rPr>
      <w:color w:val="FFFFFF" w:themeColor="background1"/>
    </w:rPr>
    <w:tblPr>
      <w:tblStyleRowBandSize w:val="1"/>
      <w:tblStyleColBandSize w:val="1"/>
    </w:tblPr>
    <w:tcPr>
      <w:shd w:val="clear" w:color="auto" w:fill="4C4A47"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242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8373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83735" w:themeFill="accent5" w:themeFillShade="BF"/>
      </w:tcPr>
    </w:tblStylePr>
    <w:tblStylePr w:type="band1Vert">
      <w:tblPr/>
      <w:tcPr>
        <w:tcBorders>
          <w:top w:val="nil"/>
          <w:left w:val="nil"/>
          <w:bottom w:val="nil"/>
          <w:right w:val="nil"/>
          <w:insideH w:val="nil"/>
          <w:insideV w:val="nil"/>
        </w:tcBorders>
        <w:shd w:val="clear" w:color="auto" w:fill="383735" w:themeFill="accent5" w:themeFillShade="BF"/>
      </w:tcPr>
    </w:tblStylePr>
    <w:tblStylePr w:type="band1Horz">
      <w:tblPr/>
      <w:tcPr>
        <w:tcBorders>
          <w:top w:val="nil"/>
          <w:left w:val="nil"/>
          <w:bottom w:val="nil"/>
          <w:right w:val="nil"/>
          <w:insideH w:val="nil"/>
          <w:insideV w:val="nil"/>
        </w:tcBorders>
        <w:shd w:val="clear" w:color="auto" w:fill="383735" w:themeFill="accent5" w:themeFillShade="BF"/>
      </w:tcPr>
    </w:tblStylePr>
  </w:style>
  <w:style w:type="table" w:styleId="DarkList-Accent6">
    <w:name w:val="Dark List Accent 6"/>
    <w:basedOn w:val="TableNormal"/>
    <w:uiPriority w:val="70"/>
    <w:semiHidden/>
    <w:rsid w:val="00A21B54"/>
    <w:rPr>
      <w:color w:val="FFFFFF" w:themeColor="background1"/>
    </w:rPr>
    <w:tblPr>
      <w:tblStyleRowBandSize w:val="1"/>
      <w:tblStyleColBandSize w:val="1"/>
    </w:tblPr>
    <w:tcPr>
      <w:shd w:val="clear" w:color="auto" w:fill="D2D7D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9677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29EB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29EB1" w:themeFill="accent6" w:themeFillShade="BF"/>
      </w:tcPr>
    </w:tblStylePr>
    <w:tblStylePr w:type="band1Vert">
      <w:tblPr/>
      <w:tcPr>
        <w:tcBorders>
          <w:top w:val="nil"/>
          <w:left w:val="nil"/>
          <w:bottom w:val="nil"/>
          <w:right w:val="nil"/>
          <w:insideH w:val="nil"/>
          <w:insideV w:val="nil"/>
        </w:tcBorders>
        <w:shd w:val="clear" w:color="auto" w:fill="929EB1" w:themeFill="accent6" w:themeFillShade="BF"/>
      </w:tcPr>
    </w:tblStylePr>
    <w:tblStylePr w:type="band1Horz">
      <w:tblPr/>
      <w:tcPr>
        <w:tcBorders>
          <w:top w:val="nil"/>
          <w:left w:val="nil"/>
          <w:bottom w:val="nil"/>
          <w:right w:val="nil"/>
          <w:insideH w:val="nil"/>
          <w:insideV w:val="nil"/>
        </w:tcBorders>
        <w:shd w:val="clear" w:color="auto" w:fill="929EB1" w:themeFill="accent6" w:themeFillShade="BF"/>
      </w:tcPr>
    </w:tblStylePr>
  </w:style>
  <w:style w:type="character" w:styleId="IntenseEmphasis">
    <w:name w:val="Intense Emphasis"/>
    <w:basedOn w:val="DefaultParagraphFont"/>
    <w:uiPriority w:val="21"/>
    <w:semiHidden/>
    <w:rsid w:val="00A21B54"/>
    <w:rPr>
      <w:rFonts w:asciiTheme="minorHAnsi" w:hAnsiTheme="minorHAnsi"/>
      <w:b/>
      <w:bCs/>
      <w:i/>
      <w:iCs/>
      <w:color w:val="1C355E" w:themeColor="accent1"/>
    </w:rPr>
  </w:style>
  <w:style w:type="paragraph" w:styleId="IntenseQuote">
    <w:name w:val="Intense Quote"/>
    <w:basedOn w:val="Normal"/>
    <w:next w:val="Normal"/>
    <w:link w:val="IntenseQuoteChar"/>
    <w:uiPriority w:val="30"/>
    <w:semiHidden/>
    <w:rsid w:val="00A21B54"/>
    <w:pPr>
      <w:pBdr>
        <w:bottom w:val="single" w:sz="4" w:space="4" w:color="1C355E" w:themeColor="accent1"/>
      </w:pBdr>
      <w:spacing w:before="200" w:after="280"/>
      <w:ind w:left="936" w:right="936"/>
    </w:pPr>
    <w:rPr>
      <w:b/>
      <w:bCs/>
      <w:i/>
      <w:iCs/>
      <w:color w:val="1C355E" w:themeColor="accent1"/>
    </w:rPr>
  </w:style>
  <w:style w:type="character" w:customStyle="1" w:styleId="IntenseQuoteChar">
    <w:name w:val="Intense Quote Char"/>
    <w:basedOn w:val="DefaultParagraphFont"/>
    <w:link w:val="IntenseQuote"/>
    <w:uiPriority w:val="30"/>
    <w:semiHidden/>
    <w:rsid w:val="00A21B54"/>
    <w:rPr>
      <w:rFonts w:asciiTheme="minorHAnsi" w:hAnsiTheme="minorHAnsi"/>
      <w:b/>
      <w:bCs/>
      <w:i/>
      <w:iCs/>
      <w:color w:val="1C355E" w:themeColor="accent1"/>
      <w:sz w:val="22"/>
      <w:szCs w:val="22"/>
      <w:lang w:eastAsia="en-US"/>
    </w:rPr>
  </w:style>
  <w:style w:type="character" w:styleId="IntenseReference">
    <w:name w:val="Intense Reference"/>
    <w:basedOn w:val="DefaultParagraphFont"/>
    <w:uiPriority w:val="32"/>
    <w:semiHidden/>
    <w:rsid w:val="00A21B54"/>
    <w:rPr>
      <w:rFonts w:asciiTheme="minorHAnsi" w:hAnsiTheme="minorHAnsi"/>
      <w:b/>
      <w:bCs/>
      <w:smallCaps/>
      <w:color w:val="A4AEBF" w:themeColor="accent2"/>
      <w:spacing w:val="5"/>
      <w:u w:val="single"/>
    </w:rPr>
  </w:style>
  <w:style w:type="table" w:styleId="LightGrid">
    <w:name w:val="Light Grid"/>
    <w:basedOn w:val="TableNormal"/>
    <w:uiPriority w:val="62"/>
    <w:semiHidden/>
    <w:rsid w:val="00A21B5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A21B54"/>
    <w:tblPr>
      <w:tblStyleRowBandSize w:val="1"/>
      <w:tblStyleColBandSize w:val="1"/>
      <w:tblBorders>
        <w:top w:val="single" w:sz="8" w:space="0" w:color="1C355E" w:themeColor="accent1"/>
        <w:left w:val="single" w:sz="8" w:space="0" w:color="1C355E" w:themeColor="accent1"/>
        <w:bottom w:val="single" w:sz="8" w:space="0" w:color="1C355E" w:themeColor="accent1"/>
        <w:right w:val="single" w:sz="8" w:space="0" w:color="1C355E" w:themeColor="accent1"/>
        <w:insideH w:val="single" w:sz="8" w:space="0" w:color="1C355E" w:themeColor="accent1"/>
        <w:insideV w:val="single" w:sz="8" w:space="0" w:color="1C355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355E" w:themeColor="accent1"/>
          <w:left w:val="single" w:sz="8" w:space="0" w:color="1C355E" w:themeColor="accent1"/>
          <w:bottom w:val="single" w:sz="18" w:space="0" w:color="1C355E" w:themeColor="accent1"/>
          <w:right w:val="single" w:sz="8" w:space="0" w:color="1C355E" w:themeColor="accent1"/>
          <w:insideH w:val="nil"/>
          <w:insideV w:val="single" w:sz="8" w:space="0" w:color="1C355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355E" w:themeColor="accent1"/>
          <w:left w:val="single" w:sz="8" w:space="0" w:color="1C355E" w:themeColor="accent1"/>
          <w:bottom w:val="single" w:sz="8" w:space="0" w:color="1C355E" w:themeColor="accent1"/>
          <w:right w:val="single" w:sz="8" w:space="0" w:color="1C355E" w:themeColor="accent1"/>
          <w:insideH w:val="nil"/>
          <w:insideV w:val="single" w:sz="8" w:space="0" w:color="1C355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355E" w:themeColor="accent1"/>
          <w:left w:val="single" w:sz="8" w:space="0" w:color="1C355E" w:themeColor="accent1"/>
          <w:bottom w:val="single" w:sz="8" w:space="0" w:color="1C355E" w:themeColor="accent1"/>
          <w:right w:val="single" w:sz="8" w:space="0" w:color="1C355E" w:themeColor="accent1"/>
        </w:tcBorders>
      </w:tcPr>
    </w:tblStylePr>
    <w:tblStylePr w:type="band1Vert">
      <w:tblPr/>
      <w:tcPr>
        <w:tcBorders>
          <w:top w:val="single" w:sz="8" w:space="0" w:color="1C355E" w:themeColor="accent1"/>
          <w:left w:val="single" w:sz="8" w:space="0" w:color="1C355E" w:themeColor="accent1"/>
          <w:bottom w:val="single" w:sz="8" w:space="0" w:color="1C355E" w:themeColor="accent1"/>
          <w:right w:val="single" w:sz="8" w:space="0" w:color="1C355E" w:themeColor="accent1"/>
        </w:tcBorders>
        <w:shd w:val="clear" w:color="auto" w:fill="B5C8E9" w:themeFill="accent1" w:themeFillTint="3F"/>
      </w:tcPr>
    </w:tblStylePr>
    <w:tblStylePr w:type="band1Horz">
      <w:tblPr/>
      <w:tcPr>
        <w:tcBorders>
          <w:top w:val="single" w:sz="8" w:space="0" w:color="1C355E" w:themeColor="accent1"/>
          <w:left w:val="single" w:sz="8" w:space="0" w:color="1C355E" w:themeColor="accent1"/>
          <w:bottom w:val="single" w:sz="8" w:space="0" w:color="1C355E" w:themeColor="accent1"/>
          <w:right w:val="single" w:sz="8" w:space="0" w:color="1C355E" w:themeColor="accent1"/>
          <w:insideV w:val="single" w:sz="8" w:space="0" w:color="1C355E" w:themeColor="accent1"/>
        </w:tcBorders>
        <w:shd w:val="clear" w:color="auto" w:fill="B5C8E9" w:themeFill="accent1" w:themeFillTint="3F"/>
      </w:tcPr>
    </w:tblStylePr>
    <w:tblStylePr w:type="band2Horz">
      <w:tblPr/>
      <w:tcPr>
        <w:tcBorders>
          <w:top w:val="single" w:sz="8" w:space="0" w:color="1C355E" w:themeColor="accent1"/>
          <w:left w:val="single" w:sz="8" w:space="0" w:color="1C355E" w:themeColor="accent1"/>
          <w:bottom w:val="single" w:sz="8" w:space="0" w:color="1C355E" w:themeColor="accent1"/>
          <w:right w:val="single" w:sz="8" w:space="0" w:color="1C355E" w:themeColor="accent1"/>
          <w:insideV w:val="single" w:sz="8" w:space="0" w:color="1C355E" w:themeColor="accent1"/>
        </w:tcBorders>
      </w:tcPr>
    </w:tblStylePr>
  </w:style>
  <w:style w:type="table" w:styleId="LightGrid-Accent2">
    <w:name w:val="Light Grid Accent 2"/>
    <w:basedOn w:val="TableNormal"/>
    <w:uiPriority w:val="62"/>
    <w:semiHidden/>
    <w:rsid w:val="00A21B54"/>
    <w:tblPr>
      <w:tblStyleRowBandSize w:val="1"/>
      <w:tblStyleColBandSize w:val="1"/>
      <w:tblBorders>
        <w:top w:val="single" w:sz="8" w:space="0" w:color="A4AEBF" w:themeColor="accent2"/>
        <w:left w:val="single" w:sz="8" w:space="0" w:color="A4AEBF" w:themeColor="accent2"/>
        <w:bottom w:val="single" w:sz="8" w:space="0" w:color="A4AEBF" w:themeColor="accent2"/>
        <w:right w:val="single" w:sz="8" w:space="0" w:color="A4AEBF" w:themeColor="accent2"/>
        <w:insideH w:val="single" w:sz="8" w:space="0" w:color="A4AEBF" w:themeColor="accent2"/>
        <w:insideV w:val="single" w:sz="8" w:space="0" w:color="A4AEB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4AEBF" w:themeColor="accent2"/>
          <w:left w:val="single" w:sz="8" w:space="0" w:color="A4AEBF" w:themeColor="accent2"/>
          <w:bottom w:val="single" w:sz="18" w:space="0" w:color="A4AEBF" w:themeColor="accent2"/>
          <w:right w:val="single" w:sz="8" w:space="0" w:color="A4AEBF" w:themeColor="accent2"/>
          <w:insideH w:val="nil"/>
          <w:insideV w:val="single" w:sz="8" w:space="0" w:color="A4AEB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4AEBF" w:themeColor="accent2"/>
          <w:left w:val="single" w:sz="8" w:space="0" w:color="A4AEBF" w:themeColor="accent2"/>
          <w:bottom w:val="single" w:sz="8" w:space="0" w:color="A4AEBF" w:themeColor="accent2"/>
          <w:right w:val="single" w:sz="8" w:space="0" w:color="A4AEBF" w:themeColor="accent2"/>
          <w:insideH w:val="nil"/>
          <w:insideV w:val="single" w:sz="8" w:space="0" w:color="A4AEB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4AEBF" w:themeColor="accent2"/>
          <w:left w:val="single" w:sz="8" w:space="0" w:color="A4AEBF" w:themeColor="accent2"/>
          <w:bottom w:val="single" w:sz="8" w:space="0" w:color="A4AEBF" w:themeColor="accent2"/>
          <w:right w:val="single" w:sz="8" w:space="0" w:color="A4AEBF" w:themeColor="accent2"/>
        </w:tcBorders>
      </w:tcPr>
    </w:tblStylePr>
    <w:tblStylePr w:type="band1Vert">
      <w:tblPr/>
      <w:tcPr>
        <w:tcBorders>
          <w:top w:val="single" w:sz="8" w:space="0" w:color="A4AEBF" w:themeColor="accent2"/>
          <w:left w:val="single" w:sz="8" w:space="0" w:color="A4AEBF" w:themeColor="accent2"/>
          <w:bottom w:val="single" w:sz="8" w:space="0" w:color="A4AEBF" w:themeColor="accent2"/>
          <w:right w:val="single" w:sz="8" w:space="0" w:color="A4AEBF" w:themeColor="accent2"/>
        </w:tcBorders>
        <w:shd w:val="clear" w:color="auto" w:fill="E8EAEF" w:themeFill="accent2" w:themeFillTint="3F"/>
      </w:tcPr>
    </w:tblStylePr>
    <w:tblStylePr w:type="band1Horz">
      <w:tblPr/>
      <w:tcPr>
        <w:tcBorders>
          <w:top w:val="single" w:sz="8" w:space="0" w:color="A4AEBF" w:themeColor="accent2"/>
          <w:left w:val="single" w:sz="8" w:space="0" w:color="A4AEBF" w:themeColor="accent2"/>
          <w:bottom w:val="single" w:sz="8" w:space="0" w:color="A4AEBF" w:themeColor="accent2"/>
          <w:right w:val="single" w:sz="8" w:space="0" w:color="A4AEBF" w:themeColor="accent2"/>
          <w:insideV w:val="single" w:sz="8" w:space="0" w:color="A4AEBF" w:themeColor="accent2"/>
        </w:tcBorders>
        <w:shd w:val="clear" w:color="auto" w:fill="E8EAEF" w:themeFill="accent2" w:themeFillTint="3F"/>
      </w:tcPr>
    </w:tblStylePr>
    <w:tblStylePr w:type="band2Horz">
      <w:tblPr/>
      <w:tcPr>
        <w:tcBorders>
          <w:top w:val="single" w:sz="8" w:space="0" w:color="A4AEBF" w:themeColor="accent2"/>
          <w:left w:val="single" w:sz="8" w:space="0" w:color="A4AEBF" w:themeColor="accent2"/>
          <w:bottom w:val="single" w:sz="8" w:space="0" w:color="A4AEBF" w:themeColor="accent2"/>
          <w:right w:val="single" w:sz="8" w:space="0" w:color="A4AEBF" w:themeColor="accent2"/>
          <w:insideV w:val="single" w:sz="8" w:space="0" w:color="A4AEBF" w:themeColor="accent2"/>
        </w:tcBorders>
      </w:tcPr>
    </w:tblStylePr>
  </w:style>
  <w:style w:type="table" w:styleId="LightGrid-Accent3">
    <w:name w:val="Light Grid Accent 3"/>
    <w:basedOn w:val="TableNormal"/>
    <w:uiPriority w:val="62"/>
    <w:semiHidden/>
    <w:rsid w:val="00A21B54"/>
    <w:tblPr>
      <w:tblStyleRowBandSize w:val="1"/>
      <w:tblStyleColBandSize w:val="1"/>
      <w:tblBorders>
        <w:top w:val="single" w:sz="8" w:space="0" w:color="949291" w:themeColor="accent3"/>
        <w:left w:val="single" w:sz="8" w:space="0" w:color="949291" w:themeColor="accent3"/>
        <w:bottom w:val="single" w:sz="8" w:space="0" w:color="949291" w:themeColor="accent3"/>
        <w:right w:val="single" w:sz="8" w:space="0" w:color="949291" w:themeColor="accent3"/>
        <w:insideH w:val="single" w:sz="8" w:space="0" w:color="949291" w:themeColor="accent3"/>
        <w:insideV w:val="single" w:sz="8" w:space="0" w:color="94929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9291" w:themeColor="accent3"/>
          <w:left w:val="single" w:sz="8" w:space="0" w:color="949291" w:themeColor="accent3"/>
          <w:bottom w:val="single" w:sz="18" w:space="0" w:color="949291" w:themeColor="accent3"/>
          <w:right w:val="single" w:sz="8" w:space="0" w:color="949291" w:themeColor="accent3"/>
          <w:insideH w:val="nil"/>
          <w:insideV w:val="single" w:sz="8" w:space="0" w:color="94929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9291" w:themeColor="accent3"/>
          <w:left w:val="single" w:sz="8" w:space="0" w:color="949291" w:themeColor="accent3"/>
          <w:bottom w:val="single" w:sz="8" w:space="0" w:color="949291" w:themeColor="accent3"/>
          <w:right w:val="single" w:sz="8" w:space="0" w:color="949291" w:themeColor="accent3"/>
          <w:insideH w:val="nil"/>
          <w:insideV w:val="single" w:sz="8" w:space="0" w:color="94929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9291" w:themeColor="accent3"/>
          <w:left w:val="single" w:sz="8" w:space="0" w:color="949291" w:themeColor="accent3"/>
          <w:bottom w:val="single" w:sz="8" w:space="0" w:color="949291" w:themeColor="accent3"/>
          <w:right w:val="single" w:sz="8" w:space="0" w:color="949291" w:themeColor="accent3"/>
        </w:tcBorders>
      </w:tcPr>
    </w:tblStylePr>
    <w:tblStylePr w:type="band1Vert">
      <w:tblPr/>
      <w:tcPr>
        <w:tcBorders>
          <w:top w:val="single" w:sz="8" w:space="0" w:color="949291" w:themeColor="accent3"/>
          <w:left w:val="single" w:sz="8" w:space="0" w:color="949291" w:themeColor="accent3"/>
          <w:bottom w:val="single" w:sz="8" w:space="0" w:color="949291" w:themeColor="accent3"/>
          <w:right w:val="single" w:sz="8" w:space="0" w:color="949291" w:themeColor="accent3"/>
        </w:tcBorders>
        <w:shd w:val="clear" w:color="auto" w:fill="E4E4E3" w:themeFill="accent3" w:themeFillTint="3F"/>
      </w:tcPr>
    </w:tblStylePr>
    <w:tblStylePr w:type="band1Horz">
      <w:tblPr/>
      <w:tcPr>
        <w:tcBorders>
          <w:top w:val="single" w:sz="8" w:space="0" w:color="949291" w:themeColor="accent3"/>
          <w:left w:val="single" w:sz="8" w:space="0" w:color="949291" w:themeColor="accent3"/>
          <w:bottom w:val="single" w:sz="8" w:space="0" w:color="949291" w:themeColor="accent3"/>
          <w:right w:val="single" w:sz="8" w:space="0" w:color="949291" w:themeColor="accent3"/>
          <w:insideV w:val="single" w:sz="8" w:space="0" w:color="949291" w:themeColor="accent3"/>
        </w:tcBorders>
        <w:shd w:val="clear" w:color="auto" w:fill="E4E4E3" w:themeFill="accent3" w:themeFillTint="3F"/>
      </w:tcPr>
    </w:tblStylePr>
    <w:tblStylePr w:type="band2Horz">
      <w:tblPr/>
      <w:tcPr>
        <w:tcBorders>
          <w:top w:val="single" w:sz="8" w:space="0" w:color="949291" w:themeColor="accent3"/>
          <w:left w:val="single" w:sz="8" w:space="0" w:color="949291" w:themeColor="accent3"/>
          <w:bottom w:val="single" w:sz="8" w:space="0" w:color="949291" w:themeColor="accent3"/>
          <w:right w:val="single" w:sz="8" w:space="0" w:color="949291" w:themeColor="accent3"/>
          <w:insideV w:val="single" w:sz="8" w:space="0" w:color="949291" w:themeColor="accent3"/>
        </w:tcBorders>
      </w:tcPr>
    </w:tblStylePr>
  </w:style>
  <w:style w:type="table" w:styleId="LightGrid-Accent4">
    <w:name w:val="Light Grid Accent 4"/>
    <w:basedOn w:val="TableNormal"/>
    <w:uiPriority w:val="62"/>
    <w:semiHidden/>
    <w:rsid w:val="00A21B54"/>
    <w:tblPr>
      <w:tblStyleRowBandSize w:val="1"/>
      <w:tblStyleColBandSize w:val="1"/>
      <w:tblBorders>
        <w:top w:val="single" w:sz="8" w:space="0" w:color="E6E3DF" w:themeColor="accent4"/>
        <w:left w:val="single" w:sz="8" w:space="0" w:color="E6E3DF" w:themeColor="accent4"/>
        <w:bottom w:val="single" w:sz="8" w:space="0" w:color="E6E3DF" w:themeColor="accent4"/>
        <w:right w:val="single" w:sz="8" w:space="0" w:color="E6E3DF" w:themeColor="accent4"/>
        <w:insideH w:val="single" w:sz="8" w:space="0" w:color="E6E3DF" w:themeColor="accent4"/>
        <w:insideV w:val="single" w:sz="8" w:space="0" w:color="E6E3D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E3DF" w:themeColor="accent4"/>
          <w:left w:val="single" w:sz="8" w:space="0" w:color="E6E3DF" w:themeColor="accent4"/>
          <w:bottom w:val="single" w:sz="18" w:space="0" w:color="E6E3DF" w:themeColor="accent4"/>
          <w:right w:val="single" w:sz="8" w:space="0" w:color="E6E3DF" w:themeColor="accent4"/>
          <w:insideH w:val="nil"/>
          <w:insideV w:val="single" w:sz="8" w:space="0" w:color="E6E3D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E3DF" w:themeColor="accent4"/>
          <w:left w:val="single" w:sz="8" w:space="0" w:color="E6E3DF" w:themeColor="accent4"/>
          <w:bottom w:val="single" w:sz="8" w:space="0" w:color="E6E3DF" w:themeColor="accent4"/>
          <w:right w:val="single" w:sz="8" w:space="0" w:color="E6E3DF" w:themeColor="accent4"/>
          <w:insideH w:val="nil"/>
          <w:insideV w:val="single" w:sz="8" w:space="0" w:color="E6E3D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E3DF" w:themeColor="accent4"/>
          <w:left w:val="single" w:sz="8" w:space="0" w:color="E6E3DF" w:themeColor="accent4"/>
          <w:bottom w:val="single" w:sz="8" w:space="0" w:color="E6E3DF" w:themeColor="accent4"/>
          <w:right w:val="single" w:sz="8" w:space="0" w:color="E6E3DF" w:themeColor="accent4"/>
        </w:tcBorders>
      </w:tcPr>
    </w:tblStylePr>
    <w:tblStylePr w:type="band1Vert">
      <w:tblPr/>
      <w:tcPr>
        <w:tcBorders>
          <w:top w:val="single" w:sz="8" w:space="0" w:color="E6E3DF" w:themeColor="accent4"/>
          <w:left w:val="single" w:sz="8" w:space="0" w:color="E6E3DF" w:themeColor="accent4"/>
          <w:bottom w:val="single" w:sz="8" w:space="0" w:color="E6E3DF" w:themeColor="accent4"/>
          <w:right w:val="single" w:sz="8" w:space="0" w:color="E6E3DF" w:themeColor="accent4"/>
        </w:tcBorders>
        <w:shd w:val="clear" w:color="auto" w:fill="F8F7F6" w:themeFill="accent4" w:themeFillTint="3F"/>
      </w:tcPr>
    </w:tblStylePr>
    <w:tblStylePr w:type="band1Horz">
      <w:tblPr/>
      <w:tcPr>
        <w:tcBorders>
          <w:top w:val="single" w:sz="8" w:space="0" w:color="E6E3DF" w:themeColor="accent4"/>
          <w:left w:val="single" w:sz="8" w:space="0" w:color="E6E3DF" w:themeColor="accent4"/>
          <w:bottom w:val="single" w:sz="8" w:space="0" w:color="E6E3DF" w:themeColor="accent4"/>
          <w:right w:val="single" w:sz="8" w:space="0" w:color="E6E3DF" w:themeColor="accent4"/>
          <w:insideV w:val="single" w:sz="8" w:space="0" w:color="E6E3DF" w:themeColor="accent4"/>
        </w:tcBorders>
        <w:shd w:val="clear" w:color="auto" w:fill="F8F7F6" w:themeFill="accent4" w:themeFillTint="3F"/>
      </w:tcPr>
    </w:tblStylePr>
    <w:tblStylePr w:type="band2Horz">
      <w:tblPr/>
      <w:tcPr>
        <w:tcBorders>
          <w:top w:val="single" w:sz="8" w:space="0" w:color="E6E3DF" w:themeColor="accent4"/>
          <w:left w:val="single" w:sz="8" w:space="0" w:color="E6E3DF" w:themeColor="accent4"/>
          <w:bottom w:val="single" w:sz="8" w:space="0" w:color="E6E3DF" w:themeColor="accent4"/>
          <w:right w:val="single" w:sz="8" w:space="0" w:color="E6E3DF" w:themeColor="accent4"/>
          <w:insideV w:val="single" w:sz="8" w:space="0" w:color="E6E3DF" w:themeColor="accent4"/>
        </w:tcBorders>
      </w:tcPr>
    </w:tblStylePr>
  </w:style>
  <w:style w:type="table" w:styleId="LightGrid-Accent5">
    <w:name w:val="Light Grid Accent 5"/>
    <w:basedOn w:val="TableNormal"/>
    <w:uiPriority w:val="62"/>
    <w:semiHidden/>
    <w:rsid w:val="00A21B54"/>
    <w:tblPr>
      <w:tblStyleRowBandSize w:val="1"/>
      <w:tblStyleColBandSize w:val="1"/>
      <w:tblBorders>
        <w:top w:val="single" w:sz="8" w:space="0" w:color="4C4A47" w:themeColor="accent5"/>
        <w:left w:val="single" w:sz="8" w:space="0" w:color="4C4A47" w:themeColor="accent5"/>
        <w:bottom w:val="single" w:sz="8" w:space="0" w:color="4C4A47" w:themeColor="accent5"/>
        <w:right w:val="single" w:sz="8" w:space="0" w:color="4C4A47" w:themeColor="accent5"/>
        <w:insideH w:val="single" w:sz="8" w:space="0" w:color="4C4A47" w:themeColor="accent5"/>
        <w:insideV w:val="single" w:sz="8" w:space="0" w:color="4C4A47"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C4A47" w:themeColor="accent5"/>
          <w:left w:val="single" w:sz="8" w:space="0" w:color="4C4A47" w:themeColor="accent5"/>
          <w:bottom w:val="single" w:sz="18" w:space="0" w:color="4C4A47" w:themeColor="accent5"/>
          <w:right w:val="single" w:sz="8" w:space="0" w:color="4C4A47" w:themeColor="accent5"/>
          <w:insideH w:val="nil"/>
          <w:insideV w:val="single" w:sz="8" w:space="0" w:color="4C4A47"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C4A47" w:themeColor="accent5"/>
          <w:left w:val="single" w:sz="8" w:space="0" w:color="4C4A47" w:themeColor="accent5"/>
          <w:bottom w:val="single" w:sz="8" w:space="0" w:color="4C4A47" w:themeColor="accent5"/>
          <w:right w:val="single" w:sz="8" w:space="0" w:color="4C4A47" w:themeColor="accent5"/>
          <w:insideH w:val="nil"/>
          <w:insideV w:val="single" w:sz="8" w:space="0" w:color="4C4A47"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C4A47" w:themeColor="accent5"/>
          <w:left w:val="single" w:sz="8" w:space="0" w:color="4C4A47" w:themeColor="accent5"/>
          <w:bottom w:val="single" w:sz="8" w:space="0" w:color="4C4A47" w:themeColor="accent5"/>
          <w:right w:val="single" w:sz="8" w:space="0" w:color="4C4A47" w:themeColor="accent5"/>
        </w:tcBorders>
      </w:tcPr>
    </w:tblStylePr>
    <w:tblStylePr w:type="band1Vert">
      <w:tblPr/>
      <w:tcPr>
        <w:tcBorders>
          <w:top w:val="single" w:sz="8" w:space="0" w:color="4C4A47" w:themeColor="accent5"/>
          <w:left w:val="single" w:sz="8" w:space="0" w:color="4C4A47" w:themeColor="accent5"/>
          <w:bottom w:val="single" w:sz="8" w:space="0" w:color="4C4A47" w:themeColor="accent5"/>
          <w:right w:val="single" w:sz="8" w:space="0" w:color="4C4A47" w:themeColor="accent5"/>
        </w:tcBorders>
        <w:shd w:val="clear" w:color="auto" w:fill="D3D2D0" w:themeFill="accent5" w:themeFillTint="3F"/>
      </w:tcPr>
    </w:tblStylePr>
    <w:tblStylePr w:type="band1Horz">
      <w:tblPr/>
      <w:tcPr>
        <w:tcBorders>
          <w:top w:val="single" w:sz="8" w:space="0" w:color="4C4A47" w:themeColor="accent5"/>
          <w:left w:val="single" w:sz="8" w:space="0" w:color="4C4A47" w:themeColor="accent5"/>
          <w:bottom w:val="single" w:sz="8" w:space="0" w:color="4C4A47" w:themeColor="accent5"/>
          <w:right w:val="single" w:sz="8" w:space="0" w:color="4C4A47" w:themeColor="accent5"/>
          <w:insideV w:val="single" w:sz="8" w:space="0" w:color="4C4A47" w:themeColor="accent5"/>
        </w:tcBorders>
        <w:shd w:val="clear" w:color="auto" w:fill="D3D2D0" w:themeFill="accent5" w:themeFillTint="3F"/>
      </w:tcPr>
    </w:tblStylePr>
    <w:tblStylePr w:type="band2Horz">
      <w:tblPr/>
      <w:tcPr>
        <w:tcBorders>
          <w:top w:val="single" w:sz="8" w:space="0" w:color="4C4A47" w:themeColor="accent5"/>
          <w:left w:val="single" w:sz="8" w:space="0" w:color="4C4A47" w:themeColor="accent5"/>
          <w:bottom w:val="single" w:sz="8" w:space="0" w:color="4C4A47" w:themeColor="accent5"/>
          <w:right w:val="single" w:sz="8" w:space="0" w:color="4C4A47" w:themeColor="accent5"/>
          <w:insideV w:val="single" w:sz="8" w:space="0" w:color="4C4A47" w:themeColor="accent5"/>
        </w:tcBorders>
      </w:tcPr>
    </w:tblStylePr>
  </w:style>
  <w:style w:type="table" w:styleId="LightGrid-Accent6">
    <w:name w:val="Light Grid Accent 6"/>
    <w:basedOn w:val="TableNormal"/>
    <w:uiPriority w:val="62"/>
    <w:semiHidden/>
    <w:rsid w:val="00A21B54"/>
    <w:tblPr>
      <w:tblStyleRowBandSize w:val="1"/>
      <w:tblStyleColBandSize w:val="1"/>
      <w:tblBorders>
        <w:top w:val="single" w:sz="8" w:space="0" w:color="D2D7DF" w:themeColor="accent6"/>
        <w:left w:val="single" w:sz="8" w:space="0" w:color="D2D7DF" w:themeColor="accent6"/>
        <w:bottom w:val="single" w:sz="8" w:space="0" w:color="D2D7DF" w:themeColor="accent6"/>
        <w:right w:val="single" w:sz="8" w:space="0" w:color="D2D7DF" w:themeColor="accent6"/>
        <w:insideH w:val="single" w:sz="8" w:space="0" w:color="D2D7DF" w:themeColor="accent6"/>
        <w:insideV w:val="single" w:sz="8" w:space="0" w:color="D2D7D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2D7DF" w:themeColor="accent6"/>
          <w:left w:val="single" w:sz="8" w:space="0" w:color="D2D7DF" w:themeColor="accent6"/>
          <w:bottom w:val="single" w:sz="18" w:space="0" w:color="D2D7DF" w:themeColor="accent6"/>
          <w:right w:val="single" w:sz="8" w:space="0" w:color="D2D7DF" w:themeColor="accent6"/>
          <w:insideH w:val="nil"/>
          <w:insideV w:val="single" w:sz="8" w:space="0" w:color="D2D7D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2D7DF" w:themeColor="accent6"/>
          <w:left w:val="single" w:sz="8" w:space="0" w:color="D2D7DF" w:themeColor="accent6"/>
          <w:bottom w:val="single" w:sz="8" w:space="0" w:color="D2D7DF" w:themeColor="accent6"/>
          <w:right w:val="single" w:sz="8" w:space="0" w:color="D2D7DF" w:themeColor="accent6"/>
          <w:insideH w:val="nil"/>
          <w:insideV w:val="single" w:sz="8" w:space="0" w:color="D2D7D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2D7DF" w:themeColor="accent6"/>
          <w:left w:val="single" w:sz="8" w:space="0" w:color="D2D7DF" w:themeColor="accent6"/>
          <w:bottom w:val="single" w:sz="8" w:space="0" w:color="D2D7DF" w:themeColor="accent6"/>
          <w:right w:val="single" w:sz="8" w:space="0" w:color="D2D7DF" w:themeColor="accent6"/>
        </w:tcBorders>
      </w:tcPr>
    </w:tblStylePr>
    <w:tblStylePr w:type="band1Vert">
      <w:tblPr/>
      <w:tcPr>
        <w:tcBorders>
          <w:top w:val="single" w:sz="8" w:space="0" w:color="D2D7DF" w:themeColor="accent6"/>
          <w:left w:val="single" w:sz="8" w:space="0" w:color="D2D7DF" w:themeColor="accent6"/>
          <w:bottom w:val="single" w:sz="8" w:space="0" w:color="D2D7DF" w:themeColor="accent6"/>
          <w:right w:val="single" w:sz="8" w:space="0" w:color="D2D7DF" w:themeColor="accent6"/>
        </w:tcBorders>
        <w:shd w:val="clear" w:color="auto" w:fill="F3F4F7" w:themeFill="accent6" w:themeFillTint="3F"/>
      </w:tcPr>
    </w:tblStylePr>
    <w:tblStylePr w:type="band1Horz">
      <w:tblPr/>
      <w:tcPr>
        <w:tcBorders>
          <w:top w:val="single" w:sz="8" w:space="0" w:color="D2D7DF" w:themeColor="accent6"/>
          <w:left w:val="single" w:sz="8" w:space="0" w:color="D2D7DF" w:themeColor="accent6"/>
          <w:bottom w:val="single" w:sz="8" w:space="0" w:color="D2D7DF" w:themeColor="accent6"/>
          <w:right w:val="single" w:sz="8" w:space="0" w:color="D2D7DF" w:themeColor="accent6"/>
          <w:insideV w:val="single" w:sz="8" w:space="0" w:color="D2D7DF" w:themeColor="accent6"/>
        </w:tcBorders>
        <w:shd w:val="clear" w:color="auto" w:fill="F3F4F7" w:themeFill="accent6" w:themeFillTint="3F"/>
      </w:tcPr>
    </w:tblStylePr>
    <w:tblStylePr w:type="band2Horz">
      <w:tblPr/>
      <w:tcPr>
        <w:tcBorders>
          <w:top w:val="single" w:sz="8" w:space="0" w:color="D2D7DF" w:themeColor="accent6"/>
          <w:left w:val="single" w:sz="8" w:space="0" w:color="D2D7DF" w:themeColor="accent6"/>
          <w:bottom w:val="single" w:sz="8" w:space="0" w:color="D2D7DF" w:themeColor="accent6"/>
          <w:right w:val="single" w:sz="8" w:space="0" w:color="D2D7DF" w:themeColor="accent6"/>
          <w:insideV w:val="single" w:sz="8" w:space="0" w:color="D2D7DF" w:themeColor="accent6"/>
        </w:tcBorders>
      </w:tcPr>
    </w:tblStylePr>
  </w:style>
  <w:style w:type="table" w:styleId="LightList">
    <w:name w:val="Light List"/>
    <w:basedOn w:val="TableNormal"/>
    <w:uiPriority w:val="61"/>
    <w:semiHidden/>
    <w:rsid w:val="00A21B5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A21B54"/>
    <w:tblPr>
      <w:tblStyleRowBandSize w:val="1"/>
      <w:tblStyleColBandSize w:val="1"/>
      <w:tblBorders>
        <w:top w:val="single" w:sz="8" w:space="0" w:color="1C355E" w:themeColor="accent1"/>
        <w:left w:val="single" w:sz="8" w:space="0" w:color="1C355E" w:themeColor="accent1"/>
        <w:bottom w:val="single" w:sz="8" w:space="0" w:color="1C355E" w:themeColor="accent1"/>
        <w:right w:val="single" w:sz="8" w:space="0" w:color="1C355E" w:themeColor="accent1"/>
      </w:tblBorders>
    </w:tblPr>
    <w:tblStylePr w:type="firstRow">
      <w:pPr>
        <w:spacing w:before="0" w:after="0" w:line="240" w:lineRule="auto"/>
      </w:pPr>
      <w:rPr>
        <w:b/>
        <w:bCs/>
        <w:color w:val="FFFFFF" w:themeColor="background1"/>
      </w:rPr>
      <w:tblPr/>
      <w:tcPr>
        <w:shd w:val="clear" w:color="auto" w:fill="1C355E" w:themeFill="accent1"/>
      </w:tcPr>
    </w:tblStylePr>
    <w:tblStylePr w:type="lastRow">
      <w:pPr>
        <w:spacing w:before="0" w:after="0" w:line="240" w:lineRule="auto"/>
      </w:pPr>
      <w:rPr>
        <w:b/>
        <w:bCs/>
      </w:rPr>
      <w:tblPr/>
      <w:tcPr>
        <w:tcBorders>
          <w:top w:val="double" w:sz="6" w:space="0" w:color="1C355E" w:themeColor="accent1"/>
          <w:left w:val="single" w:sz="8" w:space="0" w:color="1C355E" w:themeColor="accent1"/>
          <w:bottom w:val="single" w:sz="8" w:space="0" w:color="1C355E" w:themeColor="accent1"/>
          <w:right w:val="single" w:sz="8" w:space="0" w:color="1C355E" w:themeColor="accent1"/>
        </w:tcBorders>
      </w:tcPr>
    </w:tblStylePr>
    <w:tblStylePr w:type="firstCol">
      <w:rPr>
        <w:b/>
        <w:bCs/>
      </w:rPr>
    </w:tblStylePr>
    <w:tblStylePr w:type="lastCol">
      <w:rPr>
        <w:b/>
        <w:bCs/>
      </w:rPr>
    </w:tblStylePr>
    <w:tblStylePr w:type="band1Vert">
      <w:tblPr/>
      <w:tcPr>
        <w:tcBorders>
          <w:top w:val="single" w:sz="8" w:space="0" w:color="1C355E" w:themeColor="accent1"/>
          <w:left w:val="single" w:sz="8" w:space="0" w:color="1C355E" w:themeColor="accent1"/>
          <w:bottom w:val="single" w:sz="8" w:space="0" w:color="1C355E" w:themeColor="accent1"/>
          <w:right w:val="single" w:sz="8" w:space="0" w:color="1C355E" w:themeColor="accent1"/>
        </w:tcBorders>
      </w:tcPr>
    </w:tblStylePr>
    <w:tblStylePr w:type="band1Horz">
      <w:tblPr/>
      <w:tcPr>
        <w:tcBorders>
          <w:top w:val="single" w:sz="8" w:space="0" w:color="1C355E" w:themeColor="accent1"/>
          <w:left w:val="single" w:sz="8" w:space="0" w:color="1C355E" w:themeColor="accent1"/>
          <w:bottom w:val="single" w:sz="8" w:space="0" w:color="1C355E" w:themeColor="accent1"/>
          <w:right w:val="single" w:sz="8" w:space="0" w:color="1C355E" w:themeColor="accent1"/>
        </w:tcBorders>
      </w:tcPr>
    </w:tblStylePr>
  </w:style>
  <w:style w:type="table" w:styleId="LightList-Accent2">
    <w:name w:val="Light List Accent 2"/>
    <w:basedOn w:val="TableNormal"/>
    <w:uiPriority w:val="61"/>
    <w:semiHidden/>
    <w:rsid w:val="00A21B54"/>
    <w:tblPr>
      <w:tblStyleRowBandSize w:val="1"/>
      <w:tblStyleColBandSize w:val="1"/>
      <w:tblBorders>
        <w:top w:val="single" w:sz="8" w:space="0" w:color="A4AEBF" w:themeColor="accent2"/>
        <w:left w:val="single" w:sz="8" w:space="0" w:color="A4AEBF" w:themeColor="accent2"/>
        <w:bottom w:val="single" w:sz="8" w:space="0" w:color="A4AEBF" w:themeColor="accent2"/>
        <w:right w:val="single" w:sz="8" w:space="0" w:color="A4AEBF" w:themeColor="accent2"/>
      </w:tblBorders>
    </w:tblPr>
    <w:tblStylePr w:type="firstRow">
      <w:pPr>
        <w:spacing w:before="0" w:after="0" w:line="240" w:lineRule="auto"/>
      </w:pPr>
      <w:rPr>
        <w:b/>
        <w:bCs/>
        <w:color w:val="FFFFFF" w:themeColor="background1"/>
      </w:rPr>
      <w:tblPr/>
      <w:tcPr>
        <w:shd w:val="clear" w:color="auto" w:fill="A4AEBF" w:themeFill="accent2"/>
      </w:tcPr>
    </w:tblStylePr>
    <w:tblStylePr w:type="lastRow">
      <w:pPr>
        <w:spacing w:before="0" w:after="0" w:line="240" w:lineRule="auto"/>
      </w:pPr>
      <w:rPr>
        <w:b/>
        <w:bCs/>
      </w:rPr>
      <w:tblPr/>
      <w:tcPr>
        <w:tcBorders>
          <w:top w:val="double" w:sz="6" w:space="0" w:color="A4AEBF" w:themeColor="accent2"/>
          <w:left w:val="single" w:sz="8" w:space="0" w:color="A4AEBF" w:themeColor="accent2"/>
          <w:bottom w:val="single" w:sz="8" w:space="0" w:color="A4AEBF" w:themeColor="accent2"/>
          <w:right w:val="single" w:sz="8" w:space="0" w:color="A4AEBF" w:themeColor="accent2"/>
        </w:tcBorders>
      </w:tcPr>
    </w:tblStylePr>
    <w:tblStylePr w:type="firstCol">
      <w:rPr>
        <w:b/>
        <w:bCs/>
      </w:rPr>
    </w:tblStylePr>
    <w:tblStylePr w:type="lastCol">
      <w:rPr>
        <w:b/>
        <w:bCs/>
      </w:rPr>
    </w:tblStylePr>
    <w:tblStylePr w:type="band1Vert">
      <w:tblPr/>
      <w:tcPr>
        <w:tcBorders>
          <w:top w:val="single" w:sz="8" w:space="0" w:color="A4AEBF" w:themeColor="accent2"/>
          <w:left w:val="single" w:sz="8" w:space="0" w:color="A4AEBF" w:themeColor="accent2"/>
          <w:bottom w:val="single" w:sz="8" w:space="0" w:color="A4AEBF" w:themeColor="accent2"/>
          <w:right w:val="single" w:sz="8" w:space="0" w:color="A4AEBF" w:themeColor="accent2"/>
        </w:tcBorders>
      </w:tcPr>
    </w:tblStylePr>
    <w:tblStylePr w:type="band1Horz">
      <w:tblPr/>
      <w:tcPr>
        <w:tcBorders>
          <w:top w:val="single" w:sz="8" w:space="0" w:color="A4AEBF" w:themeColor="accent2"/>
          <w:left w:val="single" w:sz="8" w:space="0" w:color="A4AEBF" w:themeColor="accent2"/>
          <w:bottom w:val="single" w:sz="8" w:space="0" w:color="A4AEBF" w:themeColor="accent2"/>
          <w:right w:val="single" w:sz="8" w:space="0" w:color="A4AEBF" w:themeColor="accent2"/>
        </w:tcBorders>
      </w:tcPr>
    </w:tblStylePr>
  </w:style>
  <w:style w:type="table" w:styleId="LightList-Accent3">
    <w:name w:val="Light List Accent 3"/>
    <w:basedOn w:val="TableNormal"/>
    <w:uiPriority w:val="61"/>
    <w:semiHidden/>
    <w:rsid w:val="00A21B54"/>
    <w:tblPr>
      <w:tblStyleRowBandSize w:val="1"/>
      <w:tblStyleColBandSize w:val="1"/>
      <w:tblBorders>
        <w:top w:val="single" w:sz="8" w:space="0" w:color="949291" w:themeColor="accent3"/>
        <w:left w:val="single" w:sz="8" w:space="0" w:color="949291" w:themeColor="accent3"/>
        <w:bottom w:val="single" w:sz="8" w:space="0" w:color="949291" w:themeColor="accent3"/>
        <w:right w:val="single" w:sz="8" w:space="0" w:color="949291" w:themeColor="accent3"/>
      </w:tblBorders>
    </w:tblPr>
    <w:tblStylePr w:type="firstRow">
      <w:pPr>
        <w:spacing w:before="0" w:after="0" w:line="240" w:lineRule="auto"/>
      </w:pPr>
      <w:rPr>
        <w:b/>
        <w:bCs/>
        <w:color w:val="FFFFFF" w:themeColor="background1"/>
      </w:rPr>
      <w:tblPr/>
      <w:tcPr>
        <w:shd w:val="clear" w:color="auto" w:fill="949291" w:themeFill="accent3"/>
      </w:tcPr>
    </w:tblStylePr>
    <w:tblStylePr w:type="lastRow">
      <w:pPr>
        <w:spacing w:before="0" w:after="0" w:line="240" w:lineRule="auto"/>
      </w:pPr>
      <w:rPr>
        <w:b/>
        <w:bCs/>
      </w:rPr>
      <w:tblPr/>
      <w:tcPr>
        <w:tcBorders>
          <w:top w:val="double" w:sz="6" w:space="0" w:color="949291" w:themeColor="accent3"/>
          <w:left w:val="single" w:sz="8" w:space="0" w:color="949291" w:themeColor="accent3"/>
          <w:bottom w:val="single" w:sz="8" w:space="0" w:color="949291" w:themeColor="accent3"/>
          <w:right w:val="single" w:sz="8" w:space="0" w:color="949291" w:themeColor="accent3"/>
        </w:tcBorders>
      </w:tcPr>
    </w:tblStylePr>
    <w:tblStylePr w:type="firstCol">
      <w:rPr>
        <w:b/>
        <w:bCs/>
      </w:rPr>
    </w:tblStylePr>
    <w:tblStylePr w:type="lastCol">
      <w:rPr>
        <w:b/>
        <w:bCs/>
      </w:rPr>
    </w:tblStylePr>
    <w:tblStylePr w:type="band1Vert">
      <w:tblPr/>
      <w:tcPr>
        <w:tcBorders>
          <w:top w:val="single" w:sz="8" w:space="0" w:color="949291" w:themeColor="accent3"/>
          <w:left w:val="single" w:sz="8" w:space="0" w:color="949291" w:themeColor="accent3"/>
          <w:bottom w:val="single" w:sz="8" w:space="0" w:color="949291" w:themeColor="accent3"/>
          <w:right w:val="single" w:sz="8" w:space="0" w:color="949291" w:themeColor="accent3"/>
        </w:tcBorders>
      </w:tcPr>
    </w:tblStylePr>
    <w:tblStylePr w:type="band1Horz">
      <w:tblPr/>
      <w:tcPr>
        <w:tcBorders>
          <w:top w:val="single" w:sz="8" w:space="0" w:color="949291" w:themeColor="accent3"/>
          <w:left w:val="single" w:sz="8" w:space="0" w:color="949291" w:themeColor="accent3"/>
          <w:bottom w:val="single" w:sz="8" w:space="0" w:color="949291" w:themeColor="accent3"/>
          <w:right w:val="single" w:sz="8" w:space="0" w:color="949291" w:themeColor="accent3"/>
        </w:tcBorders>
      </w:tcPr>
    </w:tblStylePr>
  </w:style>
  <w:style w:type="table" w:styleId="LightList-Accent4">
    <w:name w:val="Light List Accent 4"/>
    <w:basedOn w:val="TableNormal"/>
    <w:uiPriority w:val="61"/>
    <w:semiHidden/>
    <w:rsid w:val="00A21B54"/>
    <w:tblPr>
      <w:tblStyleRowBandSize w:val="1"/>
      <w:tblStyleColBandSize w:val="1"/>
      <w:tblBorders>
        <w:top w:val="single" w:sz="8" w:space="0" w:color="E6E3DF" w:themeColor="accent4"/>
        <w:left w:val="single" w:sz="8" w:space="0" w:color="E6E3DF" w:themeColor="accent4"/>
        <w:bottom w:val="single" w:sz="8" w:space="0" w:color="E6E3DF" w:themeColor="accent4"/>
        <w:right w:val="single" w:sz="8" w:space="0" w:color="E6E3DF" w:themeColor="accent4"/>
      </w:tblBorders>
    </w:tblPr>
    <w:tblStylePr w:type="firstRow">
      <w:pPr>
        <w:spacing w:before="0" w:after="0" w:line="240" w:lineRule="auto"/>
      </w:pPr>
      <w:rPr>
        <w:b/>
        <w:bCs/>
        <w:color w:val="FFFFFF" w:themeColor="background1"/>
      </w:rPr>
      <w:tblPr/>
      <w:tcPr>
        <w:shd w:val="clear" w:color="auto" w:fill="E6E3DF" w:themeFill="accent4"/>
      </w:tcPr>
    </w:tblStylePr>
    <w:tblStylePr w:type="lastRow">
      <w:pPr>
        <w:spacing w:before="0" w:after="0" w:line="240" w:lineRule="auto"/>
      </w:pPr>
      <w:rPr>
        <w:b/>
        <w:bCs/>
      </w:rPr>
      <w:tblPr/>
      <w:tcPr>
        <w:tcBorders>
          <w:top w:val="double" w:sz="6" w:space="0" w:color="E6E3DF" w:themeColor="accent4"/>
          <w:left w:val="single" w:sz="8" w:space="0" w:color="E6E3DF" w:themeColor="accent4"/>
          <w:bottom w:val="single" w:sz="8" w:space="0" w:color="E6E3DF" w:themeColor="accent4"/>
          <w:right w:val="single" w:sz="8" w:space="0" w:color="E6E3DF" w:themeColor="accent4"/>
        </w:tcBorders>
      </w:tcPr>
    </w:tblStylePr>
    <w:tblStylePr w:type="firstCol">
      <w:rPr>
        <w:b/>
        <w:bCs/>
      </w:rPr>
    </w:tblStylePr>
    <w:tblStylePr w:type="lastCol">
      <w:rPr>
        <w:b/>
        <w:bCs/>
      </w:rPr>
    </w:tblStylePr>
    <w:tblStylePr w:type="band1Vert">
      <w:tblPr/>
      <w:tcPr>
        <w:tcBorders>
          <w:top w:val="single" w:sz="8" w:space="0" w:color="E6E3DF" w:themeColor="accent4"/>
          <w:left w:val="single" w:sz="8" w:space="0" w:color="E6E3DF" w:themeColor="accent4"/>
          <w:bottom w:val="single" w:sz="8" w:space="0" w:color="E6E3DF" w:themeColor="accent4"/>
          <w:right w:val="single" w:sz="8" w:space="0" w:color="E6E3DF" w:themeColor="accent4"/>
        </w:tcBorders>
      </w:tcPr>
    </w:tblStylePr>
    <w:tblStylePr w:type="band1Horz">
      <w:tblPr/>
      <w:tcPr>
        <w:tcBorders>
          <w:top w:val="single" w:sz="8" w:space="0" w:color="E6E3DF" w:themeColor="accent4"/>
          <w:left w:val="single" w:sz="8" w:space="0" w:color="E6E3DF" w:themeColor="accent4"/>
          <w:bottom w:val="single" w:sz="8" w:space="0" w:color="E6E3DF" w:themeColor="accent4"/>
          <w:right w:val="single" w:sz="8" w:space="0" w:color="E6E3DF" w:themeColor="accent4"/>
        </w:tcBorders>
      </w:tcPr>
    </w:tblStylePr>
  </w:style>
  <w:style w:type="table" w:styleId="LightList-Accent5">
    <w:name w:val="Light List Accent 5"/>
    <w:basedOn w:val="TableNormal"/>
    <w:uiPriority w:val="61"/>
    <w:semiHidden/>
    <w:rsid w:val="00A21B54"/>
    <w:tblPr>
      <w:tblStyleRowBandSize w:val="1"/>
      <w:tblStyleColBandSize w:val="1"/>
      <w:tblBorders>
        <w:top w:val="single" w:sz="8" w:space="0" w:color="4C4A47" w:themeColor="accent5"/>
        <w:left w:val="single" w:sz="8" w:space="0" w:color="4C4A47" w:themeColor="accent5"/>
        <w:bottom w:val="single" w:sz="8" w:space="0" w:color="4C4A47" w:themeColor="accent5"/>
        <w:right w:val="single" w:sz="8" w:space="0" w:color="4C4A47" w:themeColor="accent5"/>
      </w:tblBorders>
    </w:tblPr>
    <w:tblStylePr w:type="firstRow">
      <w:pPr>
        <w:spacing w:before="0" w:after="0" w:line="240" w:lineRule="auto"/>
      </w:pPr>
      <w:rPr>
        <w:b/>
        <w:bCs/>
        <w:color w:val="FFFFFF" w:themeColor="background1"/>
      </w:rPr>
      <w:tblPr/>
      <w:tcPr>
        <w:shd w:val="clear" w:color="auto" w:fill="4C4A47" w:themeFill="accent5"/>
      </w:tcPr>
    </w:tblStylePr>
    <w:tblStylePr w:type="lastRow">
      <w:pPr>
        <w:spacing w:before="0" w:after="0" w:line="240" w:lineRule="auto"/>
      </w:pPr>
      <w:rPr>
        <w:b/>
        <w:bCs/>
      </w:rPr>
      <w:tblPr/>
      <w:tcPr>
        <w:tcBorders>
          <w:top w:val="double" w:sz="6" w:space="0" w:color="4C4A47" w:themeColor="accent5"/>
          <w:left w:val="single" w:sz="8" w:space="0" w:color="4C4A47" w:themeColor="accent5"/>
          <w:bottom w:val="single" w:sz="8" w:space="0" w:color="4C4A47" w:themeColor="accent5"/>
          <w:right w:val="single" w:sz="8" w:space="0" w:color="4C4A47" w:themeColor="accent5"/>
        </w:tcBorders>
      </w:tcPr>
    </w:tblStylePr>
    <w:tblStylePr w:type="firstCol">
      <w:rPr>
        <w:b/>
        <w:bCs/>
      </w:rPr>
    </w:tblStylePr>
    <w:tblStylePr w:type="lastCol">
      <w:rPr>
        <w:b/>
        <w:bCs/>
      </w:rPr>
    </w:tblStylePr>
    <w:tblStylePr w:type="band1Vert">
      <w:tblPr/>
      <w:tcPr>
        <w:tcBorders>
          <w:top w:val="single" w:sz="8" w:space="0" w:color="4C4A47" w:themeColor="accent5"/>
          <w:left w:val="single" w:sz="8" w:space="0" w:color="4C4A47" w:themeColor="accent5"/>
          <w:bottom w:val="single" w:sz="8" w:space="0" w:color="4C4A47" w:themeColor="accent5"/>
          <w:right w:val="single" w:sz="8" w:space="0" w:color="4C4A47" w:themeColor="accent5"/>
        </w:tcBorders>
      </w:tcPr>
    </w:tblStylePr>
    <w:tblStylePr w:type="band1Horz">
      <w:tblPr/>
      <w:tcPr>
        <w:tcBorders>
          <w:top w:val="single" w:sz="8" w:space="0" w:color="4C4A47" w:themeColor="accent5"/>
          <w:left w:val="single" w:sz="8" w:space="0" w:color="4C4A47" w:themeColor="accent5"/>
          <w:bottom w:val="single" w:sz="8" w:space="0" w:color="4C4A47" w:themeColor="accent5"/>
          <w:right w:val="single" w:sz="8" w:space="0" w:color="4C4A47" w:themeColor="accent5"/>
        </w:tcBorders>
      </w:tcPr>
    </w:tblStylePr>
  </w:style>
  <w:style w:type="table" w:styleId="LightList-Accent6">
    <w:name w:val="Light List Accent 6"/>
    <w:basedOn w:val="TableNormal"/>
    <w:uiPriority w:val="61"/>
    <w:semiHidden/>
    <w:rsid w:val="00A21B54"/>
    <w:tblPr>
      <w:tblStyleRowBandSize w:val="1"/>
      <w:tblStyleColBandSize w:val="1"/>
      <w:tblBorders>
        <w:top w:val="single" w:sz="8" w:space="0" w:color="D2D7DF" w:themeColor="accent6"/>
        <w:left w:val="single" w:sz="8" w:space="0" w:color="D2D7DF" w:themeColor="accent6"/>
        <w:bottom w:val="single" w:sz="8" w:space="0" w:color="D2D7DF" w:themeColor="accent6"/>
        <w:right w:val="single" w:sz="8" w:space="0" w:color="D2D7DF" w:themeColor="accent6"/>
      </w:tblBorders>
    </w:tblPr>
    <w:tblStylePr w:type="firstRow">
      <w:pPr>
        <w:spacing w:before="0" w:after="0" w:line="240" w:lineRule="auto"/>
      </w:pPr>
      <w:rPr>
        <w:b/>
        <w:bCs/>
        <w:color w:val="FFFFFF" w:themeColor="background1"/>
      </w:rPr>
      <w:tblPr/>
      <w:tcPr>
        <w:shd w:val="clear" w:color="auto" w:fill="D2D7DF" w:themeFill="accent6"/>
      </w:tcPr>
    </w:tblStylePr>
    <w:tblStylePr w:type="lastRow">
      <w:pPr>
        <w:spacing w:before="0" w:after="0" w:line="240" w:lineRule="auto"/>
      </w:pPr>
      <w:rPr>
        <w:b/>
        <w:bCs/>
      </w:rPr>
      <w:tblPr/>
      <w:tcPr>
        <w:tcBorders>
          <w:top w:val="double" w:sz="6" w:space="0" w:color="D2D7DF" w:themeColor="accent6"/>
          <w:left w:val="single" w:sz="8" w:space="0" w:color="D2D7DF" w:themeColor="accent6"/>
          <w:bottom w:val="single" w:sz="8" w:space="0" w:color="D2D7DF" w:themeColor="accent6"/>
          <w:right w:val="single" w:sz="8" w:space="0" w:color="D2D7DF" w:themeColor="accent6"/>
        </w:tcBorders>
      </w:tcPr>
    </w:tblStylePr>
    <w:tblStylePr w:type="firstCol">
      <w:rPr>
        <w:b/>
        <w:bCs/>
      </w:rPr>
    </w:tblStylePr>
    <w:tblStylePr w:type="lastCol">
      <w:rPr>
        <w:b/>
        <w:bCs/>
      </w:rPr>
    </w:tblStylePr>
    <w:tblStylePr w:type="band1Vert">
      <w:tblPr/>
      <w:tcPr>
        <w:tcBorders>
          <w:top w:val="single" w:sz="8" w:space="0" w:color="D2D7DF" w:themeColor="accent6"/>
          <w:left w:val="single" w:sz="8" w:space="0" w:color="D2D7DF" w:themeColor="accent6"/>
          <w:bottom w:val="single" w:sz="8" w:space="0" w:color="D2D7DF" w:themeColor="accent6"/>
          <w:right w:val="single" w:sz="8" w:space="0" w:color="D2D7DF" w:themeColor="accent6"/>
        </w:tcBorders>
      </w:tcPr>
    </w:tblStylePr>
    <w:tblStylePr w:type="band1Horz">
      <w:tblPr/>
      <w:tcPr>
        <w:tcBorders>
          <w:top w:val="single" w:sz="8" w:space="0" w:color="D2D7DF" w:themeColor="accent6"/>
          <w:left w:val="single" w:sz="8" w:space="0" w:color="D2D7DF" w:themeColor="accent6"/>
          <w:bottom w:val="single" w:sz="8" w:space="0" w:color="D2D7DF" w:themeColor="accent6"/>
          <w:right w:val="single" w:sz="8" w:space="0" w:color="D2D7DF" w:themeColor="accent6"/>
        </w:tcBorders>
      </w:tcPr>
    </w:tblStylePr>
  </w:style>
  <w:style w:type="table" w:styleId="LightShading">
    <w:name w:val="Light Shading"/>
    <w:basedOn w:val="TableNormal"/>
    <w:uiPriority w:val="60"/>
    <w:semiHidden/>
    <w:rsid w:val="00A21B54"/>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A21B54"/>
    <w:rPr>
      <w:color w:val="152746" w:themeColor="accent1" w:themeShade="BF"/>
    </w:rPr>
    <w:tblPr>
      <w:tblStyleRowBandSize w:val="1"/>
      <w:tblStyleColBandSize w:val="1"/>
      <w:tblBorders>
        <w:top w:val="single" w:sz="8" w:space="0" w:color="1C355E" w:themeColor="accent1"/>
        <w:bottom w:val="single" w:sz="8" w:space="0" w:color="1C355E" w:themeColor="accent1"/>
      </w:tblBorders>
    </w:tblPr>
    <w:tblStylePr w:type="firstRow">
      <w:pPr>
        <w:spacing w:before="0" w:after="0" w:line="240" w:lineRule="auto"/>
      </w:pPr>
      <w:rPr>
        <w:b/>
        <w:bCs/>
      </w:rPr>
      <w:tblPr/>
      <w:tcPr>
        <w:tcBorders>
          <w:top w:val="single" w:sz="8" w:space="0" w:color="1C355E" w:themeColor="accent1"/>
          <w:left w:val="nil"/>
          <w:bottom w:val="single" w:sz="8" w:space="0" w:color="1C355E" w:themeColor="accent1"/>
          <w:right w:val="nil"/>
          <w:insideH w:val="nil"/>
          <w:insideV w:val="nil"/>
        </w:tcBorders>
      </w:tcPr>
    </w:tblStylePr>
    <w:tblStylePr w:type="lastRow">
      <w:pPr>
        <w:spacing w:before="0" w:after="0" w:line="240" w:lineRule="auto"/>
      </w:pPr>
      <w:rPr>
        <w:b/>
        <w:bCs/>
      </w:rPr>
      <w:tblPr/>
      <w:tcPr>
        <w:tcBorders>
          <w:top w:val="single" w:sz="8" w:space="0" w:color="1C355E" w:themeColor="accent1"/>
          <w:left w:val="nil"/>
          <w:bottom w:val="single" w:sz="8" w:space="0" w:color="1C355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5C8E9" w:themeFill="accent1" w:themeFillTint="3F"/>
      </w:tcPr>
    </w:tblStylePr>
    <w:tblStylePr w:type="band1Horz">
      <w:tblPr/>
      <w:tcPr>
        <w:tcBorders>
          <w:left w:val="nil"/>
          <w:right w:val="nil"/>
          <w:insideH w:val="nil"/>
          <w:insideV w:val="nil"/>
        </w:tcBorders>
        <w:shd w:val="clear" w:color="auto" w:fill="B5C8E9" w:themeFill="accent1" w:themeFillTint="3F"/>
      </w:tcPr>
    </w:tblStylePr>
  </w:style>
  <w:style w:type="table" w:styleId="LightShading-Accent2">
    <w:name w:val="Light Shading Accent 2"/>
    <w:basedOn w:val="TableNormal"/>
    <w:uiPriority w:val="60"/>
    <w:semiHidden/>
    <w:rsid w:val="00A21B54"/>
    <w:rPr>
      <w:color w:val="6F7F9A" w:themeColor="accent2" w:themeShade="BF"/>
    </w:rPr>
    <w:tblPr>
      <w:tblStyleRowBandSize w:val="1"/>
      <w:tblStyleColBandSize w:val="1"/>
      <w:tblBorders>
        <w:top w:val="single" w:sz="8" w:space="0" w:color="A4AEBF" w:themeColor="accent2"/>
        <w:bottom w:val="single" w:sz="8" w:space="0" w:color="A4AEBF" w:themeColor="accent2"/>
      </w:tblBorders>
    </w:tblPr>
    <w:tblStylePr w:type="firstRow">
      <w:pPr>
        <w:spacing w:before="0" w:after="0" w:line="240" w:lineRule="auto"/>
      </w:pPr>
      <w:rPr>
        <w:b/>
        <w:bCs/>
      </w:rPr>
      <w:tblPr/>
      <w:tcPr>
        <w:tcBorders>
          <w:top w:val="single" w:sz="8" w:space="0" w:color="A4AEBF" w:themeColor="accent2"/>
          <w:left w:val="nil"/>
          <w:bottom w:val="single" w:sz="8" w:space="0" w:color="A4AEBF" w:themeColor="accent2"/>
          <w:right w:val="nil"/>
          <w:insideH w:val="nil"/>
          <w:insideV w:val="nil"/>
        </w:tcBorders>
      </w:tcPr>
    </w:tblStylePr>
    <w:tblStylePr w:type="lastRow">
      <w:pPr>
        <w:spacing w:before="0" w:after="0" w:line="240" w:lineRule="auto"/>
      </w:pPr>
      <w:rPr>
        <w:b/>
        <w:bCs/>
      </w:rPr>
      <w:tblPr/>
      <w:tcPr>
        <w:tcBorders>
          <w:top w:val="single" w:sz="8" w:space="0" w:color="A4AEBF" w:themeColor="accent2"/>
          <w:left w:val="nil"/>
          <w:bottom w:val="single" w:sz="8" w:space="0" w:color="A4AEB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AEF" w:themeFill="accent2" w:themeFillTint="3F"/>
      </w:tcPr>
    </w:tblStylePr>
    <w:tblStylePr w:type="band1Horz">
      <w:tblPr/>
      <w:tcPr>
        <w:tcBorders>
          <w:left w:val="nil"/>
          <w:right w:val="nil"/>
          <w:insideH w:val="nil"/>
          <w:insideV w:val="nil"/>
        </w:tcBorders>
        <w:shd w:val="clear" w:color="auto" w:fill="E8EAEF" w:themeFill="accent2" w:themeFillTint="3F"/>
      </w:tcPr>
    </w:tblStylePr>
  </w:style>
  <w:style w:type="table" w:styleId="LightShading-Accent3">
    <w:name w:val="Light Shading Accent 3"/>
    <w:basedOn w:val="TableNormal"/>
    <w:uiPriority w:val="60"/>
    <w:semiHidden/>
    <w:rsid w:val="00A21B54"/>
    <w:rPr>
      <w:color w:val="6F6D6C" w:themeColor="accent3" w:themeShade="BF"/>
    </w:rPr>
    <w:tblPr>
      <w:tblStyleRowBandSize w:val="1"/>
      <w:tblStyleColBandSize w:val="1"/>
      <w:tblBorders>
        <w:top w:val="single" w:sz="8" w:space="0" w:color="949291" w:themeColor="accent3"/>
        <w:bottom w:val="single" w:sz="8" w:space="0" w:color="949291" w:themeColor="accent3"/>
      </w:tblBorders>
    </w:tblPr>
    <w:tblStylePr w:type="firstRow">
      <w:pPr>
        <w:spacing w:before="0" w:after="0" w:line="240" w:lineRule="auto"/>
      </w:pPr>
      <w:rPr>
        <w:b/>
        <w:bCs/>
      </w:rPr>
      <w:tblPr/>
      <w:tcPr>
        <w:tcBorders>
          <w:top w:val="single" w:sz="8" w:space="0" w:color="949291" w:themeColor="accent3"/>
          <w:left w:val="nil"/>
          <w:bottom w:val="single" w:sz="8" w:space="0" w:color="949291" w:themeColor="accent3"/>
          <w:right w:val="nil"/>
          <w:insideH w:val="nil"/>
          <w:insideV w:val="nil"/>
        </w:tcBorders>
      </w:tcPr>
    </w:tblStylePr>
    <w:tblStylePr w:type="lastRow">
      <w:pPr>
        <w:spacing w:before="0" w:after="0" w:line="240" w:lineRule="auto"/>
      </w:pPr>
      <w:rPr>
        <w:b/>
        <w:bCs/>
      </w:rPr>
      <w:tblPr/>
      <w:tcPr>
        <w:tcBorders>
          <w:top w:val="single" w:sz="8" w:space="0" w:color="949291" w:themeColor="accent3"/>
          <w:left w:val="nil"/>
          <w:bottom w:val="single" w:sz="8" w:space="0" w:color="94929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4E3" w:themeFill="accent3" w:themeFillTint="3F"/>
      </w:tcPr>
    </w:tblStylePr>
    <w:tblStylePr w:type="band1Horz">
      <w:tblPr/>
      <w:tcPr>
        <w:tcBorders>
          <w:left w:val="nil"/>
          <w:right w:val="nil"/>
          <w:insideH w:val="nil"/>
          <w:insideV w:val="nil"/>
        </w:tcBorders>
        <w:shd w:val="clear" w:color="auto" w:fill="E4E4E3" w:themeFill="accent3" w:themeFillTint="3F"/>
      </w:tcPr>
    </w:tblStylePr>
  </w:style>
  <w:style w:type="table" w:styleId="LightShading-Accent4">
    <w:name w:val="Light Shading Accent 4"/>
    <w:basedOn w:val="TableNormal"/>
    <w:uiPriority w:val="60"/>
    <w:semiHidden/>
    <w:rsid w:val="00A21B54"/>
    <w:rPr>
      <w:color w:val="B4AA9F" w:themeColor="accent4" w:themeShade="BF"/>
    </w:rPr>
    <w:tblPr>
      <w:tblStyleRowBandSize w:val="1"/>
      <w:tblStyleColBandSize w:val="1"/>
      <w:tblBorders>
        <w:top w:val="single" w:sz="8" w:space="0" w:color="E6E3DF" w:themeColor="accent4"/>
        <w:bottom w:val="single" w:sz="8" w:space="0" w:color="E6E3DF" w:themeColor="accent4"/>
      </w:tblBorders>
    </w:tblPr>
    <w:tblStylePr w:type="firstRow">
      <w:pPr>
        <w:spacing w:before="0" w:after="0" w:line="240" w:lineRule="auto"/>
      </w:pPr>
      <w:rPr>
        <w:b/>
        <w:bCs/>
      </w:rPr>
      <w:tblPr/>
      <w:tcPr>
        <w:tcBorders>
          <w:top w:val="single" w:sz="8" w:space="0" w:color="E6E3DF" w:themeColor="accent4"/>
          <w:left w:val="nil"/>
          <w:bottom w:val="single" w:sz="8" w:space="0" w:color="E6E3DF" w:themeColor="accent4"/>
          <w:right w:val="nil"/>
          <w:insideH w:val="nil"/>
          <w:insideV w:val="nil"/>
        </w:tcBorders>
      </w:tcPr>
    </w:tblStylePr>
    <w:tblStylePr w:type="lastRow">
      <w:pPr>
        <w:spacing w:before="0" w:after="0" w:line="240" w:lineRule="auto"/>
      </w:pPr>
      <w:rPr>
        <w:b/>
        <w:bCs/>
      </w:rPr>
      <w:tblPr/>
      <w:tcPr>
        <w:tcBorders>
          <w:top w:val="single" w:sz="8" w:space="0" w:color="E6E3DF" w:themeColor="accent4"/>
          <w:left w:val="nil"/>
          <w:bottom w:val="single" w:sz="8" w:space="0" w:color="E6E3D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7F6" w:themeFill="accent4" w:themeFillTint="3F"/>
      </w:tcPr>
    </w:tblStylePr>
    <w:tblStylePr w:type="band1Horz">
      <w:tblPr/>
      <w:tcPr>
        <w:tcBorders>
          <w:left w:val="nil"/>
          <w:right w:val="nil"/>
          <w:insideH w:val="nil"/>
          <w:insideV w:val="nil"/>
        </w:tcBorders>
        <w:shd w:val="clear" w:color="auto" w:fill="F8F7F6" w:themeFill="accent4" w:themeFillTint="3F"/>
      </w:tcPr>
    </w:tblStylePr>
  </w:style>
  <w:style w:type="table" w:styleId="LightShading-Accent5">
    <w:name w:val="Light Shading Accent 5"/>
    <w:basedOn w:val="TableNormal"/>
    <w:uiPriority w:val="60"/>
    <w:semiHidden/>
    <w:rsid w:val="00A21B54"/>
    <w:rPr>
      <w:color w:val="383735" w:themeColor="accent5" w:themeShade="BF"/>
    </w:rPr>
    <w:tblPr>
      <w:tblStyleRowBandSize w:val="1"/>
      <w:tblStyleColBandSize w:val="1"/>
      <w:tblBorders>
        <w:top w:val="single" w:sz="8" w:space="0" w:color="4C4A47" w:themeColor="accent5"/>
        <w:bottom w:val="single" w:sz="8" w:space="0" w:color="4C4A47" w:themeColor="accent5"/>
      </w:tblBorders>
    </w:tblPr>
    <w:tblStylePr w:type="firstRow">
      <w:pPr>
        <w:spacing w:before="0" w:after="0" w:line="240" w:lineRule="auto"/>
      </w:pPr>
      <w:rPr>
        <w:b/>
        <w:bCs/>
      </w:rPr>
      <w:tblPr/>
      <w:tcPr>
        <w:tcBorders>
          <w:top w:val="single" w:sz="8" w:space="0" w:color="4C4A47" w:themeColor="accent5"/>
          <w:left w:val="nil"/>
          <w:bottom w:val="single" w:sz="8" w:space="0" w:color="4C4A47" w:themeColor="accent5"/>
          <w:right w:val="nil"/>
          <w:insideH w:val="nil"/>
          <w:insideV w:val="nil"/>
        </w:tcBorders>
      </w:tcPr>
    </w:tblStylePr>
    <w:tblStylePr w:type="lastRow">
      <w:pPr>
        <w:spacing w:before="0" w:after="0" w:line="240" w:lineRule="auto"/>
      </w:pPr>
      <w:rPr>
        <w:b/>
        <w:bCs/>
      </w:rPr>
      <w:tblPr/>
      <w:tcPr>
        <w:tcBorders>
          <w:top w:val="single" w:sz="8" w:space="0" w:color="4C4A47" w:themeColor="accent5"/>
          <w:left w:val="nil"/>
          <w:bottom w:val="single" w:sz="8" w:space="0" w:color="4C4A47"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2D0" w:themeFill="accent5" w:themeFillTint="3F"/>
      </w:tcPr>
    </w:tblStylePr>
    <w:tblStylePr w:type="band1Horz">
      <w:tblPr/>
      <w:tcPr>
        <w:tcBorders>
          <w:left w:val="nil"/>
          <w:right w:val="nil"/>
          <w:insideH w:val="nil"/>
          <w:insideV w:val="nil"/>
        </w:tcBorders>
        <w:shd w:val="clear" w:color="auto" w:fill="D3D2D0" w:themeFill="accent5" w:themeFillTint="3F"/>
      </w:tcPr>
    </w:tblStylePr>
  </w:style>
  <w:style w:type="table" w:styleId="LightShading-Accent6">
    <w:name w:val="Light Shading Accent 6"/>
    <w:basedOn w:val="TableNormal"/>
    <w:uiPriority w:val="60"/>
    <w:semiHidden/>
    <w:rsid w:val="00A21B54"/>
    <w:rPr>
      <w:color w:val="929EB1" w:themeColor="accent6" w:themeShade="BF"/>
    </w:rPr>
    <w:tblPr>
      <w:tblStyleRowBandSize w:val="1"/>
      <w:tblStyleColBandSize w:val="1"/>
      <w:tblBorders>
        <w:top w:val="single" w:sz="8" w:space="0" w:color="D2D7DF" w:themeColor="accent6"/>
        <w:bottom w:val="single" w:sz="8" w:space="0" w:color="D2D7DF" w:themeColor="accent6"/>
      </w:tblBorders>
    </w:tblPr>
    <w:tblStylePr w:type="firstRow">
      <w:pPr>
        <w:spacing w:before="0" w:after="0" w:line="240" w:lineRule="auto"/>
      </w:pPr>
      <w:rPr>
        <w:b/>
        <w:bCs/>
      </w:rPr>
      <w:tblPr/>
      <w:tcPr>
        <w:tcBorders>
          <w:top w:val="single" w:sz="8" w:space="0" w:color="D2D7DF" w:themeColor="accent6"/>
          <w:left w:val="nil"/>
          <w:bottom w:val="single" w:sz="8" w:space="0" w:color="D2D7DF" w:themeColor="accent6"/>
          <w:right w:val="nil"/>
          <w:insideH w:val="nil"/>
          <w:insideV w:val="nil"/>
        </w:tcBorders>
      </w:tcPr>
    </w:tblStylePr>
    <w:tblStylePr w:type="lastRow">
      <w:pPr>
        <w:spacing w:before="0" w:after="0" w:line="240" w:lineRule="auto"/>
      </w:pPr>
      <w:rPr>
        <w:b/>
        <w:bCs/>
      </w:rPr>
      <w:tblPr/>
      <w:tcPr>
        <w:tcBorders>
          <w:top w:val="single" w:sz="8" w:space="0" w:color="D2D7DF" w:themeColor="accent6"/>
          <w:left w:val="nil"/>
          <w:bottom w:val="single" w:sz="8" w:space="0" w:color="D2D7D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4F7" w:themeFill="accent6" w:themeFillTint="3F"/>
      </w:tcPr>
    </w:tblStylePr>
    <w:tblStylePr w:type="band1Horz">
      <w:tblPr/>
      <w:tcPr>
        <w:tcBorders>
          <w:left w:val="nil"/>
          <w:right w:val="nil"/>
          <w:insideH w:val="nil"/>
          <w:insideV w:val="nil"/>
        </w:tcBorders>
        <w:shd w:val="clear" w:color="auto" w:fill="F3F4F7" w:themeFill="accent6" w:themeFillTint="3F"/>
      </w:tcPr>
    </w:tblStylePr>
  </w:style>
  <w:style w:type="table" w:styleId="MediumGrid1">
    <w:name w:val="Medium Grid 1"/>
    <w:basedOn w:val="TableNormal"/>
    <w:uiPriority w:val="67"/>
    <w:semiHidden/>
    <w:rsid w:val="00A21B5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A21B54"/>
    <w:tblPr>
      <w:tblStyleRowBandSize w:val="1"/>
      <w:tblStyleColBandSize w:val="1"/>
      <w:tblBorders>
        <w:top w:val="single" w:sz="8" w:space="0" w:color="325FA8" w:themeColor="accent1" w:themeTint="BF"/>
        <w:left w:val="single" w:sz="8" w:space="0" w:color="325FA8" w:themeColor="accent1" w:themeTint="BF"/>
        <w:bottom w:val="single" w:sz="8" w:space="0" w:color="325FA8" w:themeColor="accent1" w:themeTint="BF"/>
        <w:right w:val="single" w:sz="8" w:space="0" w:color="325FA8" w:themeColor="accent1" w:themeTint="BF"/>
        <w:insideH w:val="single" w:sz="8" w:space="0" w:color="325FA8" w:themeColor="accent1" w:themeTint="BF"/>
        <w:insideV w:val="single" w:sz="8" w:space="0" w:color="325FA8" w:themeColor="accent1" w:themeTint="BF"/>
      </w:tblBorders>
    </w:tblPr>
    <w:tcPr>
      <w:shd w:val="clear" w:color="auto" w:fill="B5C8E9" w:themeFill="accent1" w:themeFillTint="3F"/>
    </w:tcPr>
    <w:tblStylePr w:type="firstRow">
      <w:rPr>
        <w:b/>
        <w:bCs/>
      </w:rPr>
    </w:tblStylePr>
    <w:tblStylePr w:type="lastRow">
      <w:rPr>
        <w:b/>
        <w:bCs/>
      </w:rPr>
      <w:tblPr/>
      <w:tcPr>
        <w:tcBorders>
          <w:top w:val="single" w:sz="18" w:space="0" w:color="325FA8" w:themeColor="accent1" w:themeTint="BF"/>
        </w:tcBorders>
      </w:tcPr>
    </w:tblStylePr>
    <w:tblStylePr w:type="firstCol">
      <w:rPr>
        <w:b/>
        <w:bCs/>
      </w:rPr>
    </w:tblStylePr>
    <w:tblStylePr w:type="lastCol">
      <w:rPr>
        <w:b/>
        <w:bCs/>
      </w:rPr>
    </w:tblStylePr>
    <w:tblStylePr w:type="band1Vert">
      <w:tblPr/>
      <w:tcPr>
        <w:shd w:val="clear" w:color="auto" w:fill="6A91D2" w:themeFill="accent1" w:themeFillTint="7F"/>
      </w:tcPr>
    </w:tblStylePr>
    <w:tblStylePr w:type="band1Horz">
      <w:tblPr/>
      <w:tcPr>
        <w:shd w:val="clear" w:color="auto" w:fill="6A91D2" w:themeFill="accent1" w:themeFillTint="7F"/>
      </w:tcPr>
    </w:tblStylePr>
  </w:style>
  <w:style w:type="table" w:styleId="MediumGrid1-Accent2">
    <w:name w:val="Medium Grid 1 Accent 2"/>
    <w:basedOn w:val="TableNormal"/>
    <w:uiPriority w:val="67"/>
    <w:semiHidden/>
    <w:rsid w:val="00A21B54"/>
    <w:tblPr>
      <w:tblStyleRowBandSize w:val="1"/>
      <w:tblStyleColBandSize w:val="1"/>
      <w:tblBorders>
        <w:top w:val="single" w:sz="8" w:space="0" w:color="BAC2CF" w:themeColor="accent2" w:themeTint="BF"/>
        <w:left w:val="single" w:sz="8" w:space="0" w:color="BAC2CF" w:themeColor="accent2" w:themeTint="BF"/>
        <w:bottom w:val="single" w:sz="8" w:space="0" w:color="BAC2CF" w:themeColor="accent2" w:themeTint="BF"/>
        <w:right w:val="single" w:sz="8" w:space="0" w:color="BAC2CF" w:themeColor="accent2" w:themeTint="BF"/>
        <w:insideH w:val="single" w:sz="8" w:space="0" w:color="BAC2CF" w:themeColor="accent2" w:themeTint="BF"/>
        <w:insideV w:val="single" w:sz="8" w:space="0" w:color="BAC2CF" w:themeColor="accent2" w:themeTint="BF"/>
      </w:tblBorders>
    </w:tblPr>
    <w:tcPr>
      <w:shd w:val="clear" w:color="auto" w:fill="E8EAEF" w:themeFill="accent2" w:themeFillTint="3F"/>
    </w:tcPr>
    <w:tblStylePr w:type="firstRow">
      <w:rPr>
        <w:b/>
        <w:bCs/>
      </w:rPr>
    </w:tblStylePr>
    <w:tblStylePr w:type="lastRow">
      <w:rPr>
        <w:b/>
        <w:bCs/>
      </w:rPr>
      <w:tblPr/>
      <w:tcPr>
        <w:tcBorders>
          <w:top w:val="single" w:sz="18" w:space="0" w:color="BAC2CF" w:themeColor="accent2" w:themeTint="BF"/>
        </w:tcBorders>
      </w:tcPr>
    </w:tblStylePr>
    <w:tblStylePr w:type="firstCol">
      <w:rPr>
        <w:b/>
        <w:bCs/>
      </w:rPr>
    </w:tblStylePr>
    <w:tblStylePr w:type="lastCol">
      <w:rPr>
        <w:b/>
        <w:bCs/>
      </w:rPr>
    </w:tblStylePr>
    <w:tblStylePr w:type="band1Vert">
      <w:tblPr/>
      <w:tcPr>
        <w:shd w:val="clear" w:color="auto" w:fill="D1D6DF" w:themeFill="accent2" w:themeFillTint="7F"/>
      </w:tcPr>
    </w:tblStylePr>
    <w:tblStylePr w:type="band1Horz">
      <w:tblPr/>
      <w:tcPr>
        <w:shd w:val="clear" w:color="auto" w:fill="D1D6DF" w:themeFill="accent2" w:themeFillTint="7F"/>
      </w:tcPr>
    </w:tblStylePr>
  </w:style>
  <w:style w:type="table" w:styleId="MediumGrid1-Accent3">
    <w:name w:val="Medium Grid 1 Accent 3"/>
    <w:basedOn w:val="TableNormal"/>
    <w:uiPriority w:val="67"/>
    <w:semiHidden/>
    <w:rsid w:val="00A21B54"/>
    <w:tblPr>
      <w:tblStyleRowBandSize w:val="1"/>
      <w:tblStyleColBandSize w:val="1"/>
      <w:tblBorders>
        <w:top w:val="single" w:sz="8" w:space="0" w:color="AEADAC" w:themeColor="accent3" w:themeTint="BF"/>
        <w:left w:val="single" w:sz="8" w:space="0" w:color="AEADAC" w:themeColor="accent3" w:themeTint="BF"/>
        <w:bottom w:val="single" w:sz="8" w:space="0" w:color="AEADAC" w:themeColor="accent3" w:themeTint="BF"/>
        <w:right w:val="single" w:sz="8" w:space="0" w:color="AEADAC" w:themeColor="accent3" w:themeTint="BF"/>
        <w:insideH w:val="single" w:sz="8" w:space="0" w:color="AEADAC" w:themeColor="accent3" w:themeTint="BF"/>
        <w:insideV w:val="single" w:sz="8" w:space="0" w:color="AEADAC" w:themeColor="accent3" w:themeTint="BF"/>
      </w:tblBorders>
    </w:tblPr>
    <w:tcPr>
      <w:shd w:val="clear" w:color="auto" w:fill="E4E4E3" w:themeFill="accent3" w:themeFillTint="3F"/>
    </w:tcPr>
    <w:tblStylePr w:type="firstRow">
      <w:rPr>
        <w:b/>
        <w:bCs/>
      </w:rPr>
    </w:tblStylePr>
    <w:tblStylePr w:type="lastRow">
      <w:rPr>
        <w:b/>
        <w:bCs/>
      </w:rPr>
      <w:tblPr/>
      <w:tcPr>
        <w:tcBorders>
          <w:top w:val="single" w:sz="18" w:space="0" w:color="AEADAC" w:themeColor="accent3" w:themeTint="BF"/>
        </w:tcBorders>
      </w:tcPr>
    </w:tblStylePr>
    <w:tblStylePr w:type="firstCol">
      <w:rPr>
        <w:b/>
        <w:bCs/>
      </w:rPr>
    </w:tblStylePr>
    <w:tblStylePr w:type="lastCol">
      <w:rPr>
        <w:b/>
        <w:bCs/>
      </w:rPr>
    </w:tblStylePr>
    <w:tblStylePr w:type="band1Vert">
      <w:tblPr/>
      <w:tcPr>
        <w:shd w:val="clear" w:color="auto" w:fill="C9C8C8" w:themeFill="accent3" w:themeFillTint="7F"/>
      </w:tcPr>
    </w:tblStylePr>
    <w:tblStylePr w:type="band1Horz">
      <w:tblPr/>
      <w:tcPr>
        <w:shd w:val="clear" w:color="auto" w:fill="C9C8C8" w:themeFill="accent3" w:themeFillTint="7F"/>
      </w:tcPr>
    </w:tblStylePr>
  </w:style>
  <w:style w:type="table" w:styleId="MediumGrid1-Accent4">
    <w:name w:val="Medium Grid 1 Accent 4"/>
    <w:basedOn w:val="TableNormal"/>
    <w:uiPriority w:val="67"/>
    <w:semiHidden/>
    <w:rsid w:val="00A21B54"/>
    <w:tblPr>
      <w:tblStyleRowBandSize w:val="1"/>
      <w:tblStyleColBandSize w:val="1"/>
      <w:tblBorders>
        <w:top w:val="single" w:sz="8" w:space="0" w:color="ECE9E6" w:themeColor="accent4" w:themeTint="BF"/>
        <w:left w:val="single" w:sz="8" w:space="0" w:color="ECE9E6" w:themeColor="accent4" w:themeTint="BF"/>
        <w:bottom w:val="single" w:sz="8" w:space="0" w:color="ECE9E6" w:themeColor="accent4" w:themeTint="BF"/>
        <w:right w:val="single" w:sz="8" w:space="0" w:color="ECE9E6" w:themeColor="accent4" w:themeTint="BF"/>
        <w:insideH w:val="single" w:sz="8" w:space="0" w:color="ECE9E6" w:themeColor="accent4" w:themeTint="BF"/>
        <w:insideV w:val="single" w:sz="8" w:space="0" w:color="ECE9E6" w:themeColor="accent4" w:themeTint="BF"/>
      </w:tblBorders>
    </w:tblPr>
    <w:tcPr>
      <w:shd w:val="clear" w:color="auto" w:fill="F8F7F6" w:themeFill="accent4" w:themeFillTint="3F"/>
    </w:tcPr>
    <w:tblStylePr w:type="firstRow">
      <w:rPr>
        <w:b/>
        <w:bCs/>
      </w:rPr>
    </w:tblStylePr>
    <w:tblStylePr w:type="lastRow">
      <w:rPr>
        <w:b/>
        <w:bCs/>
      </w:rPr>
      <w:tblPr/>
      <w:tcPr>
        <w:tcBorders>
          <w:top w:val="single" w:sz="18" w:space="0" w:color="ECE9E6" w:themeColor="accent4" w:themeTint="BF"/>
        </w:tcBorders>
      </w:tcPr>
    </w:tblStylePr>
    <w:tblStylePr w:type="firstCol">
      <w:rPr>
        <w:b/>
        <w:bCs/>
      </w:rPr>
    </w:tblStylePr>
    <w:tblStylePr w:type="lastCol">
      <w:rPr>
        <w:b/>
        <w:bCs/>
      </w:rPr>
    </w:tblStylePr>
    <w:tblStylePr w:type="band1Vert">
      <w:tblPr/>
      <w:tcPr>
        <w:shd w:val="clear" w:color="auto" w:fill="F2F0EE" w:themeFill="accent4" w:themeFillTint="7F"/>
      </w:tcPr>
    </w:tblStylePr>
    <w:tblStylePr w:type="band1Horz">
      <w:tblPr/>
      <w:tcPr>
        <w:shd w:val="clear" w:color="auto" w:fill="F2F0EE" w:themeFill="accent4" w:themeFillTint="7F"/>
      </w:tcPr>
    </w:tblStylePr>
  </w:style>
  <w:style w:type="table" w:styleId="MediumGrid1-Accent5">
    <w:name w:val="Medium Grid 1 Accent 5"/>
    <w:basedOn w:val="TableNormal"/>
    <w:uiPriority w:val="67"/>
    <w:semiHidden/>
    <w:rsid w:val="00A21B54"/>
    <w:tblPr>
      <w:tblStyleRowBandSize w:val="1"/>
      <w:tblStyleColBandSize w:val="1"/>
      <w:tblBorders>
        <w:top w:val="single" w:sz="8" w:space="0" w:color="7B7773" w:themeColor="accent5" w:themeTint="BF"/>
        <w:left w:val="single" w:sz="8" w:space="0" w:color="7B7773" w:themeColor="accent5" w:themeTint="BF"/>
        <w:bottom w:val="single" w:sz="8" w:space="0" w:color="7B7773" w:themeColor="accent5" w:themeTint="BF"/>
        <w:right w:val="single" w:sz="8" w:space="0" w:color="7B7773" w:themeColor="accent5" w:themeTint="BF"/>
        <w:insideH w:val="single" w:sz="8" w:space="0" w:color="7B7773" w:themeColor="accent5" w:themeTint="BF"/>
        <w:insideV w:val="single" w:sz="8" w:space="0" w:color="7B7773" w:themeColor="accent5" w:themeTint="BF"/>
      </w:tblBorders>
    </w:tblPr>
    <w:tcPr>
      <w:shd w:val="clear" w:color="auto" w:fill="D3D2D0" w:themeFill="accent5" w:themeFillTint="3F"/>
    </w:tcPr>
    <w:tblStylePr w:type="firstRow">
      <w:rPr>
        <w:b/>
        <w:bCs/>
      </w:rPr>
    </w:tblStylePr>
    <w:tblStylePr w:type="lastRow">
      <w:rPr>
        <w:b/>
        <w:bCs/>
      </w:rPr>
      <w:tblPr/>
      <w:tcPr>
        <w:tcBorders>
          <w:top w:val="single" w:sz="18" w:space="0" w:color="7B7773" w:themeColor="accent5" w:themeTint="BF"/>
        </w:tcBorders>
      </w:tcPr>
    </w:tblStylePr>
    <w:tblStylePr w:type="firstCol">
      <w:rPr>
        <w:b/>
        <w:bCs/>
      </w:rPr>
    </w:tblStylePr>
    <w:tblStylePr w:type="lastCol">
      <w:rPr>
        <w:b/>
        <w:bCs/>
      </w:rPr>
    </w:tblStylePr>
    <w:tblStylePr w:type="band1Vert">
      <w:tblPr/>
      <w:tcPr>
        <w:shd w:val="clear" w:color="auto" w:fill="A7A5A1" w:themeFill="accent5" w:themeFillTint="7F"/>
      </w:tcPr>
    </w:tblStylePr>
    <w:tblStylePr w:type="band1Horz">
      <w:tblPr/>
      <w:tcPr>
        <w:shd w:val="clear" w:color="auto" w:fill="A7A5A1" w:themeFill="accent5" w:themeFillTint="7F"/>
      </w:tcPr>
    </w:tblStylePr>
  </w:style>
  <w:style w:type="table" w:styleId="MediumGrid1-Accent6">
    <w:name w:val="Medium Grid 1 Accent 6"/>
    <w:basedOn w:val="TableNormal"/>
    <w:uiPriority w:val="67"/>
    <w:semiHidden/>
    <w:rsid w:val="00A21B54"/>
    <w:tblPr>
      <w:tblStyleRowBandSize w:val="1"/>
      <w:tblStyleColBandSize w:val="1"/>
      <w:tblBorders>
        <w:top w:val="single" w:sz="8" w:space="0" w:color="DDE0E7" w:themeColor="accent6" w:themeTint="BF"/>
        <w:left w:val="single" w:sz="8" w:space="0" w:color="DDE0E7" w:themeColor="accent6" w:themeTint="BF"/>
        <w:bottom w:val="single" w:sz="8" w:space="0" w:color="DDE0E7" w:themeColor="accent6" w:themeTint="BF"/>
        <w:right w:val="single" w:sz="8" w:space="0" w:color="DDE0E7" w:themeColor="accent6" w:themeTint="BF"/>
        <w:insideH w:val="single" w:sz="8" w:space="0" w:color="DDE0E7" w:themeColor="accent6" w:themeTint="BF"/>
        <w:insideV w:val="single" w:sz="8" w:space="0" w:color="DDE0E7" w:themeColor="accent6" w:themeTint="BF"/>
      </w:tblBorders>
    </w:tblPr>
    <w:tcPr>
      <w:shd w:val="clear" w:color="auto" w:fill="F3F4F7" w:themeFill="accent6" w:themeFillTint="3F"/>
    </w:tcPr>
    <w:tblStylePr w:type="firstRow">
      <w:rPr>
        <w:b/>
        <w:bCs/>
      </w:rPr>
    </w:tblStylePr>
    <w:tblStylePr w:type="lastRow">
      <w:rPr>
        <w:b/>
        <w:bCs/>
      </w:rPr>
      <w:tblPr/>
      <w:tcPr>
        <w:tcBorders>
          <w:top w:val="single" w:sz="18" w:space="0" w:color="DDE0E7" w:themeColor="accent6" w:themeTint="BF"/>
        </w:tcBorders>
      </w:tcPr>
    </w:tblStylePr>
    <w:tblStylePr w:type="firstCol">
      <w:rPr>
        <w:b/>
        <w:bCs/>
      </w:rPr>
    </w:tblStylePr>
    <w:tblStylePr w:type="lastCol">
      <w:rPr>
        <w:b/>
        <w:bCs/>
      </w:rPr>
    </w:tblStylePr>
    <w:tblStylePr w:type="band1Vert">
      <w:tblPr/>
      <w:tcPr>
        <w:shd w:val="clear" w:color="auto" w:fill="E8EAEF" w:themeFill="accent6" w:themeFillTint="7F"/>
      </w:tcPr>
    </w:tblStylePr>
    <w:tblStylePr w:type="band1Horz">
      <w:tblPr/>
      <w:tcPr>
        <w:shd w:val="clear" w:color="auto" w:fill="E8EAEF" w:themeFill="accent6" w:themeFillTint="7F"/>
      </w:tcPr>
    </w:tblStylePr>
  </w:style>
  <w:style w:type="table" w:styleId="MediumGrid2">
    <w:name w:val="Medium Grid 2"/>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1C355E" w:themeColor="accent1"/>
        <w:left w:val="single" w:sz="8" w:space="0" w:color="1C355E" w:themeColor="accent1"/>
        <w:bottom w:val="single" w:sz="8" w:space="0" w:color="1C355E" w:themeColor="accent1"/>
        <w:right w:val="single" w:sz="8" w:space="0" w:color="1C355E" w:themeColor="accent1"/>
        <w:insideH w:val="single" w:sz="8" w:space="0" w:color="1C355E" w:themeColor="accent1"/>
        <w:insideV w:val="single" w:sz="8" w:space="0" w:color="1C355E" w:themeColor="accent1"/>
      </w:tblBorders>
    </w:tblPr>
    <w:tcPr>
      <w:shd w:val="clear" w:color="auto" w:fill="B5C8E9" w:themeFill="accent1" w:themeFillTint="3F"/>
    </w:tcPr>
    <w:tblStylePr w:type="firstRow">
      <w:rPr>
        <w:b/>
        <w:bCs/>
        <w:color w:val="000000" w:themeColor="text1"/>
      </w:rPr>
      <w:tblPr/>
      <w:tcPr>
        <w:shd w:val="clear" w:color="auto" w:fill="E1E9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3D2ED" w:themeFill="accent1" w:themeFillTint="33"/>
      </w:tcPr>
    </w:tblStylePr>
    <w:tblStylePr w:type="band1Vert">
      <w:tblPr/>
      <w:tcPr>
        <w:shd w:val="clear" w:color="auto" w:fill="6A91D2" w:themeFill="accent1" w:themeFillTint="7F"/>
      </w:tcPr>
    </w:tblStylePr>
    <w:tblStylePr w:type="band1Horz">
      <w:tblPr/>
      <w:tcPr>
        <w:tcBorders>
          <w:insideH w:val="single" w:sz="6" w:space="0" w:color="1C355E" w:themeColor="accent1"/>
          <w:insideV w:val="single" w:sz="6" w:space="0" w:color="1C355E" w:themeColor="accent1"/>
        </w:tcBorders>
        <w:shd w:val="clear" w:color="auto" w:fill="6A91D2"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A4AEBF" w:themeColor="accent2"/>
        <w:left w:val="single" w:sz="8" w:space="0" w:color="A4AEBF" w:themeColor="accent2"/>
        <w:bottom w:val="single" w:sz="8" w:space="0" w:color="A4AEBF" w:themeColor="accent2"/>
        <w:right w:val="single" w:sz="8" w:space="0" w:color="A4AEBF" w:themeColor="accent2"/>
        <w:insideH w:val="single" w:sz="8" w:space="0" w:color="A4AEBF" w:themeColor="accent2"/>
        <w:insideV w:val="single" w:sz="8" w:space="0" w:color="A4AEBF" w:themeColor="accent2"/>
      </w:tblBorders>
    </w:tblPr>
    <w:tcPr>
      <w:shd w:val="clear" w:color="auto" w:fill="E8EAEF" w:themeFill="accent2" w:themeFillTint="3F"/>
    </w:tcPr>
    <w:tblStylePr w:type="firstRow">
      <w:rPr>
        <w:b/>
        <w:bCs/>
        <w:color w:val="000000" w:themeColor="text1"/>
      </w:rPr>
      <w:tblPr/>
      <w:tcPr>
        <w:shd w:val="clear" w:color="auto" w:fill="F6F6F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EEF2" w:themeFill="accent2" w:themeFillTint="33"/>
      </w:tcPr>
    </w:tblStylePr>
    <w:tblStylePr w:type="band1Vert">
      <w:tblPr/>
      <w:tcPr>
        <w:shd w:val="clear" w:color="auto" w:fill="D1D6DF" w:themeFill="accent2" w:themeFillTint="7F"/>
      </w:tcPr>
    </w:tblStylePr>
    <w:tblStylePr w:type="band1Horz">
      <w:tblPr/>
      <w:tcPr>
        <w:tcBorders>
          <w:insideH w:val="single" w:sz="6" w:space="0" w:color="A4AEBF" w:themeColor="accent2"/>
          <w:insideV w:val="single" w:sz="6" w:space="0" w:color="A4AEBF" w:themeColor="accent2"/>
        </w:tcBorders>
        <w:shd w:val="clear" w:color="auto" w:fill="D1D6D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949291" w:themeColor="accent3"/>
        <w:left w:val="single" w:sz="8" w:space="0" w:color="949291" w:themeColor="accent3"/>
        <w:bottom w:val="single" w:sz="8" w:space="0" w:color="949291" w:themeColor="accent3"/>
        <w:right w:val="single" w:sz="8" w:space="0" w:color="949291" w:themeColor="accent3"/>
        <w:insideH w:val="single" w:sz="8" w:space="0" w:color="949291" w:themeColor="accent3"/>
        <w:insideV w:val="single" w:sz="8" w:space="0" w:color="949291" w:themeColor="accent3"/>
      </w:tblBorders>
    </w:tblPr>
    <w:tcPr>
      <w:shd w:val="clear" w:color="auto" w:fill="E4E4E3"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E9E8" w:themeFill="accent3" w:themeFillTint="33"/>
      </w:tcPr>
    </w:tblStylePr>
    <w:tblStylePr w:type="band1Vert">
      <w:tblPr/>
      <w:tcPr>
        <w:shd w:val="clear" w:color="auto" w:fill="C9C8C8" w:themeFill="accent3" w:themeFillTint="7F"/>
      </w:tcPr>
    </w:tblStylePr>
    <w:tblStylePr w:type="band1Horz">
      <w:tblPr/>
      <w:tcPr>
        <w:tcBorders>
          <w:insideH w:val="single" w:sz="6" w:space="0" w:color="949291" w:themeColor="accent3"/>
          <w:insideV w:val="single" w:sz="6" w:space="0" w:color="949291" w:themeColor="accent3"/>
        </w:tcBorders>
        <w:shd w:val="clear" w:color="auto" w:fill="C9C8C8"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E6E3DF" w:themeColor="accent4"/>
        <w:left w:val="single" w:sz="8" w:space="0" w:color="E6E3DF" w:themeColor="accent4"/>
        <w:bottom w:val="single" w:sz="8" w:space="0" w:color="E6E3DF" w:themeColor="accent4"/>
        <w:right w:val="single" w:sz="8" w:space="0" w:color="E6E3DF" w:themeColor="accent4"/>
        <w:insideH w:val="single" w:sz="8" w:space="0" w:color="E6E3DF" w:themeColor="accent4"/>
        <w:insideV w:val="single" w:sz="8" w:space="0" w:color="E6E3DF" w:themeColor="accent4"/>
      </w:tblBorders>
    </w:tblPr>
    <w:tcPr>
      <w:shd w:val="clear" w:color="auto" w:fill="F8F7F6" w:themeFill="accent4" w:themeFillTint="3F"/>
    </w:tcPr>
    <w:tblStylePr w:type="firstRow">
      <w:rPr>
        <w:b/>
        <w:bCs/>
        <w:color w:val="000000" w:themeColor="text1"/>
      </w:rPr>
      <w:tblPr/>
      <w:tcPr>
        <w:shd w:val="clear" w:color="auto" w:fill="FCFCF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9F8" w:themeFill="accent4" w:themeFillTint="33"/>
      </w:tcPr>
    </w:tblStylePr>
    <w:tblStylePr w:type="band1Vert">
      <w:tblPr/>
      <w:tcPr>
        <w:shd w:val="clear" w:color="auto" w:fill="F2F0EE" w:themeFill="accent4" w:themeFillTint="7F"/>
      </w:tcPr>
    </w:tblStylePr>
    <w:tblStylePr w:type="band1Horz">
      <w:tblPr/>
      <w:tcPr>
        <w:tcBorders>
          <w:insideH w:val="single" w:sz="6" w:space="0" w:color="E6E3DF" w:themeColor="accent4"/>
          <w:insideV w:val="single" w:sz="6" w:space="0" w:color="E6E3DF" w:themeColor="accent4"/>
        </w:tcBorders>
        <w:shd w:val="clear" w:color="auto" w:fill="F2F0E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4C4A47" w:themeColor="accent5"/>
        <w:left w:val="single" w:sz="8" w:space="0" w:color="4C4A47" w:themeColor="accent5"/>
        <w:bottom w:val="single" w:sz="8" w:space="0" w:color="4C4A47" w:themeColor="accent5"/>
        <w:right w:val="single" w:sz="8" w:space="0" w:color="4C4A47" w:themeColor="accent5"/>
        <w:insideH w:val="single" w:sz="8" w:space="0" w:color="4C4A47" w:themeColor="accent5"/>
        <w:insideV w:val="single" w:sz="8" w:space="0" w:color="4C4A47" w:themeColor="accent5"/>
      </w:tblBorders>
    </w:tblPr>
    <w:tcPr>
      <w:shd w:val="clear" w:color="auto" w:fill="D3D2D0" w:themeFill="accent5" w:themeFillTint="3F"/>
    </w:tcPr>
    <w:tblStylePr w:type="firstRow">
      <w:rPr>
        <w:b/>
        <w:bCs/>
        <w:color w:val="000000" w:themeColor="text1"/>
      </w:rPr>
      <w:tblPr/>
      <w:tcPr>
        <w:shd w:val="clear" w:color="auto" w:fill="EDED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CDAD9" w:themeFill="accent5" w:themeFillTint="33"/>
      </w:tcPr>
    </w:tblStylePr>
    <w:tblStylePr w:type="band1Vert">
      <w:tblPr/>
      <w:tcPr>
        <w:shd w:val="clear" w:color="auto" w:fill="A7A5A1" w:themeFill="accent5" w:themeFillTint="7F"/>
      </w:tcPr>
    </w:tblStylePr>
    <w:tblStylePr w:type="band1Horz">
      <w:tblPr/>
      <w:tcPr>
        <w:tcBorders>
          <w:insideH w:val="single" w:sz="6" w:space="0" w:color="4C4A47" w:themeColor="accent5"/>
          <w:insideV w:val="single" w:sz="6" w:space="0" w:color="4C4A47" w:themeColor="accent5"/>
        </w:tcBorders>
        <w:shd w:val="clear" w:color="auto" w:fill="A7A5A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D2D7DF" w:themeColor="accent6"/>
        <w:left w:val="single" w:sz="8" w:space="0" w:color="D2D7DF" w:themeColor="accent6"/>
        <w:bottom w:val="single" w:sz="8" w:space="0" w:color="D2D7DF" w:themeColor="accent6"/>
        <w:right w:val="single" w:sz="8" w:space="0" w:color="D2D7DF" w:themeColor="accent6"/>
        <w:insideH w:val="single" w:sz="8" w:space="0" w:color="D2D7DF" w:themeColor="accent6"/>
        <w:insideV w:val="single" w:sz="8" w:space="0" w:color="D2D7DF" w:themeColor="accent6"/>
      </w:tblBorders>
    </w:tblPr>
    <w:tcPr>
      <w:shd w:val="clear" w:color="auto" w:fill="F3F4F7" w:themeFill="accent6" w:themeFillTint="3F"/>
    </w:tcPr>
    <w:tblStylePr w:type="firstRow">
      <w:rPr>
        <w:b/>
        <w:bCs/>
        <w:color w:val="000000" w:themeColor="text1"/>
      </w:rPr>
      <w:tblPr/>
      <w:tcPr>
        <w:shd w:val="clear" w:color="auto" w:fill="FAFB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6F8" w:themeFill="accent6" w:themeFillTint="33"/>
      </w:tcPr>
    </w:tblStylePr>
    <w:tblStylePr w:type="band1Vert">
      <w:tblPr/>
      <w:tcPr>
        <w:shd w:val="clear" w:color="auto" w:fill="E8EAEF" w:themeFill="accent6" w:themeFillTint="7F"/>
      </w:tcPr>
    </w:tblStylePr>
    <w:tblStylePr w:type="band1Horz">
      <w:tblPr/>
      <w:tcPr>
        <w:tcBorders>
          <w:insideH w:val="single" w:sz="6" w:space="0" w:color="D2D7DF" w:themeColor="accent6"/>
          <w:insideV w:val="single" w:sz="6" w:space="0" w:color="D2D7DF" w:themeColor="accent6"/>
        </w:tcBorders>
        <w:shd w:val="clear" w:color="auto" w:fill="E8EAE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5C8E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355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355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355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355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A91D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A91D2" w:themeFill="accent1" w:themeFillTint="7F"/>
      </w:tcPr>
    </w:tblStylePr>
  </w:style>
  <w:style w:type="table" w:styleId="MediumGrid3-Accent2">
    <w:name w:val="Medium Grid 3 Accent 2"/>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AE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4AEB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4AEB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4AEB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4AEB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6D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6DF" w:themeFill="accent2" w:themeFillTint="7F"/>
      </w:tcPr>
    </w:tblStylePr>
  </w:style>
  <w:style w:type="table" w:styleId="MediumGrid3-Accent3">
    <w:name w:val="Medium Grid 3 Accent 3"/>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4E3"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929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929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929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929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C8C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C8C8" w:themeFill="accent3" w:themeFillTint="7F"/>
      </w:tcPr>
    </w:tblStylePr>
  </w:style>
  <w:style w:type="table" w:styleId="MediumGrid3-Accent4">
    <w:name w:val="Medium Grid 3 Accent 4"/>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7F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E3D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E3D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E3D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E3D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0E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0EE" w:themeFill="accent4" w:themeFillTint="7F"/>
      </w:tcPr>
    </w:tblStylePr>
  </w:style>
  <w:style w:type="table" w:styleId="MediumGrid3-Accent5">
    <w:name w:val="Medium Grid 3 Accent 5"/>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2D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C4A47"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C4A47"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C4A47"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C4A47"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A5A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A5A1" w:themeFill="accent5" w:themeFillTint="7F"/>
      </w:tcPr>
    </w:tblStylePr>
  </w:style>
  <w:style w:type="table" w:styleId="MediumGrid3-Accent6">
    <w:name w:val="Medium Grid 3 Accent 6"/>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4F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2D7D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2D7D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2D7D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2D7D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EAE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EAEF" w:themeFill="accent6" w:themeFillTint="7F"/>
      </w:tcPr>
    </w:tblStylePr>
  </w:style>
  <w:style w:type="table" w:styleId="MediumList1">
    <w:name w:val="Medium List 1"/>
    <w:basedOn w:val="TableNormal"/>
    <w:uiPriority w:val="65"/>
    <w:semiHidden/>
    <w:rsid w:val="00A21B5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C355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A21B54"/>
    <w:rPr>
      <w:color w:val="000000" w:themeColor="text1"/>
    </w:rPr>
    <w:tblPr>
      <w:tblStyleRowBandSize w:val="1"/>
      <w:tblStyleColBandSize w:val="1"/>
      <w:tblBorders>
        <w:top w:val="single" w:sz="8" w:space="0" w:color="1C355E" w:themeColor="accent1"/>
        <w:bottom w:val="single" w:sz="8" w:space="0" w:color="1C355E" w:themeColor="accent1"/>
      </w:tblBorders>
    </w:tblPr>
    <w:tblStylePr w:type="firstRow">
      <w:rPr>
        <w:rFonts w:asciiTheme="majorHAnsi" w:eastAsiaTheme="majorEastAsia" w:hAnsiTheme="majorHAnsi" w:cstheme="majorBidi"/>
      </w:rPr>
      <w:tblPr/>
      <w:tcPr>
        <w:tcBorders>
          <w:top w:val="nil"/>
          <w:bottom w:val="single" w:sz="8" w:space="0" w:color="1C355E" w:themeColor="accent1"/>
        </w:tcBorders>
      </w:tcPr>
    </w:tblStylePr>
    <w:tblStylePr w:type="lastRow">
      <w:rPr>
        <w:b/>
        <w:bCs/>
        <w:color w:val="1C355E" w:themeColor="text2"/>
      </w:rPr>
      <w:tblPr/>
      <w:tcPr>
        <w:tcBorders>
          <w:top w:val="single" w:sz="8" w:space="0" w:color="1C355E" w:themeColor="accent1"/>
          <w:bottom w:val="single" w:sz="8" w:space="0" w:color="1C355E" w:themeColor="accent1"/>
        </w:tcBorders>
      </w:tcPr>
    </w:tblStylePr>
    <w:tblStylePr w:type="firstCol">
      <w:rPr>
        <w:b/>
        <w:bCs/>
      </w:rPr>
    </w:tblStylePr>
    <w:tblStylePr w:type="lastCol">
      <w:rPr>
        <w:b/>
        <w:bCs/>
      </w:rPr>
      <w:tblPr/>
      <w:tcPr>
        <w:tcBorders>
          <w:top w:val="single" w:sz="8" w:space="0" w:color="1C355E" w:themeColor="accent1"/>
          <w:bottom w:val="single" w:sz="8" w:space="0" w:color="1C355E" w:themeColor="accent1"/>
        </w:tcBorders>
      </w:tcPr>
    </w:tblStylePr>
    <w:tblStylePr w:type="band1Vert">
      <w:tblPr/>
      <w:tcPr>
        <w:shd w:val="clear" w:color="auto" w:fill="B5C8E9" w:themeFill="accent1" w:themeFillTint="3F"/>
      </w:tcPr>
    </w:tblStylePr>
    <w:tblStylePr w:type="band1Horz">
      <w:tblPr/>
      <w:tcPr>
        <w:shd w:val="clear" w:color="auto" w:fill="B5C8E9" w:themeFill="accent1" w:themeFillTint="3F"/>
      </w:tcPr>
    </w:tblStylePr>
  </w:style>
  <w:style w:type="table" w:styleId="MediumList1-Accent2">
    <w:name w:val="Medium List 1 Accent 2"/>
    <w:basedOn w:val="TableNormal"/>
    <w:uiPriority w:val="65"/>
    <w:semiHidden/>
    <w:rsid w:val="00A21B54"/>
    <w:rPr>
      <w:color w:val="000000" w:themeColor="text1"/>
    </w:rPr>
    <w:tblPr>
      <w:tblStyleRowBandSize w:val="1"/>
      <w:tblStyleColBandSize w:val="1"/>
      <w:tblBorders>
        <w:top w:val="single" w:sz="8" w:space="0" w:color="A4AEBF" w:themeColor="accent2"/>
        <w:bottom w:val="single" w:sz="8" w:space="0" w:color="A4AEBF" w:themeColor="accent2"/>
      </w:tblBorders>
    </w:tblPr>
    <w:tblStylePr w:type="firstRow">
      <w:rPr>
        <w:rFonts w:asciiTheme="majorHAnsi" w:eastAsiaTheme="majorEastAsia" w:hAnsiTheme="majorHAnsi" w:cstheme="majorBidi"/>
      </w:rPr>
      <w:tblPr/>
      <w:tcPr>
        <w:tcBorders>
          <w:top w:val="nil"/>
          <w:bottom w:val="single" w:sz="8" w:space="0" w:color="A4AEBF" w:themeColor="accent2"/>
        </w:tcBorders>
      </w:tcPr>
    </w:tblStylePr>
    <w:tblStylePr w:type="lastRow">
      <w:rPr>
        <w:b/>
        <w:bCs/>
        <w:color w:val="1C355E" w:themeColor="text2"/>
      </w:rPr>
      <w:tblPr/>
      <w:tcPr>
        <w:tcBorders>
          <w:top w:val="single" w:sz="8" w:space="0" w:color="A4AEBF" w:themeColor="accent2"/>
          <w:bottom w:val="single" w:sz="8" w:space="0" w:color="A4AEBF" w:themeColor="accent2"/>
        </w:tcBorders>
      </w:tcPr>
    </w:tblStylePr>
    <w:tblStylePr w:type="firstCol">
      <w:rPr>
        <w:b/>
        <w:bCs/>
      </w:rPr>
    </w:tblStylePr>
    <w:tblStylePr w:type="lastCol">
      <w:rPr>
        <w:b/>
        <w:bCs/>
      </w:rPr>
      <w:tblPr/>
      <w:tcPr>
        <w:tcBorders>
          <w:top w:val="single" w:sz="8" w:space="0" w:color="A4AEBF" w:themeColor="accent2"/>
          <w:bottom w:val="single" w:sz="8" w:space="0" w:color="A4AEBF" w:themeColor="accent2"/>
        </w:tcBorders>
      </w:tcPr>
    </w:tblStylePr>
    <w:tblStylePr w:type="band1Vert">
      <w:tblPr/>
      <w:tcPr>
        <w:shd w:val="clear" w:color="auto" w:fill="E8EAEF" w:themeFill="accent2" w:themeFillTint="3F"/>
      </w:tcPr>
    </w:tblStylePr>
    <w:tblStylePr w:type="band1Horz">
      <w:tblPr/>
      <w:tcPr>
        <w:shd w:val="clear" w:color="auto" w:fill="E8EAEF" w:themeFill="accent2" w:themeFillTint="3F"/>
      </w:tcPr>
    </w:tblStylePr>
  </w:style>
  <w:style w:type="table" w:styleId="MediumList1-Accent3">
    <w:name w:val="Medium List 1 Accent 3"/>
    <w:basedOn w:val="TableNormal"/>
    <w:uiPriority w:val="65"/>
    <w:semiHidden/>
    <w:rsid w:val="00A21B54"/>
    <w:rPr>
      <w:color w:val="000000" w:themeColor="text1"/>
    </w:rPr>
    <w:tblPr>
      <w:tblStyleRowBandSize w:val="1"/>
      <w:tblStyleColBandSize w:val="1"/>
      <w:tblBorders>
        <w:top w:val="single" w:sz="8" w:space="0" w:color="949291" w:themeColor="accent3"/>
        <w:bottom w:val="single" w:sz="8" w:space="0" w:color="949291" w:themeColor="accent3"/>
      </w:tblBorders>
    </w:tblPr>
    <w:tblStylePr w:type="firstRow">
      <w:rPr>
        <w:rFonts w:asciiTheme="majorHAnsi" w:eastAsiaTheme="majorEastAsia" w:hAnsiTheme="majorHAnsi" w:cstheme="majorBidi"/>
      </w:rPr>
      <w:tblPr/>
      <w:tcPr>
        <w:tcBorders>
          <w:top w:val="nil"/>
          <w:bottom w:val="single" w:sz="8" w:space="0" w:color="949291" w:themeColor="accent3"/>
        </w:tcBorders>
      </w:tcPr>
    </w:tblStylePr>
    <w:tblStylePr w:type="lastRow">
      <w:rPr>
        <w:b/>
        <w:bCs/>
        <w:color w:val="1C355E" w:themeColor="text2"/>
      </w:rPr>
      <w:tblPr/>
      <w:tcPr>
        <w:tcBorders>
          <w:top w:val="single" w:sz="8" w:space="0" w:color="949291" w:themeColor="accent3"/>
          <w:bottom w:val="single" w:sz="8" w:space="0" w:color="949291" w:themeColor="accent3"/>
        </w:tcBorders>
      </w:tcPr>
    </w:tblStylePr>
    <w:tblStylePr w:type="firstCol">
      <w:rPr>
        <w:b/>
        <w:bCs/>
      </w:rPr>
    </w:tblStylePr>
    <w:tblStylePr w:type="lastCol">
      <w:rPr>
        <w:b/>
        <w:bCs/>
      </w:rPr>
      <w:tblPr/>
      <w:tcPr>
        <w:tcBorders>
          <w:top w:val="single" w:sz="8" w:space="0" w:color="949291" w:themeColor="accent3"/>
          <w:bottom w:val="single" w:sz="8" w:space="0" w:color="949291" w:themeColor="accent3"/>
        </w:tcBorders>
      </w:tcPr>
    </w:tblStylePr>
    <w:tblStylePr w:type="band1Vert">
      <w:tblPr/>
      <w:tcPr>
        <w:shd w:val="clear" w:color="auto" w:fill="E4E4E3" w:themeFill="accent3" w:themeFillTint="3F"/>
      </w:tcPr>
    </w:tblStylePr>
    <w:tblStylePr w:type="band1Horz">
      <w:tblPr/>
      <w:tcPr>
        <w:shd w:val="clear" w:color="auto" w:fill="E4E4E3" w:themeFill="accent3" w:themeFillTint="3F"/>
      </w:tcPr>
    </w:tblStylePr>
  </w:style>
  <w:style w:type="table" w:styleId="MediumList1-Accent4">
    <w:name w:val="Medium List 1 Accent 4"/>
    <w:basedOn w:val="TableNormal"/>
    <w:uiPriority w:val="65"/>
    <w:semiHidden/>
    <w:rsid w:val="00A21B54"/>
    <w:rPr>
      <w:color w:val="000000" w:themeColor="text1"/>
    </w:rPr>
    <w:tblPr>
      <w:tblStyleRowBandSize w:val="1"/>
      <w:tblStyleColBandSize w:val="1"/>
      <w:tblBorders>
        <w:top w:val="single" w:sz="8" w:space="0" w:color="E6E3DF" w:themeColor="accent4"/>
        <w:bottom w:val="single" w:sz="8" w:space="0" w:color="E6E3DF" w:themeColor="accent4"/>
      </w:tblBorders>
    </w:tblPr>
    <w:tblStylePr w:type="firstRow">
      <w:rPr>
        <w:rFonts w:asciiTheme="majorHAnsi" w:eastAsiaTheme="majorEastAsia" w:hAnsiTheme="majorHAnsi" w:cstheme="majorBidi"/>
      </w:rPr>
      <w:tblPr/>
      <w:tcPr>
        <w:tcBorders>
          <w:top w:val="nil"/>
          <w:bottom w:val="single" w:sz="8" w:space="0" w:color="E6E3DF" w:themeColor="accent4"/>
        </w:tcBorders>
      </w:tcPr>
    </w:tblStylePr>
    <w:tblStylePr w:type="lastRow">
      <w:rPr>
        <w:b/>
        <w:bCs/>
        <w:color w:val="1C355E" w:themeColor="text2"/>
      </w:rPr>
      <w:tblPr/>
      <w:tcPr>
        <w:tcBorders>
          <w:top w:val="single" w:sz="8" w:space="0" w:color="E6E3DF" w:themeColor="accent4"/>
          <w:bottom w:val="single" w:sz="8" w:space="0" w:color="E6E3DF" w:themeColor="accent4"/>
        </w:tcBorders>
      </w:tcPr>
    </w:tblStylePr>
    <w:tblStylePr w:type="firstCol">
      <w:rPr>
        <w:b/>
        <w:bCs/>
      </w:rPr>
    </w:tblStylePr>
    <w:tblStylePr w:type="lastCol">
      <w:rPr>
        <w:b/>
        <w:bCs/>
      </w:rPr>
      <w:tblPr/>
      <w:tcPr>
        <w:tcBorders>
          <w:top w:val="single" w:sz="8" w:space="0" w:color="E6E3DF" w:themeColor="accent4"/>
          <w:bottom w:val="single" w:sz="8" w:space="0" w:color="E6E3DF" w:themeColor="accent4"/>
        </w:tcBorders>
      </w:tcPr>
    </w:tblStylePr>
    <w:tblStylePr w:type="band1Vert">
      <w:tblPr/>
      <w:tcPr>
        <w:shd w:val="clear" w:color="auto" w:fill="F8F7F6" w:themeFill="accent4" w:themeFillTint="3F"/>
      </w:tcPr>
    </w:tblStylePr>
    <w:tblStylePr w:type="band1Horz">
      <w:tblPr/>
      <w:tcPr>
        <w:shd w:val="clear" w:color="auto" w:fill="F8F7F6" w:themeFill="accent4" w:themeFillTint="3F"/>
      </w:tcPr>
    </w:tblStylePr>
  </w:style>
  <w:style w:type="table" w:styleId="MediumList1-Accent5">
    <w:name w:val="Medium List 1 Accent 5"/>
    <w:basedOn w:val="TableNormal"/>
    <w:uiPriority w:val="65"/>
    <w:semiHidden/>
    <w:rsid w:val="00A21B54"/>
    <w:rPr>
      <w:color w:val="000000" w:themeColor="text1"/>
    </w:rPr>
    <w:tblPr>
      <w:tblStyleRowBandSize w:val="1"/>
      <w:tblStyleColBandSize w:val="1"/>
      <w:tblBorders>
        <w:top w:val="single" w:sz="8" w:space="0" w:color="4C4A47" w:themeColor="accent5"/>
        <w:bottom w:val="single" w:sz="8" w:space="0" w:color="4C4A47" w:themeColor="accent5"/>
      </w:tblBorders>
    </w:tblPr>
    <w:tblStylePr w:type="firstRow">
      <w:rPr>
        <w:rFonts w:asciiTheme="majorHAnsi" w:eastAsiaTheme="majorEastAsia" w:hAnsiTheme="majorHAnsi" w:cstheme="majorBidi"/>
      </w:rPr>
      <w:tblPr/>
      <w:tcPr>
        <w:tcBorders>
          <w:top w:val="nil"/>
          <w:bottom w:val="single" w:sz="8" w:space="0" w:color="4C4A47" w:themeColor="accent5"/>
        </w:tcBorders>
      </w:tcPr>
    </w:tblStylePr>
    <w:tblStylePr w:type="lastRow">
      <w:rPr>
        <w:b/>
        <w:bCs/>
        <w:color w:val="1C355E" w:themeColor="text2"/>
      </w:rPr>
      <w:tblPr/>
      <w:tcPr>
        <w:tcBorders>
          <w:top w:val="single" w:sz="8" w:space="0" w:color="4C4A47" w:themeColor="accent5"/>
          <w:bottom w:val="single" w:sz="8" w:space="0" w:color="4C4A47" w:themeColor="accent5"/>
        </w:tcBorders>
      </w:tcPr>
    </w:tblStylePr>
    <w:tblStylePr w:type="firstCol">
      <w:rPr>
        <w:b/>
        <w:bCs/>
      </w:rPr>
    </w:tblStylePr>
    <w:tblStylePr w:type="lastCol">
      <w:rPr>
        <w:b/>
        <w:bCs/>
      </w:rPr>
      <w:tblPr/>
      <w:tcPr>
        <w:tcBorders>
          <w:top w:val="single" w:sz="8" w:space="0" w:color="4C4A47" w:themeColor="accent5"/>
          <w:bottom w:val="single" w:sz="8" w:space="0" w:color="4C4A47" w:themeColor="accent5"/>
        </w:tcBorders>
      </w:tcPr>
    </w:tblStylePr>
    <w:tblStylePr w:type="band1Vert">
      <w:tblPr/>
      <w:tcPr>
        <w:shd w:val="clear" w:color="auto" w:fill="D3D2D0" w:themeFill="accent5" w:themeFillTint="3F"/>
      </w:tcPr>
    </w:tblStylePr>
    <w:tblStylePr w:type="band1Horz">
      <w:tblPr/>
      <w:tcPr>
        <w:shd w:val="clear" w:color="auto" w:fill="D3D2D0" w:themeFill="accent5" w:themeFillTint="3F"/>
      </w:tcPr>
    </w:tblStylePr>
  </w:style>
  <w:style w:type="table" w:styleId="MediumList1-Accent6">
    <w:name w:val="Medium List 1 Accent 6"/>
    <w:basedOn w:val="TableNormal"/>
    <w:uiPriority w:val="65"/>
    <w:semiHidden/>
    <w:rsid w:val="00A21B54"/>
    <w:rPr>
      <w:color w:val="000000" w:themeColor="text1"/>
    </w:rPr>
    <w:tblPr>
      <w:tblStyleRowBandSize w:val="1"/>
      <w:tblStyleColBandSize w:val="1"/>
      <w:tblBorders>
        <w:top w:val="single" w:sz="8" w:space="0" w:color="D2D7DF" w:themeColor="accent6"/>
        <w:bottom w:val="single" w:sz="8" w:space="0" w:color="D2D7DF" w:themeColor="accent6"/>
      </w:tblBorders>
    </w:tblPr>
    <w:tblStylePr w:type="firstRow">
      <w:rPr>
        <w:rFonts w:asciiTheme="majorHAnsi" w:eastAsiaTheme="majorEastAsia" w:hAnsiTheme="majorHAnsi" w:cstheme="majorBidi"/>
      </w:rPr>
      <w:tblPr/>
      <w:tcPr>
        <w:tcBorders>
          <w:top w:val="nil"/>
          <w:bottom w:val="single" w:sz="8" w:space="0" w:color="D2D7DF" w:themeColor="accent6"/>
        </w:tcBorders>
      </w:tcPr>
    </w:tblStylePr>
    <w:tblStylePr w:type="lastRow">
      <w:rPr>
        <w:b/>
        <w:bCs/>
        <w:color w:val="1C355E" w:themeColor="text2"/>
      </w:rPr>
      <w:tblPr/>
      <w:tcPr>
        <w:tcBorders>
          <w:top w:val="single" w:sz="8" w:space="0" w:color="D2D7DF" w:themeColor="accent6"/>
          <w:bottom w:val="single" w:sz="8" w:space="0" w:color="D2D7DF" w:themeColor="accent6"/>
        </w:tcBorders>
      </w:tcPr>
    </w:tblStylePr>
    <w:tblStylePr w:type="firstCol">
      <w:rPr>
        <w:b/>
        <w:bCs/>
      </w:rPr>
    </w:tblStylePr>
    <w:tblStylePr w:type="lastCol">
      <w:rPr>
        <w:b/>
        <w:bCs/>
      </w:rPr>
      <w:tblPr/>
      <w:tcPr>
        <w:tcBorders>
          <w:top w:val="single" w:sz="8" w:space="0" w:color="D2D7DF" w:themeColor="accent6"/>
          <w:bottom w:val="single" w:sz="8" w:space="0" w:color="D2D7DF" w:themeColor="accent6"/>
        </w:tcBorders>
      </w:tcPr>
    </w:tblStylePr>
    <w:tblStylePr w:type="band1Vert">
      <w:tblPr/>
      <w:tcPr>
        <w:shd w:val="clear" w:color="auto" w:fill="F3F4F7" w:themeFill="accent6" w:themeFillTint="3F"/>
      </w:tcPr>
    </w:tblStylePr>
    <w:tblStylePr w:type="band1Horz">
      <w:tblPr/>
      <w:tcPr>
        <w:shd w:val="clear" w:color="auto" w:fill="F3F4F7" w:themeFill="accent6" w:themeFillTint="3F"/>
      </w:tcPr>
    </w:tblStylePr>
  </w:style>
  <w:style w:type="table" w:styleId="MediumList2">
    <w:name w:val="Medium List 2"/>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1C355E" w:themeColor="accent1"/>
        <w:left w:val="single" w:sz="8" w:space="0" w:color="1C355E" w:themeColor="accent1"/>
        <w:bottom w:val="single" w:sz="8" w:space="0" w:color="1C355E" w:themeColor="accent1"/>
        <w:right w:val="single" w:sz="8" w:space="0" w:color="1C355E" w:themeColor="accent1"/>
      </w:tblBorders>
    </w:tblPr>
    <w:tblStylePr w:type="firstRow">
      <w:rPr>
        <w:sz w:val="24"/>
        <w:szCs w:val="24"/>
      </w:rPr>
      <w:tblPr/>
      <w:tcPr>
        <w:tcBorders>
          <w:top w:val="nil"/>
          <w:left w:val="nil"/>
          <w:bottom w:val="single" w:sz="24" w:space="0" w:color="1C355E" w:themeColor="accent1"/>
          <w:right w:val="nil"/>
          <w:insideH w:val="nil"/>
          <w:insideV w:val="nil"/>
        </w:tcBorders>
        <w:shd w:val="clear" w:color="auto" w:fill="FFFFFF" w:themeFill="background1"/>
      </w:tcPr>
    </w:tblStylePr>
    <w:tblStylePr w:type="lastRow">
      <w:tblPr/>
      <w:tcPr>
        <w:tcBorders>
          <w:top w:val="single" w:sz="8" w:space="0" w:color="1C355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C355E" w:themeColor="accent1"/>
          <w:insideH w:val="nil"/>
          <w:insideV w:val="nil"/>
        </w:tcBorders>
        <w:shd w:val="clear" w:color="auto" w:fill="FFFFFF" w:themeFill="background1"/>
      </w:tcPr>
    </w:tblStylePr>
    <w:tblStylePr w:type="lastCol">
      <w:tblPr/>
      <w:tcPr>
        <w:tcBorders>
          <w:top w:val="nil"/>
          <w:left w:val="single" w:sz="8" w:space="0" w:color="1C355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5C8E9" w:themeFill="accent1" w:themeFillTint="3F"/>
      </w:tcPr>
    </w:tblStylePr>
    <w:tblStylePr w:type="band1Horz">
      <w:tblPr/>
      <w:tcPr>
        <w:tcBorders>
          <w:top w:val="nil"/>
          <w:bottom w:val="nil"/>
          <w:insideH w:val="nil"/>
          <w:insideV w:val="nil"/>
        </w:tcBorders>
        <w:shd w:val="clear" w:color="auto" w:fill="B5C8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A4AEBF" w:themeColor="accent2"/>
        <w:left w:val="single" w:sz="8" w:space="0" w:color="A4AEBF" w:themeColor="accent2"/>
        <w:bottom w:val="single" w:sz="8" w:space="0" w:color="A4AEBF" w:themeColor="accent2"/>
        <w:right w:val="single" w:sz="8" w:space="0" w:color="A4AEBF" w:themeColor="accent2"/>
      </w:tblBorders>
    </w:tblPr>
    <w:tblStylePr w:type="firstRow">
      <w:rPr>
        <w:sz w:val="24"/>
        <w:szCs w:val="24"/>
      </w:rPr>
      <w:tblPr/>
      <w:tcPr>
        <w:tcBorders>
          <w:top w:val="nil"/>
          <w:left w:val="nil"/>
          <w:bottom w:val="single" w:sz="24" w:space="0" w:color="A4AEBF" w:themeColor="accent2"/>
          <w:right w:val="nil"/>
          <w:insideH w:val="nil"/>
          <w:insideV w:val="nil"/>
        </w:tcBorders>
        <w:shd w:val="clear" w:color="auto" w:fill="FFFFFF" w:themeFill="background1"/>
      </w:tcPr>
    </w:tblStylePr>
    <w:tblStylePr w:type="lastRow">
      <w:tblPr/>
      <w:tcPr>
        <w:tcBorders>
          <w:top w:val="single" w:sz="8" w:space="0" w:color="A4AEB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4AEBF" w:themeColor="accent2"/>
          <w:insideH w:val="nil"/>
          <w:insideV w:val="nil"/>
        </w:tcBorders>
        <w:shd w:val="clear" w:color="auto" w:fill="FFFFFF" w:themeFill="background1"/>
      </w:tcPr>
    </w:tblStylePr>
    <w:tblStylePr w:type="lastCol">
      <w:tblPr/>
      <w:tcPr>
        <w:tcBorders>
          <w:top w:val="nil"/>
          <w:left w:val="single" w:sz="8" w:space="0" w:color="A4AEB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AEF" w:themeFill="accent2" w:themeFillTint="3F"/>
      </w:tcPr>
    </w:tblStylePr>
    <w:tblStylePr w:type="band1Horz">
      <w:tblPr/>
      <w:tcPr>
        <w:tcBorders>
          <w:top w:val="nil"/>
          <w:bottom w:val="nil"/>
          <w:insideH w:val="nil"/>
          <w:insideV w:val="nil"/>
        </w:tcBorders>
        <w:shd w:val="clear" w:color="auto" w:fill="E8EAE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949291" w:themeColor="accent3"/>
        <w:left w:val="single" w:sz="8" w:space="0" w:color="949291" w:themeColor="accent3"/>
        <w:bottom w:val="single" w:sz="8" w:space="0" w:color="949291" w:themeColor="accent3"/>
        <w:right w:val="single" w:sz="8" w:space="0" w:color="949291" w:themeColor="accent3"/>
      </w:tblBorders>
    </w:tblPr>
    <w:tblStylePr w:type="firstRow">
      <w:rPr>
        <w:sz w:val="24"/>
        <w:szCs w:val="24"/>
      </w:rPr>
      <w:tblPr/>
      <w:tcPr>
        <w:tcBorders>
          <w:top w:val="nil"/>
          <w:left w:val="nil"/>
          <w:bottom w:val="single" w:sz="24" w:space="0" w:color="949291" w:themeColor="accent3"/>
          <w:right w:val="nil"/>
          <w:insideH w:val="nil"/>
          <w:insideV w:val="nil"/>
        </w:tcBorders>
        <w:shd w:val="clear" w:color="auto" w:fill="FFFFFF" w:themeFill="background1"/>
      </w:tcPr>
    </w:tblStylePr>
    <w:tblStylePr w:type="lastRow">
      <w:tblPr/>
      <w:tcPr>
        <w:tcBorders>
          <w:top w:val="single" w:sz="8" w:space="0" w:color="949291"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9291" w:themeColor="accent3"/>
          <w:insideH w:val="nil"/>
          <w:insideV w:val="nil"/>
        </w:tcBorders>
        <w:shd w:val="clear" w:color="auto" w:fill="FFFFFF" w:themeFill="background1"/>
      </w:tcPr>
    </w:tblStylePr>
    <w:tblStylePr w:type="lastCol">
      <w:tblPr/>
      <w:tcPr>
        <w:tcBorders>
          <w:top w:val="nil"/>
          <w:left w:val="single" w:sz="8" w:space="0" w:color="94929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4E3" w:themeFill="accent3" w:themeFillTint="3F"/>
      </w:tcPr>
    </w:tblStylePr>
    <w:tblStylePr w:type="band1Horz">
      <w:tblPr/>
      <w:tcPr>
        <w:tcBorders>
          <w:top w:val="nil"/>
          <w:bottom w:val="nil"/>
          <w:insideH w:val="nil"/>
          <w:insideV w:val="nil"/>
        </w:tcBorders>
        <w:shd w:val="clear" w:color="auto" w:fill="E4E4E3"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E6E3DF" w:themeColor="accent4"/>
        <w:left w:val="single" w:sz="8" w:space="0" w:color="E6E3DF" w:themeColor="accent4"/>
        <w:bottom w:val="single" w:sz="8" w:space="0" w:color="E6E3DF" w:themeColor="accent4"/>
        <w:right w:val="single" w:sz="8" w:space="0" w:color="E6E3DF" w:themeColor="accent4"/>
      </w:tblBorders>
    </w:tblPr>
    <w:tblStylePr w:type="firstRow">
      <w:rPr>
        <w:sz w:val="24"/>
        <w:szCs w:val="24"/>
      </w:rPr>
      <w:tblPr/>
      <w:tcPr>
        <w:tcBorders>
          <w:top w:val="nil"/>
          <w:left w:val="nil"/>
          <w:bottom w:val="single" w:sz="24" w:space="0" w:color="E6E3DF" w:themeColor="accent4"/>
          <w:right w:val="nil"/>
          <w:insideH w:val="nil"/>
          <w:insideV w:val="nil"/>
        </w:tcBorders>
        <w:shd w:val="clear" w:color="auto" w:fill="FFFFFF" w:themeFill="background1"/>
      </w:tcPr>
    </w:tblStylePr>
    <w:tblStylePr w:type="lastRow">
      <w:tblPr/>
      <w:tcPr>
        <w:tcBorders>
          <w:top w:val="single" w:sz="8" w:space="0" w:color="E6E3D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E3DF" w:themeColor="accent4"/>
          <w:insideH w:val="nil"/>
          <w:insideV w:val="nil"/>
        </w:tcBorders>
        <w:shd w:val="clear" w:color="auto" w:fill="FFFFFF" w:themeFill="background1"/>
      </w:tcPr>
    </w:tblStylePr>
    <w:tblStylePr w:type="lastCol">
      <w:tblPr/>
      <w:tcPr>
        <w:tcBorders>
          <w:top w:val="nil"/>
          <w:left w:val="single" w:sz="8" w:space="0" w:color="E6E3D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7F6" w:themeFill="accent4" w:themeFillTint="3F"/>
      </w:tcPr>
    </w:tblStylePr>
    <w:tblStylePr w:type="band1Horz">
      <w:tblPr/>
      <w:tcPr>
        <w:tcBorders>
          <w:top w:val="nil"/>
          <w:bottom w:val="nil"/>
          <w:insideH w:val="nil"/>
          <w:insideV w:val="nil"/>
        </w:tcBorders>
        <w:shd w:val="clear" w:color="auto" w:fill="F8F7F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4C4A47" w:themeColor="accent5"/>
        <w:left w:val="single" w:sz="8" w:space="0" w:color="4C4A47" w:themeColor="accent5"/>
        <w:bottom w:val="single" w:sz="8" w:space="0" w:color="4C4A47" w:themeColor="accent5"/>
        <w:right w:val="single" w:sz="8" w:space="0" w:color="4C4A47" w:themeColor="accent5"/>
      </w:tblBorders>
    </w:tblPr>
    <w:tblStylePr w:type="firstRow">
      <w:rPr>
        <w:sz w:val="24"/>
        <w:szCs w:val="24"/>
      </w:rPr>
      <w:tblPr/>
      <w:tcPr>
        <w:tcBorders>
          <w:top w:val="nil"/>
          <w:left w:val="nil"/>
          <w:bottom w:val="single" w:sz="24" w:space="0" w:color="4C4A47" w:themeColor="accent5"/>
          <w:right w:val="nil"/>
          <w:insideH w:val="nil"/>
          <w:insideV w:val="nil"/>
        </w:tcBorders>
        <w:shd w:val="clear" w:color="auto" w:fill="FFFFFF" w:themeFill="background1"/>
      </w:tcPr>
    </w:tblStylePr>
    <w:tblStylePr w:type="lastRow">
      <w:tblPr/>
      <w:tcPr>
        <w:tcBorders>
          <w:top w:val="single" w:sz="8" w:space="0" w:color="4C4A47"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C4A47" w:themeColor="accent5"/>
          <w:insideH w:val="nil"/>
          <w:insideV w:val="nil"/>
        </w:tcBorders>
        <w:shd w:val="clear" w:color="auto" w:fill="FFFFFF" w:themeFill="background1"/>
      </w:tcPr>
    </w:tblStylePr>
    <w:tblStylePr w:type="lastCol">
      <w:tblPr/>
      <w:tcPr>
        <w:tcBorders>
          <w:top w:val="nil"/>
          <w:left w:val="single" w:sz="8" w:space="0" w:color="4C4A47"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2D0" w:themeFill="accent5" w:themeFillTint="3F"/>
      </w:tcPr>
    </w:tblStylePr>
    <w:tblStylePr w:type="band1Horz">
      <w:tblPr/>
      <w:tcPr>
        <w:tcBorders>
          <w:top w:val="nil"/>
          <w:bottom w:val="nil"/>
          <w:insideH w:val="nil"/>
          <w:insideV w:val="nil"/>
        </w:tcBorders>
        <w:shd w:val="clear" w:color="auto" w:fill="D3D2D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D2D7DF" w:themeColor="accent6"/>
        <w:left w:val="single" w:sz="8" w:space="0" w:color="D2D7DF" w:themeColor="accent6"/>
        <w:bottom w:val="single" w:sz="8" w:space="0" w:color="D2D7DF" w:themeColor="accent6"/>
        <w:right w:val="single" w:sz="8" w:space="0" w:color="D2D7DF" w:themeColor="accent6"/>
      </w:tblBorders>
    </w:tblPr>
    <w:tblStylePr w:type="firstRow">
      <w:rPr>
        <w:sz w:val="24"/>
        <w:szCs w:val="24"/>
      </w:rPr>
      <w:tblPr/>
      <w:tcPr>
        <w:tcBorders>
          <w:top w:val="nil"/>
          <w:left w:val="nil"/>
          <w:bottom w:val="single" w:sz="24" w:space="0" w:color="D2D7DF" w:themeColor="accent6"/>
          <w:right w:val="nil"/>
          <w:insideH w:val="nil"/>
          <w:insideV w:val="nil"/>
        </w:tcBorders>
        <w:shd w:val="clear" w:color="auto" w:fill="FFFFFF" w:themeFill="background1"/>
      </w:tcPr>
    </w:tblStylePr>
    <w:tblStylePr w:type="lastRow">
      <w:tblPr/>
      <w:tcPr>
        <w:tcBorders>
          <w:top w:val="single" w:sz="8" w:space="0" w:color="D2D7D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2D7DF" w:themeColor="accent6"/>
          <w:insideH w:val="nil"/>
          <w:insideV w:val="nil"/>
        </w:tcBorders>
        <w:shd w:val="clear" w:color="auto" w:fill="FFFFFF" w:themeFill="background1"/>
      </w:tcPr>
    </w:tblStylePr>
    <w:tblStylePr w:type="lastCol">
      <w:tblPr/>
      <w:tcPr>
        <w:tcBorders>
          <w:top w:val="nil"/>
          <w:left w:val="single" w:sz="8" w:space="0" w:color="D2D7D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4F7" w:themeFill="accent6" w:themeFillTint="3F"/>
      </w:tcPr>
    </w:tblStylePr>
    <w:tblStylePr w:type="band1Horz">
      <w:tblPr/>
      <w:tcPr>
        <w:tcBorders>
          <w:top w:val="nil"/>
          <w:bottom w:val="nil"/>
          <w:insideH w:val="nil"/>
          <w:insideV w:val="nil"/>
        </w:tcBorders>
        <w:shd w:val="clear" w:color="auto" w:fill="F3F4F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A21B5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A21B54"/>
    <w:tblPr>
      <w:tblStyleRowBandSize w:val="1"/>
      <w:tblStyleColBandSize w:val="1"/>
      <w:tblBorders>
        <w:top w:val="single" w:sz="8" w:space="0" w:color="325FA8" w:themeColor="accent1" w:themeTint="BF"/>
        <w:left w:val="single" w:sz="8" w:space="0" w:color="325FA8" w:themeColor="accent1" w:themeTint="BF"/>
        <w:bottom w:val="single" w:sz="8" w:space="0" w:color="325FA8" w:themeColor="accent1" w:themeTint="BF"/>
        <w:right w:val="single" w:sz="8" w:space="0" w:color="325FA8" w:themeColor="accent1" w:themeTint="BF"/>
        <w:insideH w:val="single" w:sz="8" w:space="0" w:color="325FA8" w:themeColor="accent1" w:themeTint="BF"/>
      </w:tblBorders>
    </w:tblPr>
    <w:tblStylePr w:type="firstRow">
      <w:pPr>
        <w:spacing w:before="0" w:after="0" w:line="240" w:lineRule="auto"/>
      </w:pPr>
      <w:rPr>
        <w:b/>
        <w:bCs/>
        <w:color w:val="FFFFFF" w:themeColor="background1"/>
      </w:rPr>
      <w:tblPr/>
      <w:tcPr>
        <w:tcBorders>
          <w:top w:val="single" w:sz="8" w:space="0" w:color="325FA8" w:themeColor="accent1" w:themeTint="BF"/>
          <w:left w:val="single" w:sz="8" w:space="0" w:color="325FA8" w:themeColor="accent1" w:themeTint="BF"/>
          <w:bottom w:val="single" w:sz="8" w:space="0" w:color="325FA8" w:themeColor="accent1" w:themeTint="BF"/>
          <w:right w:val="single" w:sz="8" w:space="0" w:color="325FA8" w:themeColor="accent1" w:themeTint="BF"/>
          <w:insideH w:val="nil"/>
          <w:insideV w:val="nil"/>
        </w:tcBorders>
        <w:shd w:val="clear" w:color="auto" w:fill="1C355E" w:themeFill="accent1"/>
      </w:tcPr>
    </w:tblStylePr>
    <w:tblStylePr w:type="lastRow">
      <w:pPr>
        <w:spacing w:before="0" w:after="0" w:line="240" w:lineRule="auto"/>
      </w:pPr>
      <w:rPr>
        <w:b/>
        <w:bCs/>
      </w:rPr>
      <w:tblPr/>
      <w:tcPr>
        <w:tcBorders>
          <w:top w:val="double" w:sz="6" w:space="0" w:color="325FA8" w:themeColor="accent1" w:themeTint="BF"/>
          <w:left w:val="single" w:sz="8" w:space="0" w:color="325FA8" w:themeColor="accent1" w:themeTint="BF"/>
          <w:bottom w:val="single" w:sz="8" w:space="0" w:color="325FA8" w:themeColor="accent1" w:themeTint="BF"/>
          <w:right w:val="single" w:sz="8" w:space="0" w:color="325FA8" w:themeColor="accent1" w:themeTint="BF"/>
          <w:insideH w:val="nil"/>
          <w:insideV w:val="nil"/>
        </w:tcBorders>
      </w:tcPr>
    </w:tblStylePr>
    <w:tblStylePr w:type="firstCol">
      <w:rPr>
        <w:b/>
        <w:bCs/>
      </w:rPr>
    </w:tblStylePr>
    <w:tblStylePr w:type="lastCol">
      <w:rPr>
        <w:b/>
        <w:bCs/>
      </w:rPr>
    </w:tblStylePr>
    <w:tblStylePr w:type="band1Vert">
      <w:tblPr/>
      <w:tcPr>
        <w:shd w:val="clear" w:color="auto" w:fill="B5C8E9" w:themeFill="accent1" w:themeFillTint="3F"/>
      </w:tcPr>
    </w:tblStylePr>
    <w:tblStylePr w:type="band1Horz">
      <w:tblPr/>
      <w:tcPr>
        <w:tcBorders>
          <w:insideH w:val="nil"/>
          <w:insideV w:val="nil"/>
        </w:tcBorders>
        <w:shd w:val="clear" w:color="auto" w:fill="B5C8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A21B54"/>
    <w:tblPr>
      <w:tblStyleRowBandSize w:val="1"/>
      <w:tblStyleColBandSize w:val="1"/>
      <w:tblBorders>
        <w:top w:val="single" w:sz="8" w:space="0" w:color="BAC2CF" w:themeColor="accent2" w:themeTint="BF"/>
        <w:left w:val="single" w:sz="8" w:space="0" w:color="BAC2CF" w:themeColor="accent2" w:themeTint="BF"/>
        <w:bottom w:val="single" w:sz="8" w:space="0" w:color="BAC2CF" w:themeColor="accent2" w:themeTint="BF"/>
        <w:right w:val="single" w:sz="8" w:space="0" w:color="BAC2CF" w:themeColor="accent2" w:themeTint="BF"/>
        <w:insideH w:val="single" w:sz="8" w:space="0" w:color="BAC2CF" w:themeColor="accent2" w:themeTint="BF"/>
      </w:tblBorders>
    </w:tblPr>
    <w:tblStylePr w:type="firstRow">
      <w:pPr>
        <w:spacing w:before="0" w:after="0" w:line="240" w:lineRule="auto"/>
      </w:pPr>
      <w:rPr>
        <w:b/>
        <w:bCs/>
        <w:color w:val="FFFFFF" w:themeColor="background1"/>
      </w:rPr>
      <w:tblPr/>
      <w:tcPr>
        <w:tcBorders>
          <w:top w:val="single" w:sz="8" w:space="0" w:color="BAC2CF" w:themeColor="accent2" w:themeTint="BF"/>
          <w:left w:val="single" w:sz="8" w:space="0" w:color="BAC2CF" w:themeColor="accent2" w:themeTint="BF"/>
          <w:bottom w:val="single" w:sz="8" w:space="0" w:color="BAC2CF" w:themeColor="accent2" w:themeTint="BF"/>
          <w:right w:val="single" w:sz="8" w:space="0" w:color="BAC2CF" w:themeColor="accent2" w:themeTint="BF"/>
          <w:insideH w:val="nil"/>
          <w:insideV w:val="nil"/>
        </w:tcBorders>
        <w:shd w:val="clear" w:color="auto" w:fill="A4AEBF" w:themeFill="accent2"/>
      </w:tcPr>
    </w:tblStylePr>
    <w:tblStylePr w:type="lastRow">
      <w:pPr>
        <w:spacing w:before="0" w:after="0" w:line="240" w:lineRule="auto"/>
      </w:pPr>
      <w:rPr>
        <w:b/>
        <w:bCs/>
      </w:rPr>
      <w:tblPr/>
      <w:tcPr>
        <w:tcBorders>
          <w:top w:val="double" w:sz="6" w:space="0" w:color="BAC2CF" w:themeColor="accent2" w:themeTint="BF"/>
          <w:left w:val="single" w:sz="8" w:space="0" w:color="BAC2CF" w:themeColor="accent2" w:themeTint="BF"/>
          <w:bottom w:val="single" w:sz="8" w:space="0" w:color="BAC2CF" w:themeColor="accent2" w:themeTint="BF"/>
          <w:right w:val="single" w:sz="8" w:space="0" w:color="BAC2CF" w:themeColor="accent2" w:themeTint="BF"/>
          <w:insideH w:val="nil"/>
          <w:insideV w:val="nil"/>
        </w:tcBorders>
      </w:tcPr>
    </w:tblStylePr>
    <w:tblStylePr w:type="firstCol">
      <w:rPr>
        <w:b/>
        <w:bCs/>
      </w:rPr>
    </w:tblStylePr>
    <w:tblStylePr w:type="lastCol">
      <w:rPr>
        <w:b/>
        <w:bCs/>
      </w:rPr>
    </w:tblStylePr>
    <w:tblStylePr w:type="band1Vert">
      <w:tblPr/>
      <w:tcPr>
        <w:shd w:val="clear" w:color="auto" w:fill="E8EAEF" w:themeFill="accent2" w:themeFillTint="3F"/>
      </w:tcPr>
    </w:tblStylePr>
    <w:tblStylePr w:type="band1Horz">
      <w:tblPr/>
      <w:tcPr>
        <w:tcBorders>
          <w:insideH w:val="nil"/>
          <w:insideV w:val="nil"/>
        </w:tcBorders>
        <w:shd w:val="clear" w:color="auto" w:fill="E8EAE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A21B54"/>
    <w:tblPr>
      <w:tblStyleRowBandSize w:val="1"/>
      <w:tblStyleColBandSize w:val="1"/>
      <w:tblBorders>
        <w:top w:val="single" w:sz="8" w:space="0" w:color="AEADAC" w:themeColor="accent3" w:themeTint="BF"/>
        <w:left w:val="single" w:sz="8" w:space="0" w:color="AEADAC" w:themeColor="accent3" w:themeTint="BF"/>
        <w:bottom w:val="single" w:sz="8" w:space="0" w:color="AEADAC" w:themeColor="accent3" w:themeTint="BF"/>
        <w:right w:val="single" w:sz="8" w:space="0" w:color="AEADAC" w:themeColor="accent3" w:themeTint="BF"/>
        <w:insideH w:val="single" w:sz="8" w:space="0" w:color="AEADAC" w:themeColor="accent3" w:themeTint="BF"/>
      </w:tblBorders>
    </w:tblPr>
    <w:tblStylePr w:type="firstRow">
      <w:pPr>
        <w:spacing w:before="0" w:after="0" w:line="240" w:lineRule="auto"/>
      </w:pPr>
      <w:rPr>
        <w:b/>
        <w:bCs/>
        <w:color w:val="FFFFFF" w:themeColor="background1"/>
      </w:rPr>
      <w:tblPr/>
      <w:tcPr>
        <w:tcBorders>
          <w:top w:val="single" w:sz="8" w:space="0" w:color="AEADAC" w:themeColor="accent3" w:themeTint="BF"/>
          <w:left w:val="single" w:sz="8" w:space="0" w:color="AEADAC" w:themeColor="accent3" w:themeTint="BF"/>
          <w:bottom w:val="single" w:sz="8" w:space="0" w:color="AEADAC" w:themeColor="accent3" w:themeTint="BF"/>
          <w:right w:val="single" w:sz="8" w:space="0" w:color="AEADAC" w:themeColor="accent3" w:themeTint="BF"/>
          <w:insideH w:val="nil"/>
          <w:insideV w:val="nil"/>
        </w:tcBorders>
        <w:shd w:val="clear" w:color="auto" w:fill="949291" w:themeFill="accent3"/>
      </w:tcPr>
    </w:tblStylePr>
    <w:tblStylePr w:type="lastRow">
      <w:pPr>
        <w:spacing w:before="0" w:after="0" w:line="240" w:lineRule="auto"/>
      </w:pPr>
      <w:rPr>
        <w:b/>
        <w:bCs/>
      </w:rPr>
      <w:tblPr/>
      <w:tcPr>
        <w:tcBorders>
          <w:top w:val="double" w:sz="6" w:space="0" w:color="AEADAC" w:themeColor="accent3" w:themeTint="BF"/>
          <w:left w:val="single" w:sz="8" w:space="0" w:color="AEADAC" w:themeColor="accent3" w:themeTint="BF"/>
          <w:bottom w:val="single" w:sz="8" w:space="0" w:color="AEADAC" w:themeColor="accent3" w:themeTint="BF"/>
          <w:right w:val="single" w:sz="8" w:space="0" w:color="AEADAC" w:themeColor="accent3" w:themeTint="BF"/>
          <w:insideH w:val="nil"/>
          <w:insideV w:val="nil"/>
        </w:tcBorders>
      </w:tcPr>
    </w:tblStylePr>
    <w:tblStylePr w:type="firstCol">
      <w:rPr>
        <w:b/>
        <w:bCs/>
      </w:rPr>
    </w:tblStylePr>
    <w:tblStylePr w:type="lastCol">
      <w:rPr>
        <w:b/>
        <w:bCs/>
      </w:rPr>
    </w:tblStylePr>
    <w:tblStylePr w:type="band1Vert">
      <w:tblPr/>
      <w:tcPr>
        <w:shd w:val="clear" w:color="auto" w:fill="E4E4E3" w:themeFill="accent3" w:themeFillTint="3F"/>
      </w:tcPr>
    </w:tblStylePr>
    <w:tblStylePr w:type="band1Horz">
      <w:tblPr/>
      <w:tcPr>
        <w:tcBorders>
          <w:insideH w:val="nil"/>
          <w:insideV w:val="nil"/>
        </w:tcBorders>
        <w:shd w:val="clear" w:color="auto" w:fill="E4E4E3"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A21B54"/>
    <w:tblPr>
      <w:tblStyleRowBandSize w:val="1"/>
      <w:tblStyleColBandSize w:val="1"/>
      <w:tblBorders>
        <w:top w:val="single" w:sz="8" w:space="0" w:color="ECE9E6" w:themeColor="accent4" w:themeTint="BF"/>
        <w:left w:val="single" w:sz="8" w:space="0" w:color="ECE9E6" w:themeColor="accent4" w:themeTint="BF"/>
        <w:bottom w:val="single" w:sz="8" w:space="0" w:color="ECE9E6" w:themeColor="accent4" w:themeTint="BF"/>
        <w:right w:val="single" w:sz="8" w:space="0" w:color="ECE9E6" w:themeColor="accent4" w:themeTint="BF"/>
        <w:insideH w:val="single" w:sz="8" w:space="0" w:color="ECE9E6" w:themeColor="accent4" w:themeTint="BF"/>
      </w:tblBorders>
    </w:tblPr>
    <w:tblStylePr w:type="firstRow">
      <w:pPr>
        <w:spacing w:before="0" w:after="0" w:line="240" w:lineRule="auto"/>
      </w:pPr>
      <w:rPr>
        <w:b/>
        <w:bCs/>
        <w:color w:val="FFFFFF" w:themeColor="background1"/>
      </w:rPr>
      <w:tblPr/>
      <w:tcPr>
        <w:tcBorders>
          <w:top w:val="single" w:sz="8" w:space="0" w:color="ECE9E6" w:themeColor="accent4" w:themeTint="BF"/>
          <w:left w:val="single" w:sz="8" w:space="0" w:color="ECE9E6" w:themeColor="accent4" w:themeTint="BF"/>
          <w:bottom w:val="single" w:sz="8" w:space="0" w:color="ECE9E6" w:themeColor="accent4" w:themeTint="BF"/>
          <w:right w:val="single" w:sz="8" w:space="0" w:color="ECE9E6" w:themeColor="accent4" w:themeTint="BF"/>
          <w:insideH w:val="nil"/>
          <w:insideV w:val="nil"/>
        </w:tcBorders>
        <w:shd w:val="clear" w:color="auto" w:fill="E6E3DF" w:themeFill="accent4"/>
      </w:tcPr>
    </w:tblStylePr>
    <w:tblStylePr w:type="lastRow">
      <w:pPr>
        <w:spacing w:before="0" w:after="0" w:line="240" w:lineRule="auto"/>
      </w:pPr>
      <w:rPr>
        <w:b/>
        <w:bCs/>
      </w:rPr>
      <w:tblPr/>
      <w:tcPr>
        <w:tcBorders>
          <w:top w:val="double" w:sz="6" w:space="0" w:color="ECE9E6" w:themeColor="accent4" w:themeTint="BF"/>
          <w:left w:val="single" w:sz="8" w:space="0" w:color="ECE9E6" w:themeColor="accent4" w:themeTint="BF"/>
          <w:bottom w:val="single" w:sz="8" w:space="0" w:color="ECE9E6" w:themeColor="accent4" w:themeTint="BF"/>
          <w:right w:val="single" w:sz="8" w:space="0" w:color="ECE9E6" w:themeColor="accent4" w:themeTint="BF"/>
          <w:insideH w:val="nil"/>
          <w:insideV w:val="nil"/>
        </w:tcBorders>
      </w:tcPr>
    </w:tblStylePr>
    <w:tblStylePr w:type="firstCol">
      <w:rPr>
        <w:b/>
        <w:bCs/>
      </w:rPr>
    </w:tblStylePr>
    <w:tblStylePr w:type="lastCol">
      <w:rPr>
        <w:b/>
        <w:bCs/>
      </w:rPr>
    </w:tblStylePr>
    <w:tblStylePr w:type="band1Vert">
      <w:tblPr/>
      <w:tcPr>
        <w:shd w:val="clear" w:color="auto" w:fill="F8F7F6" w:themeFill="accent4" w:themeFillTint="3F"/>
      </w:tcPr>
    </w:tblStylePr>
    <w:tblStylePr w:type="band1Horz">
      <w:tblPr/>
      <w:tcPr>
        <w:tcBorders>
          <w:insideH w:val="nil"/>
          <w:insideV w:val="nil"/>
        </w:tcBorders>
        <w:shd w:val="clear" w:color="auto" w:fill="F8F7F6"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A21B54"/>
    <w:tblPr>
      <w:tblStyleRowBandSize w:val="1"/>
      <w:tblStyleColBandSize w:val="1"/>
      <w:tblBorders>
        <w:top w:val="single" w:sz="8" w:space="0" w:color="7B7773" w:themeColor="accent5" w:themeTint="BF"/>
        <w:left w:val="single" w:sz="8" w:space="0" w:color="7B7773" w:themeColor="accent5" w:themeTint="BF"/>
        <w:bottom w:val="single" w:sz="8" w:space="0" w:color="7B7773" w:themeColor="accent5" w:themeTint="BF"/>
        <w:right w:val="single" w:sz="8" w:space="0" w:color="7B7773" w:themeColor="accent5" w:themeTint="BF"/>
        <w:insideH w:val="single" w:sz="8" w:space="0" w:color="7B7773" w:themeColor="accent5" w:themeTint="BF"/>
      </w:tblBorders>
    </w:tblPr>
    <w:tblStylePr w:type="firstRow">
      <w:pPr>
        <w:spacing w:before="0" w:after="0" w:line="240" w:lineRule="auto"/>
      </w:pPr>
      <w:rPr>
        <w:b/>
        <w:bCs/>
        <w:color w:val="FFFFFF" w:themeColor="background1"/>
      </w:rPr>
      <w:tblPr/>
      <w:tcPr>
        <w:tcBorders>
          <w:top w:val="single" w:sz="8" w:space="0" w:color="7B7773" w:themeColor="accent5" w:themeTint="BF"/>
          <w:left w:val="single" w:sz="8" w:space="0" w:color="7B7773" w:themeColor="accent5" w:themeTint="BF"/>
          <w:bottom w:val="single" w:sz="8" w:space="0" w:color="7B7773" w:themeColor="accent5" w:themeTint="BF"/>
          <w:right w:val="single" w:sz="8" w:space="0" w:color="7B7773" w:themeColor="accent5" w:themeTint="BF"/>
          <w:insideH w:val="nil"/>
          <w:insideV w:val="nil"/>
        </w:tcBorders>
        <w:shd w:val="clear" w:color="auto" w:fill="4C4A47" w:themeFill="accent5"/>
      </w:tcPr>
    </w:tblStylePr>
    <w:tblStylePr w:type="lastRow">
      <w:pPr>
        <w:spacing w:before="0" w:after="0" w:line="240" w:lineRule="auto"/>
      </w:pPr>
      <w:rPr>
        <w:b/>
        <w:bCs/>
      </w:rPr>
      <w:tblPr/>
      <w:tcPr>
        <w:tcBorders>
          <w:top w:val="double" w:sz="6" w:space="0" w:color="7B7773" w:themeColor="accent5" w:themeTint="BF"/>
          <w:left w:val="single" w:sz="8" w:space="0" w:color="7B7773" w:themeColor="accent5" w:themeTint="BF"/>
          <w:bottom w:val="single" w:sz="8" w:space="0" w:color="7B7773" w:themeColor="accent5" w:themeTint="BF"/>
          <w:right w:val="single" w:sz="8" w:space="0" w:color="7B7773" w:themeColor="accent5" w:themeTint="BF"/>
          <w:insideH w:val="nil"/>
          <w:insideV w:val="nil"/>
        </w:tcBorders>
      </w:tcPr>
    </w:tblStylePr>
    <w:tblStylePr w:type="firstCol">
      <w:rPr>
        <w:b/>
        <w:bCs/>
      </w:rPr>
    </w:tblStylePr>
    <w:tblStylePr w:type="lastCol">
      <w:rPr>
        <w:b/>
        <w:bCs/>
      </w:rPr>
    </w:tblStylePr>
    <w:tblStylePr w:type="band1Vert">
      <w:tblPr/>
      <w:tcPr>
        <w:shd w:val="clear" w:color="auto" w:fill="D3D2D0" w:themeFill="accent5" w:themeFillTint="3F"/>
      </w:tcPr>
    </w:tblStylePr>
    <w:tblStylePr w:type="band1Horz">
      <w:tblPr/>
      <w:tcPr>
        <w:tcBorders>
          <w:insideH w:val="nil"/>
          <w:insideV w:val="nil"/>
        </w:tcBorders>
        <w:shd w:val="clear" w:color="auto" w:fill="D3D2D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A21B54"/>
    <w:tblPr>
      <w:tblStyleRowBandSize w:val="1"/>
      <w:tblStyleColBandSize w:val="1"/>
      <w:tblBorders>
        <w:top w:val="single" w:sz="8" w:space="0" w:color="DDE0E7" w:themeColor="accent6" w:themeTint="BF"/>
        <w:left w:val="single" w:sz="8" w:space="0" w:color="DDE0E7" w:themeColor="accent6" w:themeTint="BF"/>
        <w:bottom w:val="single" w:sz="8" w:space="0" w:color="DDE0E7" w:themeColor="accent6" w:themeTint="BF"/>
        <w:right w:val="single" w:sz="8" w:space="0" w:color="DDE0E7" w:themeColor="accent6" w:themeTint="BF"/>
        <w:insideH w:val="single" w:sz="8" w:space="0" w:color="DDE0E7" w:themeColor="accent6" w:themeTint="BF"/>
      </w:tblBorders>
    </w:tblPr>
    <w:tblStylePr w:type="firstRow">
      <w:pPr>
        <w:spacing w:before="0" w:after="0" w:line="240" w:lineRule="auto"/>
      </w:pPr>
      <w:rPr>
        <w:b/>
        <w:bCs/>
        <w:color w:val="FFFFFF" w:themeColor="background1"/>
      </w:rPr>
      <w:tblPr/>
      <w:tcPr>
        <w:tcBorders>
          <w:top w:val="single" w:sz="8" w:space="0" w:color="DDE0E7" w:themeColor="accent6" w:themeTint="BF"/>
          <w:left w:val="single" w:sz="8" w:space="0" w:color="DDE0E7" w:themeColor="accent6" w:themeTint="BF"/>
          <w:bottom w:val="single" w:sz="8" w:space="0" w:color="DDE0E7" w:themeColor="accent6" w:themeTint="BF"/>
          <w:right w:val="single" w:sz="8" w:space="0" w:color="DDE0E7" w:themeColor="accent6" w:themeTint="BF"/>
          <w:insideH w:val="nil"/>
          <w:insideV w:val="nil"/>
        </w:tcBorders>
        <w:shd w:val="clear" w:color="auto" w:fill="D2D7DF" w:themeFill="accent6"/>
      </w:tcPr>
    </w:tblStylePr>
    <w:tblStylePr w:type="lastRow">
      <w:pPr>
        <w:spacing w:before="0" w:after="0" w:line="240" w:lineRule="auto"/>
      </w:pPr>
      <w:rPr>
        <w:b/>
        <w:bCs/>
      </w:rPr>
      <w:tblPr/>
      <w:tcPr>
        <w:tcBorders>
          <w:top w:val="double" w:sz="6" w:space="0" w:color="DDE0E7" w:themeColor="accent6" w:themeTint="BF"/>
          <w:left w:val="single" w:sz="8" w:space="0" w:color="DDE0E7" w:themeColor="accent6" w:themeTint="BF"/>
          <w:bottom w:val="single" w:sz="8" w:space="0" w:color="DDE0E7" w:themeColor="accent6" w:themeTint="BF"/>
          <w:right w:val="single" w:sz="8" w:space="0" w:color="DDE0E7"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4F7" w:themeFill="accent6" w:themeFillTint="3F"/>
      </w:tcPr>
    </w:tblStylePr>
    <w:tblStylePr w:type="band1Horz">
      <w:tblPr/>
      <w:tcPr>
        <w:tcBorders>
          <w:insideH w:val="nil"/>
          <w:insideV w:val="nil"/>
        </w:tcBorders>
        <w:shd w:val="clear" w:color="auto" w:fill="F3F4F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355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355E" w:themeFill="accent1"/>
      </w:tcPr>
    </w:tblStylePr>
    <w:tblStylePr w:type="lastCol">
      <w:rPr>
        <w:b/>
        <w:bCs/>
        <w:color w:val="FFFFFF" w:themeColor="background1"/>
      </w:rPr>
      <w:tblPr/>
      <w:tcPr>
        <w:tcBorders>
          <w:left w:val="nil"/>
          <w:right w:val="nil"/>
          <w:insideH w:val="nil"/>
          <w:insideV w:val="nil"/>
        </w:tcBorders>
        <w:shd w:val="clear" w:color="auto" w:fill="1C355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4AEB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4AEBF" w:themeFill="accent2"/>
      </w:tcPr>
    </w:tblStylePr>
    <w:tblStylePr w:type="lastCol">
      <w:rPr>
        <w:b/>
        <w:bCs/>
        <w:color w:val="FFFFFF" w:themeColor="background1"/>
      </w:rPr>
      <w:tblPr/>
      <w:tcPr>
        <w:tcBorders>
          <w:left w:val="nil"/>
          <w:right w:val="nil"/>
          <w:insideH w:val="nil"/>
          <w:insideV w:val="nil"/>
        </w:tcBorders>
        <w:shd w:val="clear" w:color="auto" w:fill="A4AEB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929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49291" w:themeFill="accent3"/>
      </w:tcPr>
    </w:tblStylePr>
    <w:tblStylePr w:type="lastCol">
      <w:rPr>
        <w:b/>
        <w:bCs/>
        <w:color w:val="FFFFFF" w:themeColor="background1"/>
      </w:rPr>
      <w:tblPr/>
      <w:tcPr>
        <w:tcBorders>
          <w:left w:val="nil"/>
          <w:right w:val="nil"/>
          <w:insideH w:val="nil"/>
          <w:insideV w:val="nil"/>
        </w:tcBorders>
        <w:shd w:val="clear" w:color="auto" w:fill="94929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E3D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6E3DF" w:themeFill="accent4"/>
      </w:tcPr>
    </w:tblStylePr>
    <w:tblStylePr w:type="lastCol">
      <w:rPr>
        <w:b/>
        <w:bCs/>
        <w:color w:val="FFFFFF" w:themeColor="background1"/>
      </w:rPr>
      <w:tblPr/>
      <w:tcPr>
        <w:tcBorders>
          <w:left w:val="nil"/>
          <w:right w:val="nil"/>
          <w:insideH w:val="nil"/>
          <w:insideV w:val="nil"/>
        </w:tcBorders>
        <w:shd w:val="clear" w:color="auto" w:fill="E6E3D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C4A47"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C4A47" w:themeFill="accent5"/>
      </w:tcPr>
    </w:tblStylePr>
    <w:tblStylePr w:type="lastCol">
      <w:rPr>
        <w:b/>
        <w:bCs/>
        <w:color w:val="FFFFFF" w:themeColor="background1"/>
      </w:rPr>
      <w:tblPr/>
      <w:tcPr>
        <w:tcBorders>
          <w:left w:val="nil"/>
          <w:right w:val="nil"/>
          <w:insideH w:val="nil"/>
          <w:insideV w:val="nil"/>
        </w:tcBorders>
        <w:shd w:val="clear" w:color="auto" w:fill="4C4A4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2D7D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2D7DF" w:themeFill="accent6"/>
      </w:tcPr>
    </w:tblStylePr>
    <w:tblStylePr w:type="lastCol">
      <w:rPr>
        <w:b/>
        <w:bCs/>
        <w:color w:val="FFFFFF" w:themeColor="background1"/>
      </w:rPr>
      <w:tblPr/>
      <w:tcPr>
        <w:tcBorders>
          <w:left w:val="nil"/>
          <w:right w:val="nil"/>
          <w:insideH w:val="nil"/>
          <w:insideV w:val="nil"/>
        </w:tcBorders>
        <w:shd w:val="clear" w:color="auto" w:fill="D2D7D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semiHidden/>
    <w:rsid w:val="00A21B54"/>
    <w:pPr>
      <w:jc w:val="both"/>
    </w:pPr>
    <w:rPr>
      <w:rFonts w:asciiTheme="minorHAnsi" w:hAnsiTheme="minorHAnsi"/>
      <w:color w:val="000000"/>
      <w:sz w:val="22"/>
      <w:szCs w:val="22"/>
      <w:lang w:eastAsia="en-US"/>
    </w:rPr>
  </w:style>
  <w:style w:type="character" w:styleId="PlaceholderText">
    <w:name w:val="Placeholder Text"/>
    <w:basedOn w:val="DefaultParagraphFont"/>
    <w:uiPriority w:val="99"/>
    <w:semiHidden/>
    <w:rsid w:val="00A21B54"/>
    <w:rPr>
      <w:rFonts w:asciiTheme="minorHAnsi" w:hAnsiTheme="minorHAnsi"/>
      <w:color w:val="808080"/>
    </w:rPr>
  </w:style>
  <w:style w:type="paragraph" w:styleId="Quote0">
    <w:name w:val="Quote"/>
    <w:basedOn w:val="Normal"/>
    <w:next w:val="Normal"/>
    <w:link w:val="QuoteChar"/>
    <w:uiPriority w:val="29"/>
    <w:semiHidden/>
    <w:rsid w:val="00A21B54"/>
    <w:rPr>
      <w:i/>
      <w:iCs/>
      <w:color w:val="000000" w:themeColor="text1"/>
    </w:rPr>
  </w:style>
  <w:style w:type="character" w:customStyle="1" w:styleId="QuoteChar">
    <w:name w:val="Quote Char"/>
    <w:basedOn w:val="DefaultParagraphFont"/>
    <w:link w:val="Quote0"/>
    <w:uiPriority w:val="29"/>
    <w:semiHidden/>
    <w:rsid w:val="00A21B54"/>
    <w:rPr>
      <w:rFonts w:asciiTheme="minorHAnsi" w:hAnsiTheme="minorHAnsi"/>
      <w:i/>
      <w:iCs/>
      <w:color w:val="000000" w:themeColor="text1"/>
      <w:sz w:val="22"/>
      <w:szCs w:val="22"/>
      <w:lang w:eastAsia="en-US"/>
    </w:rPr>
  </w:style>
  <w:style w:type="character" w:styleId="SubtleEmphasis">
    <w:name w:val="Subtle Emphasis"/>
    <w:basedOn w:val="DefaultParagraphFont"/>
    <w:uiPriority w:val="19"/>
    <w:semiHidden/>
    <w:rsid w:val="00A21B54"/>
    <w:rPr>
      <w:rFonts w:asciiTheme="minorHAnsi" w:hAnsiTheme="minorHAnsi"/>
      <w:i/>
      <w:iCs/>
      <w:color w:val="808080" w:themeColor="text1" w:themeTint="7F"/>
    </w:rPr>
  </w:style>
  <w:style w:type="character" w:styleId="SubtleReference">
    <w:name w:val="Subtle Reference"/>
    <w:basedOn w:val="DefaultParagraphFont"/>
    <w:uiPriority w:val="31"/>
    <w:semiHidden/>
    <w:rsid w:val="00A21B54"/>
    <w:rPr>
      <w:rFonts w:asciiTheme="minorHAnsi" w:hAnsiTheme="minorHAnsi"/>
      <w:smallCaps/>
      <w:color w:val="A4AEBF" w:themeColor="accent2"/>
      <w:u w:val="single"/>
    </w:rPr>
  </w:style>
  <w:style w:type="paragraph" w:styleId="TOCHeading">
    <w:name w:val="TOC Heading"/>
    <w:basedOn w:val="Heading1"/>
    <w:next w:val="Normal"/>
    <w:uiPriority w:val="39"/>
    <w:unhideWhenUsed/>
    <w:qFormat/>
    <w:rsid w:val="00A21B54"/>
    <w:pPr>
      <w:keepLines/>
      <w:spacing w:before="480" w:after="0" w:line="240" w:lineRule="auto"/>
      <w:jc w:val="both"/>
      <w:outlineLvl w:val="9"/>
    </w:pPr>
    <w:rPr>
      <w:rFonts w:eastAsiaTheme="majorEastAsia" w:cstheme="majorBidi"/>
      <w:b w:val="0"/>
      <w:color w:val="152746" w:themeColor="accent1" w:themeShade="BF"/>
      <w:kern w:val="0"/>
      <w:szCs w:val="28"/>
    </w:rPr>
  </w:style>
  <w:style w:type="paragraph" w:customStyle="1" w:styleId="TableSource">
    <w:name w:val="_Table Source"/>
    <w:basedOn w:val="Normal"/>
    <w:qFormat/>
    <w:rsid w:val="00A21B54"/>
    <w:pPr>
      <w:spacing w:before="60" w:after="220"/>
      <w:jc w:val="left"/>
    </w:pPr>
    <w:rPr>
      <w:rFonts w:eastAsia="Times New Roman"/>
      <w:i/>
      <w:color w:val="auto"/>
      <w:sz w:val="14"/>
      <w:szCs w:val="24"/>
      <w:lang w:eastAsia="en-GB"/>
    </w:rPr>
  </w:style>
  <w:style w:type="paragraph" w:customStyle="1" w:styleId="HeaderLogo">
    <w:name w:val="__Header Logo"/>
    <w:basedOn w:val="NormalText"/>
    <w:semiHidden/>
    <w:rsid w:val="00EF5AD9"/>
    <w:pPr>
      <w:ind w:left="312"/>
    </w:pPr>
    <w:rPr>
      <w:noProof/>
    </w:rPr>
  </w:style>
  <w:style w:type="paragraph" w:customStyle="1" w:styleId="ReportRating">
    <w:name w:val="_Report Rating"/>
    <w:basedOn w:val="Thesis"/>
    <w:rsid w:val="00A21B54"/>
    <w:pPr>
      <w:spacing w:before="160" w:after="20" w:line="320" w:lineRule="atLeast"/>
      <w:contextualSpacing/>
      <w:jc w:val="right"/>
    </w:pPr>
    <w:rPr>
      <w:sz w:val="32"/>
    </w:rPr>
  </w:style>
  <w:style w:type="character" w:customStyle="1" w:styleId="Price">
    <w:name w:val="_Price"/>
    <w:basedOn w:val="DefaultParagraphFont"/>
    <w:uiPriority w:val="1"/>
    <w:qFormat/>
    <w:rsid w:val="00A21B54"/>
    <w:rPr>
      <w:b/>
    </w:rPr>
  </w:style>
  <w:style w:type="character" w:customStyle="1" w:styleId="DateChar">
    <w:name w:val="_Date Char"/>
    <w:basedOn w:val="DefaultParagraphFont"/>
    <w:uiPriority w:val="1"/>
    <w:rsid w:val="00A21B54"/>
    <w:rPr>
      <w:rFonts w:asciiTheme="minorHAnsi" w:hAnsiTheme="minorHAnsi"/>
      <w:b w:val="0"/>
      <w:color w:val="949291" w:themeColor="accent3"/>
      <w:sz w:val="24"/>
    </w:rPr>
  </w:style>
  <w:style w:type="paragraph" w:customStyle="1" w:styleId="ReportRatingChange">
    <w:name w:val="_Report Rating Change"/>
    <w:basedOn w:val="ReportRating"/>
    <w:qFormat/>
    <w:rsid w:val="00A21B54"/>
    <w:pPr>
      <w:spacing w:before="0" w:after="50" w:line="220" w:lineRule="atLeast"/>
    </w:pPr>
    <w:rPr>
      <w:sz w:val="22"/>
    </w:rPr>
  </w:style>
  <w:style w:type="paragraph" w:customStyle="1" w:styleId="AnalystEmail">
    <w:name w:val="_Analyst Email"/>
    <w:basedOn w:val="AnalystContact"/>
    <w:rsid w:val="00A21B54"/>
    <w:rPr>
      <w:sz w:val="18"/>
    </w:rPr>
  </w:style>
  <w:style w:type="paragraph" w:customStyle="1" w:styleId="TableText0">
    <w:name w:val="__Table Text"/>
    <w:rsid w:val="00EF5AD9"/>
    <w:rPr>
      <w:rFonts w:asciiTheme="minorHAnsi" w:hAnsiTheme="minorHAnsi"/>
      <w:color w:val="000000" w:themeColor="text1"/>
      <w:sz w:val="18"/>
      <w:szCs w:val="22"/>
      <w:lang w:eastAsia="en-US"/>
    </w:rPr>
  </w:style>
  <w:style w:type="table" w:customStyle="1" w:styleId="Dataholder">
    <w:name w:val="_Dataholder"/>
    <w:basedOn w:val="TableNormal"/>
    <w:uiPriority w:val="99"/>
    <w:rsid w:val="0094484E"/>
    <w:pPr>
      <w:spacing w:before="20" w:after="20" w:line="240" w:lineRule="atLeast"/>
      <w:ind w:right="28"/>
      <w:jc w:val="right"/>
    </w:pPr>
    <w:rPr>
      <w:sz w:val="18"/>
    </w:rPr>
    <w:tblPr>
      <w:tblStyleRowBandSize w:val="1"/>
      <w:tblCellMar>
        <w:left w:w="0" w:type="dxa"/>
        <w:right w:w="0" w:type="dxa"/>
      </w:tblCellMar>
    </w:tblPr>
    <w:tblStylePr w:type="firstRow">
      <w:rPr>
        <w:b/>
      </w:rPr>
      <w:tblPr/>
      <w:tcPr>
        <w:tcBorders>
          <w:bottom w:val="single" w:sz="8" w:space="0" w:color="auto"/>
        </w:tcBorders>
      </w:tcPr>
    </w:tblStylePr>
    <w:tblStylePr w:type="firstCol">
      <w:pPr>
        <w:jc w:val="left"/>
      </w:pPr>
    </w:tblStylePr>
    <w:tblStylePr w:type="band1Horz">
      <w:tblPr/>
      <w:tcPr>
        <w:shd w:val="clear" w:color="auto" w:fill="E6E3DF" w:themeFill="accent4"/>
      </w:tcPr>
    </w:tblStylePr>
  </w:style>
  <w:style w:type="paragraph" w:customStyle="1" w:styleId="ICBATableText">
    <w:name w:val="__ICBA Table Text"/>
    <w:semiHidden/>
    <w:rsid w:val="00EF5AD9"/>
    <w:pPr>
      <w:framePr w:w="7655" w:h="1134" w:wrap="around" w:vAnchor="page" w:hAnchor="text" w:yAlign="bottom"/>
      <w:spacing w:line="240" w:lineRule="atLeast"/>
    </w:pPr>
    <w:rPr>
      <w:rFonts w:asciiTheme="minorHAnsi" w:hAnsiTheme="minorHAnsi"/>
      <w:color w:val="000000" w:themeColor="text1"/>
      <w:sz w:val="18"/>
      <w:szCs w:val="22"/>
      <w:lang w:eastAsia="en-US"/>
    </w:rPr>
  </w:style>
  <w:style w:type="table" w:styleId="GridTable1Light">
    <w:name w:val="Grid Table 1 Light"/>
    <w:basedOn w:val="TableNormal"/>
    <w:uiPriority w:val="46"/>
    <w:rsid w:val="00A21B5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21B54"/>
    <w:tblPr>
      <w:tblStyleRowBandSize w:val="1"/>
      <w:tblStyleColBandSize w:val="1"/>
      <w:tblBorders>
        <w:top w:val="single" w:sz="4" w:space="0" w:color="87A6DB" w:themeColor="accent1" w:themeTint="66"/>
        <w:left w:val="single" w:sz="4" w:space="0" w:color="87A6DB" w:themeColor="accent1" w:themeTint="66"/>
        <w:bottom w:val="single" w:sz="4" w:space="0" w:color="87A6DB" w:themeColor="accent1" w:themeTint="66"/>
        <w:right w:val="single" w:sz="4" w:space="0" w:color="87A6DB" w:themeColor="accent1" w:themeTint="66"/>
        <w:insideH w:val="single" w:sz="4" w:space="0" w:color="87A6DB" w:themeColor="accent1" w:themeTint="66"/>
        <w:insideV w:val="single" w:sz="4" w:space="0" w:color="87A6DB" w:themeColor="accent1" w:themeTint="66"/>
      </w:tblBorders>
    </w:tblPr>
    <w:tblStylePr w:type="firstRow">
      <w:rPr>
        <w:b/>
        <w:bCs/>
      </w:rPr>
      <w:tblPr/>
      <w:tcPr>
        <w:tcBorders>
          <w:bottom w:val="single" w:sz="12" w:space="0" w:color="4B7AC9" w:themeColor="accent1" w:themeTint="99"/>
        </w:tcBorders>
      </w:tcPr>
    </w:tblStylePr>
    <w:tblStylePr w:type="lastRow">
      <w:rPr>
        <w:b/>
        <w:bCs/>
      </w:rPr>
      <w:tblPr/>
      <w:tcPr>
        <w:tcBorders>
          <w:top w:val="double" w:sz="2" w:space="0" w:color="4B7AC9"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21B54"/>
    <w:tblPr>
      <w:tblStyleRowBandSize w:val="1"/>
      <w:tblStyleColBandSize w:val="1"/>
      <w:tblBorders>
        <w:top w:val="single" w:sz="4" w:space="0" w:color="DADEE5" w:themeColor="accent2" w:themeTint="66"/>
        <w:left w:val="single" w:sz="4" w:space="0" w:color="DADEE5" w:themeColor="accent2" w:themeTint="66"/>
        <w:bottom w:val="single" w:sz="4" w:space="0" w:color="DADEE5" w:themeColor="accent2" w:themeTint="66"/>
        <w:right w:val="single" w:sz="4" w:space="0" w:color="DADEE5" w:themeColor="accent2" w:themeTint="66"/>
        <w:insideH w:val="single" w:sz="4" w:space="0" w:color="DADEE5" w:themeColor="accent2" w:themeTint="66"/>
        <w:insideV w:val="single" w:sz="4" w:space="0" w:color="DADEE5" w:themeColor="accent2" w:themeTint="66"/>
      </w:tblBorders>
    </w:tblPr>
    <w:tblStylePr w:type="firstRow">
      <w:rPr>
        <w:b/>
        <w:bCs/>
      </w:rPr>
      <w:tblPr/>
      <w:tcPr>
        <w:tcBorders>
          <w:bottom w:val="single" w:sz="12" w:space="0" w:color="C8CED8" w:themeColor="accent2" w:themeTint="99"/>
        </w:tcBorders>
      </w:tcPr>
    </w:tblStylePr>
    <w:tblStylePr w:type="lastRow">
      <w:rPr>
        <w:b/>
        <w:bCs/>
      </w:rPr>
      <w:tblPr/>
      <w:tcPr>
        <w:tcBorders>
          <w:top w:val="double" w:sz="2" w:space="0" w:color="C8CED8"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21B54"/>
    <w:tblPr>
      <w:tblStyleRowBandSize w:val="1"/>
      <w:tblStyleColBandSize w:val="1"/>
      <w:tblBorders>
        <w:top w:val="single" w:sz="4" w:space="0" w:color="D4D3D2" w:themeColor="accent3" w:themeTint="66"/>
        <w:left w:val="single" w:sz="4" w:space="0" w:color="D4D3D2" w:themeColor="accent3" w:themeTint="66"/>
        <w:bottom w:val="single" w:sz="4" w:space="0" w:color="D4D3D2" w:themeColor="accent3" w:themeTint="66"/>
        <w:right w:val="single" w:sz="4" w:space="0" w:color="D4D3D2" w:themeColor="accent3" w:themeTint="66"/>
        <w:insideH w:val="single" w:sz="4" w:space="0" w:color="D4D3D2" w:themeColor="accent3" w:themeTint="66"/>
        <w:insideV w:val="single" w:sz="4" w:space="0" w:color="D4D3D2" w:themeColor="accent3" w:themeTint="66"/>
      </w:tblBorders>
    </w:tblPr>
    <w:tblStylePr w:type="firstRow">
      <w:rPr>
        <w:b/>
        <w:bCs/>
      </w:rPr>
      <w:tblPr/>
      <w:tcPr>
        <w:tcBorders>
          <w:bottom w:val="single" w:sz="12" w:space="0" w:color="BEBDBC" w:themeColor="accent3" w:themeTint="99"/>
        </w:tcBorders>
      </w:tcPr>
    </w:tblStylePr>
    <w:tblStylePr w:type="lastRow">
      <w:rPr>
        <w:b/>
        <w:bCs/>
      </w:rPr>
      <w:tblPr/>
      <w:tcPr>
        <w:tcBorders>
          <w:top w:val="double" w:sz="2" w:space="0" w:color="BEBDBC"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21B54"/>
    <w:tblPr>
      <w:tblStyleRowBandSize w:val="1"/>
      <w:tblStyleColBandSize w:val="1"/>
      <w:tblBorders>
        <w:top w:val="single" w:sz="4" w:space="0" w:color="F5F3F2" w:themeColor="accent4" w:themeTint="66"/>
        <w:left w:val="single" w:sz="4" w:space="0" w:color="F5F3F2" w:themeColor="accent4" w:themeTint="66"/>
        <w:bottom w:val="single" w:sz="4" w:space="0" w:color="F5F3F2" w:themeColor="accent4" w:themeTint="66"/>
        <w:right w:val="single" w:sz="4" w:space="0" w:color="F5F3F2" w:themeColor="accent4" w:themeTint="66"/>
        <w:insideH w:val="single" w:sz="4" w:space="0" w:color="F5F3F2" w:themeColor="accent4" w:themeTint="66"/>
        <w:insideV w:val="single" w:sz="4" w:space="0" w:color="F5F3F2" w:themeColor="accent4" w:themeTint="66"/>
      </w:tblBorders>
    </w:tblPr>
    <w:tblStylePr w:type="firstRow">
      <w:rPr>
        <w:b/>
        <w:bCs/>
      </w:rPr>
      <w:tblPr/>
      <w:tcPr>
        <w:tcBorders>
          <w:bottom w:val="single" w:sz="12" w:space="0" w:color="F0EEEB" w:themeColor="accent4" w:themeTint="99"/>
        </w:tcBorders>
      </w:tcPr>
    </w:tblStylePr>
    <w:tblStylePr w:type="lastRow">
      <w:rPr>
        <w:b/>
        <w:bCs/>
      </w:rPr>
      <w:tblPr/>
      <w:tcPr>
        <w:tcBorders>
          <w:top w:val="double" w:sz="2" w:space="0" w:color="F0EEE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21B54"/>
    <w:tblPr>
      <w:tblStyleRowBandSize w:val="1"/>
      <w:tblStyleColBandSize w:val="1"/>
      <w:tblBorders>
        <w:top w:val="single" w:sz="4" w:space="0" w:color="B8B6B3" w:themeColor="accent5" w:themeTint="66"/>
        <w:left w:val="single" w:sz="4" w:space="0" w:color="B8B6B3" w:themeColor="accent5" w:themeTint="66"/>
        <w:bottom w:val="single" w:sz="4" w:space="0" w:color="B8B6B3" w:themeColor="accent5" w:themeTint="66"/>
        <w:right w:val="single" w:sz="4" w:space="0" w:color="B8B6B3" w:themeColor="accent5" w:themeTint="66"/>
        <w:insideH w:val="single" w:sz="4" w:space="0" w:color="B8B6B3" w:themeColor="accent5" w:themeTint="66"/>
        <w:insideV w:val="single" w:sz="4" w:space="0" w:color="B8B6B3" w:themeColor="accent5" w:themeTint="66"/>
      </w:tblBorders>
    </w:tblPr>
    <w:tblStylePr w:type="firstRow">
      <w:rPr>
        <w:b/>
        <w:bCs/>
      </w:rPr>
      <w:tblPr/>
      <w:tcPr>
        <w:tcBorders>
          <w:bottom w:val="single" w:sz="12" w:space="0" w:color="95928E" w:themeColor="accent5" w:themeTint="99"/>
        </w:tcBorders>
      </w:tcPr>
    </w:tblStylePr>
    <w:tblStylePr w:type="lastRow">
      <w:rPr>
        <w:b/>
        <w:bCs/>
      </w:rPr>
      <w:tblPr/>
      <w:tcPr>
        <w:tcBorders>
          <w:top w:val="double" w:sz="2" w:space="0" w:color="95928E"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21B54"/>
    <w:tblPr>
      <w:tblStyleRowBandSize w:val="1"/>
      <w:tblStyleColBandSize w:val="1"/>
      <w:tblBorders>
        <w:top w:val="single" w:sz="4" w:space="0" w:color="ECEEF2" w:themeColor="accent6" w:themeTint="66"/>
        <w:left w:val="single" w:sz="4" w:space="0" w:color="ECEEF2" w:themeColor="accent6" w:themeTint="66"/>
        <w:bottom w:val="single" w:sz="4" w:space="0" w:color="ECEEF2" w:themeColor="accent6" w:themeTint="66"/>
        <w:right w:val="single" w:sz="4" w:space="0" w:color="ECEEF2" w:themeColor="accent6" w:themeTint="66"/>
        <w:insideH w:val="single" w:sz="4" w:space="0" w:color="ECEEF2" w:themeColor="accent6" w:themeTint="66"/>
        <w:insideV w:val="single" w:sz="4" w:space="0" w:color="ECEEF2" w:themeColor="accent6" w:themeTint="66"/>
      </w:tblBorders>
    </w:tblPr>
    <w:tblStylePr w:type="firstRow">
      <w:rPr>
        <w:b/>
        <w:bCs/>
      </w:rPr>
      <w:tblPr/>
      <w:tcPr>
        <w:tcBorders>
          <w:bottom w:val="single" w:sz="12" w:space="0" w:color="E3E6EB" w:themeColor="accent6" w:themeTint="99"/>
        </w:tcBorders>
      </w:tcPr>
    </w:tblStylePr>
    <w:tblStylePr w:type="lastRow">
      <w:rPr>
        <w:b/>
        <w:bCs/>
      </w:rPr>
      <w:tblPr/>
      <w:tcPr>
        <w:tcBorders>
          <w:top w:val="double" w:sz="2" w:space="0" w:color="E3E6EB"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A21B54"/>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A21B54"/>
    <w:tblPr>
      <w:tblStyleRowBandSize w:val="1"/>
      <w:tblStyleColBandSize w:val="1"/>
      <w:tblBorders>
        <w:top w:val="single" w:sz="2" w:space="0" w:color="4B7AC9" w:themeColor="accent1" w:themeTint="99"/>
        <w:bottom w:val="single" w:sz="2" w:space="0" w:color="4B7AC9" w:themeColor="accent1" w:themeTint="99"/>
        <w:insideH w:val="single" w:sz="2" w:space="0" w:color="4B7AC9" w:themeColor="accent1" w:themeTint="99"/>
        <w:insideV w:val="single" w:sz="2" w:space="0" w:color="4B7AC9" w:themeColor="accent1" w:themeTint="99"/>
      </w:tblBorders>
    </w:tblPr>
    <w:tblStylePr w:type="firstRow">
      <w:rPr>
        <w:b/>
        <w:bCs/>
      </w:rPr>
      <w:tblPr/>
      <w:tcPr>
        <w:tcBorders>
          <w:top w:val="nil"/>
          <w:bottom w:val="single" w:sz="12" w:space="0" w:color="4B7AC9" w:themeColor="accent1" w:themeTint="99"/>
          <w:insideH w:val="nil"/>
          <w:insideV w:val="nil"/>
        </w:tcBorders>
        <w:shd w:val="clear" w:color="auto" w:fill="FFFFFF" w:themeFill="background1"/>
      </w:tcPr>
    </w:tblStylePr>
    <w:tblStylePr w:type="lastRow">
      <w:rPr>
        <w:b/>
        <w:bCs/>
      </w:rPr>
      <w:tblPr/>
      <w:tcPr>
        <w:tcBorders>
          <w:top w:val="double" w:sz="2" w:space="0" w:color="4B7AC9"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GridTable2-Accent2">
    <w:name w:val="Grid Table 2 Accent 2"/>
    <w:basedOn w:val="TableNormal"/>
    <w:uiPriority w:val="47"/>
    <w:rsid w:val="00A21B54"/>
    <w:tblPr>
      <w:tblStyleRowBandSize w:val="1"/>
      <w:tblStyleColBandSize w:val="1"/>
      <w:tblBorders>
        <w:top w:val="single" w:sz="2" w:space="0" w:color="C8CED8" w:themeColor="accent2" w:themeTint="99"/>
        <w:bottom w:val="single" w:sz="2" w:space="0" w:color="C8CED8" w:themeColor="accent2" w:themeTint="99"/>
        <w:insideH w:val="single" w:sz="2" w:space="0" w:color="C8CED8" w:themeColor="accent2" w:themeTint="99"/>
        <w:insideV w:val="single" w:sz="2" w:space="0" w:color="C8CED8" w:themeColor="accent2" w:themeTint="99"/>
      </w:tblBorders>
    </w:tblPr>
    <w:tblStylePr w:type="firstRow">
      <w:rPr>
        <w:b/>
        <w:bCs/>
      </w:rPr>
      <w:tblPr/>
      <w:tcPr>
        <w:tcBorders>
          <w:top w:val="nil"/>
          <w:bottom w:val="single" w:sz="12" w:space="0" w:color="C8CED8" w:themeColor="accent2" w:themeTint="99"/>
          <w:insideH w:val="nil"/>
          <w:insideV w:val="nil"/>
        </w:tcBorders>
        <w:shd w:val="clear" w:color="auto" w:fill="FFFFFF" w:themeFill="background1"/>
      </w:tcPr>
    </w:tblStylePr>
    <w:tblStylePr w:type="lastRow">
      <w:rPr>
        <w:b/>
        <w:bCs/>
      </w:rPr>
      <w:tblPr/>
      <w:tcPr>
        <w:tcBorders>
          <w:top w:val="double" w:sz="2" w:space="0" w:color="C8CED8"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GridTable2-Accent3">
    <w:name w:val="Grid Table 2 Accent 3"/>
    <w:basedOn w:val="TableNormal"/>
    <w:uiPriority w:val="47"/>
    <w:rsid w:val="00A21B54"/>
    <w:tblPr>
      <w:tblStyleRowBandSize w:val="1"/>
      <w:tblStyleColBandSize w:val="1"/>
      <w:tblBorders>
        <w:top w:val="single" w:sz="2" w:space="0" w:color="BEBDBC" w:themeColor="accent3" w:themeTint="99"/>
        <w:bottom w:val="single" w:sz="2" w:space="0" w:color="BEBDBC" w:themeColor="accent3" w:themeTint="99"/>
        <w:insideH w:val="single" w:sz="2" w:space="0" w:color="BEBDBC" w:themeColor="accent3" w:themeTint="99"/>
        <w:insideV w:val="single" w:sz="2" w:space="0" w:color="BEBDBC" w:themeColor="accent3" w:themeTint="99"/>
      </w:tblBorders>
    </w:tblPr>
    <w:tblStylePr w:type="firstRow">
      <w:rPr>
        <w:b/>
        <w:bCs/>
      </w:rPr>
      <w:tblPr/>
      <w:tcPr>
        <w:tcBorders>
          <w:top w:val="nil"/>
          <w:bottom w:val="single" w:sz="12" w:space="0" w:color="BEBDBC" w:themeColor="accent3" w:themeTint="99"/>
          <w:insideH w:val="nil"/>
          <w:insideV w:val="nil"/>
        </w:tcBorders>
        <w:shd w:val="clear" w:color="auto" w:fill="FFFFFF" w:themeFill="background1"/>
      </w:tcPr>
    </w:tblStylePr>
    <w:tblStylePr w:type="lastRow">
      <w:rPr>
        <w:b/>
        <w:bCs/>
      </w:rPr>
      <w:tblPr/>
      <w:tcPr>
        <w:tcBorders>
          <w:top w:val="double" w:sz="2" w:space="0" w:color="BEBDB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GridTable2-Accent4">
    <w:name w:val="Grid Table 2 Accent 4"/>
    <w:basedOn w:val="TableNormal"/>
    <w:uiPriority w:val="47"/>
    <w:rsid w:val="00A21B54"/>
    <w:tblPr>
      <w:tblStyleRowBandSize w:val="1"/>
      <w:tblStyleColBandSize w:val="1"/>
      <w:tblBorders>
        <w:top w:val="single" w:sz="2" w:space="0" w:color="F0EEEB" w:themeColor="accent4" w:themeTint="99"/>
        <w:bottom w:val="single" w:sz="2" w:space="0" w:color="F0EEEB" w:themeColor="accent4" w:themeTint="99"/>
        <w:insideH w:val="single" w:sz="2" w:space="0" w:color="F0EEEB" w:themeColor="accent4" w:themeTint="99"/>
        <w:insideV w:val="single" w:sz="2" w:space="0" w:color="F0EEEB" w:themeColor="accent4" w:themeTint="99"/>
      </w:tblBorders>
    </w:tblPr>
    <w:tblStylePr w:type="firstRow">
      <w:rPr>
        <w:b/>
        <w:bCs/>
      </w:rPr>
      <w:tblPr/>
      <w:tcPr>
        <w:tcBorders>
          <w:top w:val="nil"/>
          <w:bottom w:val="single" w:sz="12" w:space="0" w:color="F0EEEB" w:themeColor="accent4" w:themeTint="99"/>
          <w:insideH w:val="nil"/>
          <w:insideV w:val="nil"/>
        </w:tcBorders>
        <w:shd w:val="clear" w:color="auto" w:fill="FFFFFF" w:themeFill="background1"/>
      </w:tcPr>
    </w:tblStylePr>
    <w:tblStylePr w:type="lastRow">
      <w:rPr>
        <w:b/>
        <w:bCs/>
      </w:rPr>
      <w:tblPr/>
      <w:tcPr>
        <w:tcBorders>
          <w:top w:val="double" w:sz="2" w:space="0" w:color="F0EEE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GridTable2-Accent5">
    <w:name w:val="Grid Table 2 Accent 5"/>
    <w:basedOn w:val="TableNormal"/>
    <w:uiPriority w:val="47"/>
    <w:rsid w:val="00A21B54"/>
    <w:tblPr>
      <w:tblStyleRowBandSize w:val="1"/>
      <w:tblStyleColBandSize w:val="1"/>
      <w:tblBorders>
        <w:top w:val="single" w:sz="2" w:space="0" w:color="95928E" w:themeColor="accent5" w:themeTint="99"/>
        <w:bottom w:val="single" w:sz="2" w:space="0" w:color="95928E" w:themeColor="accent5" w:themeTint="99"/>
        <w:insideH w:val="single" w:sz="2" w:space="0" w:color="95928E" w:themeColor="accent5" w:themeTint="99"/>
        <w:insideV w:val="single" w:sz="2" w:space="0" w:color="95928E" w:themeColor="accent5" w:themeTint="99"/>
      </w:tblBorders>
    </w:tblPr>
    <w:tblStylePr w:type="firstRow">
      <w:rPr>
        <w:b/>
        <w:bCs/>
      </w:rPr>
      <w:tblPr/>
      <w:tcPr>
        <w:tcBorders>
          <w:top w:val="nil"/>
          <w:bottom w:val="single" w:sz="12" w:space="0" w:color="95928E" w:themeColor="accent5" w:themeTint="99"/>
          <w:insideH w:val="nil"/>
          <w:insideV w:val="nil"/>
        </w:tcBorders>
        <w:shd w:val="clear" w:color="auto" w:fill="FFFFFF" w:themeFill="background1"/>
      </w:tcPr>
    </w:tblStylePr>
    <w:tblStylePr w:type="lastRow">
      <w:rPr>
        <w:b/>
        <w:bCs/>
      </w:rPr>
      <w:tblPr/>
      <w:tcPr>
        <w:tcBorders>
          <w:top w:val="double" w:sz="2" w:space="0" w:color="95928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GridTable2-Accent6">
    <w:name w:val="Grid Table 2 Accent 6"/>
    <w:basedOn w:val="TableNormal"/>
    <w:uiPriority w:val="47"/>
    <w:rsid w:val="00A21B54"/>
    <w:tblPr>
      <w:tblStyleRowBandSize w:val="1"/>
      <w:tblStyleColBandSize w:val="1"/>
      <w:tblBorders>
        <w:top w:val="single" w:sz="2" w:space="0" w:color="E3E6EB" w:themeColor="accent6" w:themeTint="99"/>
        <w:bottom w:val="single" w:sz="2" w:space="0" w:color="E3E6EB" w:themeColor="accent6" w:themeTint="99"/>
        <w:insideH w:val="single" w:sz="2" w:space="0" w:color="E3E6EB" w:themeColor="accent6" w:themeTint="99"/>
        <w:insideV w:val="single" w:sz="2" w:space="0" w:color="E3E6EB" w:themeColor="accent6" w:themeTint="99"/>
      </w:tblBorders>
    </w:tblPr>
    <w:tblStylePr w:type="firstRow">
      <w:rPr>
        <w:b/>
        <w:bCs/>
      </w:rPr>
      <w:tblPr/>
      <w:tcPr>
        <w:tcBorders>
          <w:top w:val="nil"/>
          <w:bottom w:val="single" w:sz="12" w:space="0" w:color="E3E6EB" w:themeColor="accent6" w:themeTint="99"/>
          <w:insideH w:val="nil"/>
          <w:insideV w:val="nil"/>
        </w:tcBorders>
        <w:shd w:val="clear" w:color="auto" w:fill="FFFFFF" w:themeFill="background1"/>
      </w:tcPr>
    </w:tblStylePr>
    <w:tblStylePr w:type="lastRow">
      <w:rPr>
        <w:b/>
        <w:bCs/>
      </w:rPr>
      <w:tblPr/>
      <w:tcPr>
        <w:tcBorders>
          <w:top w:val="double" w:sz="2" w:space="0" w:color="E3E6E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GridTable3">
    <w:name w:val="Grid Table 3"/>
    <w:basedOn w:val="TableNormal"/>
    <w:uiPriority w:val="48"/>
    <w:rsid w:val="00A21B5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A21B54"/>
    <w:tblPr>
      <w:tblStyleRowBandSize w:val="1"/>
      <w:tblStyleColBandSize w:val="1"/>
      <w:tblBorders>
        <w:top w:val="single" w:sz="4" w:space="0" w:color="4B7AC9" w:themeColor="accent1" w:themeTint="99"/>
        <w:left w:val="single" w:sz="4" w:space="0" w:color="4B7AC9" w:themeColor="accent1" w:themeTint="99"/>
        <w:bottom w:val="single" w:sz="4" w:space="0" w:color="4B7AC9" w:themeColor="accent1" w:themeTint="99"/>
        <w:right w:val="single" w:sz="4" w:space="0" w:color="4B7AC9" w:themeColor="accent1" w:themeTint="99"/>
        <w:insideH w:val="single" w:sz="4" w:space="0" w:color="4B7AC9" w:themeColor="accent1" w:themeTint="99"/>
        <w:insideV w:val="single" w:sz="4" w:space="0" w:color="4B7AC9"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D2ED" w:themeFill="accent1" w:themeFillTint="33"/>
      </w:tcPr>
    </w:tblStylePr>
    <w:tblStylePr w:type="band1Horz">
      <w:tblPr/>
      <w:tcPr>
        <w:shd w:val="clear" w:color="auto" w:fill="C3D2ED" w:themeFill="accent1" w:themeFillTint="33"/>
      </w:tcPr>
    </w:tblStylePr>
    <w:tblStylePr w:type="neCell">
      <w:tblPr/>
      <w:tcPr>
        <w:tcBorders>
          <w:bottom w:val="single" w:sz="4" w:space="0" w:color="4B7AC9" w:themeColor="accent1" w:themeTint="99"/>
        </w:tcBorders>
      </w:tcPr>
    </w:tblStylePr>
    <w:tblStylePr w:type="nwCell">
      <w:tblPr/>
      <w:tcPr>
        <w:tcBorders>
          <w:bottom w:val="single" w:sz="4" w:space="0" w:color="4B7AC9" w:themeColor="accent1" w:themeTint="99"/>
        </w:tcBorders>
      </w:tcPr>
    </w:tblStylePr>
    <w:tblStylePr w:type="seCell">
      <w:tblPr/>
      <w:tcPr>
        <w:tcBorders>
          <w:top w:val="single" w:sz="4" w:space="0" w:color="4B7AC9" w:themeColor="accent1" w:themeTint="99"/>
        </w:tcBorders>
      </w:tcPr>
    </w:tblStylePr>
    <w:tblStylePr w:type="swCell">
      <w:tblPr/>
      <w:tcPr>
        <w:tcBorders>
          <w:top w:val="single" w:sz="4" w:space="0" w:color="4B7AC9" w:themeColor="accent1" w:themeTint="99"/>
        </w:tcBorders>
      </w:tcPr>
    </w:tblStylePr>
  </w:style>
  <w:style w:type="table" w:styleId="GridTable3-Accent2">
    <w:name w:val="Grid Table 3 Accent 2"/>
    <w:basedOn w:val="TableNormal"/>
    <w:uiPriority w:val="48"/>
    <w:rsid w:val="00A21B54"/>
    <w:tblPr>
      <w:tblStyleRowBandSize w:val="1"/>
      <w:tblStyleColBandSize w:val="1"/>
      <w:tblBorders>
        <w:top w:val="single" w:sz="4" w:space="0" w:color="C8CED8" w:themeColor="accent2" w:themeTint="99"/>
        <w:left w:val="single" w:sz="4" w:space="0" w:color="C8CED8" w:themeColor="accent2" w:themeTint="99"/>
        <w:bottom w:val="single" w:sz="4" w:space="0" w:color="C8CED8" w:themeColor="accent2" w:themeTint="99"/>
        <w:right w:val="single" w:sz="4" w:space="0" w:color="C8CED8" w:themeColor="accent2" w:themeTint="99"/>
        <w:insideH w:val="single" w:sz="4" w:space="0" w:color="C8CED8" w:themeColor="accent2" w:themeTint="99"/>
        <w:insideV w:val="single" w:sz="4" w:space="0" w:color="C8CED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EEF2" w:themeFill="accent2" w:themeFillTint="33"/>
      </w:tcPr>
    </w:tblStylePr>
    <w:tblStylePr w:type="band1Horz">
      <w:tblPr/>
      <w:tcPr>
        <w:shd w:val="clear" w:color="auto" w:fill="ECEEF2" w:themeFill="accent2" w:themeFillTint="33"/>
      </w:tcPr>
    </w:tblStylePr>
    <w:tblStylePr w:type="neCell">
      <w:tblPr/>
      <w:tcPr>
        <w:tcBorders>
          <w:bottom w:val="single" w:sz="4" w:space="0" w:color="C8CED8" w:themeColor="accent2" w:themeTint="99"/>
        </w:tcBorders>
      </w:tcPr>
    </w:tblStylePr>
    <w:tblStylePr w:type="nwCell">
      <w:tblPr/>
      <w:tcPr>
        <w:tcBorders>
          <w:bottom w:val="single" w:sz="4" w:space="0" w:color="C8CED8" w:themeColor="accent2" w:themeTint="99"/>
        </w:tcBorders>
      </w:tcPr>
    </w:tblStylePr>
    <w:tblStylePr w:type="seCell">
      <w:tblPr/>
      <w:tcPr>
        <w:tcBorders>
          <w:top w:val="single" w:sz="4" w:space="0" w:color="C8CED8" w:themeColor="accent2" w:themeTint="99"/>
        </w:tcBorders>
      </w:tcPr>
    </w:tblStylePr>
    <w:tblStylePr w:type="swCell">
      <w:tblPr/>
      <w:tcPr>
        <w:tcBorders>
          <w:top w:val="single" w:sz="4" w:space="0" w:color="C8CED8" w:themeColor="accent2" w:themeTint="99"/>
        </w:tcBorders>
      </w:tcPr>
    </w:tblStylePr>
  </w:style>
  <w:style w:type="table" w:styleId="GridTable3-Accent3">
    <w:name w:val="Grid Table 3 Accent 3"/>
    <w:basedOn w:val="TableNormal"/>
    <w:uiPriority w:val="48"/>
    <w:rsid w:val="00A21B54"/>
    <w:tblPr>
      <w:tblStyleRowBandSize w:val="1"/>
      <w:tblStyleColBandSize w:val="1"/>
      <w:tblBorders>
        <w:top w:val="single" w:sz="4" w:space="0" w:color="BEBDBC" w:themeColor="accent3" w:themeTint="99"/>
        <w:left w:val="single" w:sz="4" w:space="0" w:color="BEBDBC" w:themeColor="accent3" w:themeTint="99"/>
        <w:bottom w:val="single" w:sz="4" w:space="0" w:color="BEBDBC" w:themeColor="accent3" w:themeTint="99"/>
        <w:right w:val="single" w:sz="4" w:space="0" w:color="BEBDBC" w:themeColor="accent3" w:themeTint="99"/>
        <w:insideH w:val="single" w:sz="4" w:space="0" w:color="BEBDBC" w:themeColor="accent3" w:themeTint="99"/>
        <w:insideV w:val="single" w:sz="4" w:space="0" w:color="BEBDB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E9E8" w:themeFill="accent3" w:themeFillTint="33"/>
      </w:tcPr>
    </w:tblStylePr>
    <w:tblStylePr w:type="band1Horz">
      <w:tblPr/>
      <w:tcPr>
        <w:shd w:val="clear" w:color="auto" w:fill="E9E9E8" w:themeFill="accent3" w:themeFillTint="33"/>
      </w:tcPr>
    </w:tblStylePr>
    <w:tblStylePr w:type="neCell">
      <w:tblPr/>
      <w:tcPr>
        <w:tcBorders>
          <w:bottom w:val="single" w:sz="4" w:space="0" w:color="BEBDBC" w:themeColor="accent3" w:themeTint="99"/>
        </w:tcBorders>
      </w:tcPr>
    </w:tblStylePr>
    <w:tblStylePr w:type="nwCell">
      <w:tblPr/>
      <w:tcPr>
        <w:tcBorders>
          <w:bottom w:val="single" w:sz="4" w:space="0" w:color="BEBDBC" w:themeColor="accent3" w:themeTint="99"/>
        </w:tcBorders>
      </w:tcPr>
    </w:tblStylePr>
    <w:tblStylePr w:type="seCell">
      <w:tblPr/>
      <w:tcPr>
        <w:tcBorders>
          <w:top w:val="single" w:sz="4" w:space="0" w:color="BEBDBC" w:themeColor="accent3" w:themeTint="99"/>
        </w:tcBorders>
      </w:tcPr>
    </w:tblStylePr>
    <w:tblStylePr w:type="swCell">
      <w:tblPr/>
      <w:tcPr>
        <w:tcBorders>
          <w:top w:val="single" w:sz="4" w:space="0" w:color="BEBDBC" w:themeColor="accent3" w:themeTint="99"/>
        </w:tcBorders>
      </w:tcPr>
    </w:tblStylePr>
  </w:style>
  <w:style w:type="table" w:styleId="GridTable3-Accent4">
    <w:name w:val="Grid Table 3 Accent 4"/>
    <w:basedOn w:val="TableNormal"/>
    <w:uiPriority w:val="48"/>
    <w:rsid w:val="00A21B54"/>
    <w:tblPr>
      <w:tblStyleRowBandSize w:val="1"/>
      <w:tblStyleColBandSize w:val="1"/>
      <w:tblBorders>
        <w:top w:val="single" w:sz="4" w:space="0" w:color="F0EEEB" w:themeColor="accent4" w:themeTint="99"/>
        <w:left w:val="single" w:sz="4" w:space="0" w:color="F0EEEB" w:themeColor="accent4" w:themeTint="99"/>
        <w:bottom w:val="single" w:sz="4" w:space="0" w:color="F0EEEB" w:themeColor="accent4" w:themeTint="99"/>
        <w:right w:val="single" w:sz="4" w:space="0" w:color="F0EEEB" w:themeColor="accent4" w:themeTint="99"/>
        <w:insideH w:val="single" w:sz="4" w:space="0" w:color="F0EEEB" w:themeColor="accent4" w:themeTint="99"/>
        <w:insideV w:val="single" w:sz="4" w:space="0" w:color="F0EEE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9F8" w:themeFill="accent4" w:themeFillTint="33"/>
      </w:tcPr>
    </w:tblStylePr>
    <w:tblStylePr w:type="band1Horz">
      <w:tblPr/>
      <w:tcPr>
        <w:shd w:val="clear" w:color="auto" w:fill="FAF9F8" w:themeFill="accent4" w:themeFillTint="33"/>
      </w:tcPr>
    </w:tblStylePr>
    <w:tblStylePr w:type="neCell">
      <w:tblPr/>
      <w:tcPr>
        <w:tcBorders>
          <w:bottom w:val="single" w:sz="4" w:space="0" w:color="F0EEEB" w:themeColor="accent4" w:themeTint="99"/>
        </w:tcBorders>
      </w:tcPr>
    </w:tblStylePr>
    <w:tblStylePr w:type="nwCell">
      <w:tblPr/>
      <w:tcPr>
        <w:tcBorders>
          <w:bottom w:val="single" w:sz="4" w:space="0" w:color="F0EEEB" w:themeColor="accent4" w:themeTint="99"/>
        </w:tcBorders>
      </w:tcPr>
    </w:tblStylePr>
    <w:tblStylePr w:type="seCell">
      <w:tblPr/>
      <w:tcPr>
        <w:tcBorders>
          <w:top w:val="single" w:sz="4" w:space="0" w:color="F0EEEB" w:themeColor="accent4" w:themeTint="99"/>
        </w:tcBorders>
      </w:tcPr>
    </w:tblStylePr>
    <w:tblStylePr w:type="swCell">
      <w:tblPr/>
      <w:tcPr>
        <w:tcBorders>
          <w:top w:val="single" w:sz="4" w:space="0" w:color="F0EEEB" w:themeColor="accent4" w:themeTint="99"/>
        </w:tcBorders>
      </w:tcPr>
    </w:tblStylePr>
  </w:style>
  <w:style w:type="table" w:styleId="GridTable3-Accent5">
    <w:name w:val="Grid Table 3 Accent 5"/>
    <w:basedOn w:val="TableNormal"/>
    <w:uiPriority w:val="48"/>
    <w:rsid w:val="00A21B54"/>
    <w:tblPr>
      <w:tblStyleRowBandSize w:val="1"/>
      <w:tblStyleColBandSize w:val="1"/>
      <w:tblBorders>
        <w:top w:val="single" w:sz="4" w:space="0" w:color="95928E" w:themeColor="accent5" w:themeTint="99"/>
        <w:left w:val="single" w:sz="4" w:space="0" w:color="95928E" w:themeColor="accent5" w:themeTint="99"/>
        <w:bottom w:val="single" w:sz="4" w:space="0" w:color="95928E" w:themeColor="accent5" w:themeTint="99"/>
        <w:right w:val="single" w:sz="4" w:space="0" w:color="95928E" w:themeColor="accent5" w:themeTint="99"/>
        <w:insideH w:val="single" w:sz="4" w:space="0" w:color="95928E" w:themeColor="accent5" w:themeTint="99"/>
        <w:insideV w:val="single" w:sz="4" w:space="0" w:color="95928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DAD9" w:themeFill="accent5" w:themeFillTint="33"/>
      </w:tcPr>
    </w:tblStylePr>
    <w:tblStylePr w:type="band1Horz">
      <w:tblPr/>
      <w:tcPr>
        <w:shd w:val="clear" w:color="auto" w:fill="DCDAD9" w:themeFill="accent5" w:themeFillTint="33"/>
      </w:tcPr>
    </w:tblStylePr>
    <w:tblStylePr w:type="neCell">
      <w:tblPr/>
      <w:tcPr>
        <w:tcBorders>
          <w:bottom w:val="single" w:sz="4" w:space="0" w:color="95928E" w:themeColor="accent5" w:themeTint="99"/>
        </w:tcBorders>
      </w:tcPr>
    </w:tblStylePr>
    <w:tblStylePr w:type="nwCell">
      <w:tblPr/>
      <w:tcPr>
        <w:tcBorders>
          <w:bottom w:val="single" w:sz="4" w:space="0" w:color="95928E" w:themeColor="accent5" w:themeTint="99"/>
        </w:tcBorders>
      </w:tcPr>
    </w:tblStylePr>
    <w:tblStylePr w:type="seCell">
      <w:tblPr/>
      <w:tcPr>
        <w:tcBorders>
          <w:top w:val="single" w:sz="4" w:space="0" w:color="95928E" w:themeColor="accent5" w:themeTint="99"/>
        </w:tcBorders>
      </w:tcPr>
    </w:tblStylePr>
    <w:tblStylePr w:type="swCell">
      <w:tblPr/>
      <w:tcPr>
        <w:tcBorders>
          <w:top w:val="single" w:sz="4" w:space="0" w:color="95928E" w:themeColor="accent5" w:themeTint="99"/>
        </w:tcBorders>
      </w:tcPr>
    </w:tblStylePr>
  </w:style>
  <w:style w:type="table" w:styleId="GridTable3-Accent6">
    <w:name w:val="Grid Table 3 Accent 6"/>
    <w:basedOn w:val="TableNormal"/>
    <w:uiPriority w:val="48"/>
    <w:rsid w:val="00A21B54"/>
    <w:tblPr>
      <w:tblStyleRowBandSize w:val="1"/>
      <w:tblStyleColBandSize w:val="1"/>
      <w:tblBorders>
        <w:top w:val="single" w:sz="4" w:space="0" w:color="E3E6EB" w:themeColor="accent6" w:themeTint="99"/>
        <w:left w:val="single" w:sz="4" w:space="0" w:color="E3E6EB" w:themeColor="accent6" w:themeTint="99"/>
        <w:bottom w:val="single" w:sz="4" w:space="0" w:color="E3E6EB" w:themeColor="accent6" w:themeTint="99"/>
        <w:right w:val="single" w:sz="4" w:space="0" w:color="E3E6EB" w:themeColor="accent6" w:themeTint="99"/>
        <w:insideH w:val="single" w:sz="4" w:space="0" w:color="E3E6EB" w:themeColor="accent6" w:themeTint="99"/>
        <w:insideV w:val="single" w:sz="4" w:space="0" w:color="E3E6E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6F8" w:themeFill="accent6" w:themeFillTint="33"/>
      </w:tcPr>
    </w:tblStylePr>
    <w:tblStylePr w:type="band1Horz">
      <w:tblPr/>
      <w:tcPr>
        <w:shd w:val="clear" w:color="auto" w:fill="F5F6F8" w:themeFill="accent6" w:themeFillTint="33"/>
      </w:tcPr>
    </w:tblStylePr>
    <w:tblStylePr w:type="neCell">
      <w:tblPr/>
      <w:tcPr>
        <w:tcBorders>
          <w:bottom w:val="single" w:sz="4" w:space="0" w:color="E3E6EB" w:themeColor="accent6" w:themeTint="99"/>
        </w:tcBorders>
      </w:tcPr>
    </w:tblStylePr>
    <w:tblStylePr w:type="nwCell">
      <w:tblPr/>
      <w:tcPr>
        <w:tcBorders>
          <w:bottom w:val="single" w:sz="4" w:space="0" w:color="E3E6EB" w:themeColor="accent6" w:themeTint="99"/>
        </w:tcBorders>
      </w:tcPr>
    </w:tblStylePr>
    <w:tblStylePr w:type="seCell">
      <w:tblPr/>
      <w:tcPr>
        <w:tcBorders>
          <w:top w:val="single" w:sz="4" w:space="0" w:color="E3E6EB" w:themeColor="accent6" w:themeTint="99"/>
        </w:tcBorders>
      </w:tcPr>
    </w:tblStylePr>
    <w:tblStylePr w:type="swCell">
      <w:tblPr/>
      <w:tcPr>
        <w:tcBorders>
          <w:top w:val="single" w:sz="4" w:space="0" w:color="E3E6EB" w:themeColor="accent6" w:themeTint="99"/>
        </w:tcBorders>
      </w:tcPr>
    </w:tblStylePr>
  </w:style>
  <w:style w:type="table" w:styleId="GridTable4">
    <w:name w:val="Grid Table 4"/>
    <w:basedOn w:val="TableNormal"/>
    <w:uiPriority w:val="49"/>
    <w:rsid w:val="00A21B5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A21B54"/>
    <w:tblPr>
      <w:tblStyleRowBandSize w:val="1"/>
      <w:tblStyleColBandSize w:val="1"/>
      <w:tblBorders>
        <w:top w:val="single" w:sz="4" w:space="0" w:color="4B7AC9" w:themeColor="accent1" w:themeTint="99"/>
        <w:left w:val="single" w:sz="4" w:space="0" w:color="4B7AC9" w:themeColor="accent1" w:themeTint="99"/>
        <w:bottom w:val="single" w:sz="4" w:space="0" w:color="4B7AC9" w:themeColor="accent1" w:themeTint="99"/>
        <w:right w:val="single" w:sz="4" w:space="0" w:color="4B7AC9" w:themeColor="accent1" w:themeTint="99"/>
        <w:insideH w:val="single" w:sz="4" w:space="0" w:color="4B7AC9" w:themeColor="accent1" w:themeTint="99"/>
        <w:insideV w:val="single" w:sz="4" w:space="0" w:color="4B7AC9" w:themeColor="accent1" w:themeTint="99"/>
      </w:tblBorders>
    </w:tblPr>
    <w:tblStylePr w:type="firstRow">
      <w:rPr>
        <w:b/>
        <w:bCs/>
        <w:color w:val="FFFFFF" w:themeColor="background1"/>
      </w:rPr>
      <w:tblPr/>
      <w:tcPr>
        <w:tcBorders>
          <w:top w:val="single" w:sz="4" w:space="0" w:color="1C355E" w:themeColor="accent1"/>
          <w:left w:val="single" w:sz="4" w:space="0" w:color="1C355E" w:themeColor="accent1"/>
          <w:bottom w:val="single" w:sz="4" w:space="0" w:color="1C355E" w:themeColor="accent1"/>
          <w:right w:val="single" w:sz="4" w:space="0" w:color="1C355E" w:themeColor="accent1"/>
          <w:insideH w:val="nil"/>
          <w:insideV w:val="nil"/>
        </w:tcBorders>
        <w:shd w:val="clear" w:color="auto" w:fill="1C355E" w:themeFill="accent1"/>
      </w:tcPr>
    </w:tblStylePr>
    <w:tblStylePr w:type="lastRow">
      <w:rPr>
        <w:b/>
        <w:bCs/>
      </w:rPr>
      <w:tblPr/>
      <w:tcPr>
        <w:tcBorders>
          <w:top w:val="double" w:sz="4" w:space="0" w:color="1C355E" w:themeColor="accent1"/>
        </w:tcBorders>
      </w:tc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GridTable4-Accent2">
    <w:name w:val="Grid Table 4 Accent 2"/>
    <w:basedOn w:val="TableNormal"/>
    <w:uiPriority w:val="49"/>
    <w:rsid w:val="00A21B54"/>
    <w:tblPr>
      <w:tblStyleRowBandSize w:val="1"/>
      <w:tblStyleColBandSize w:val="1"/>
      <w:tblBorders>
        <w:top w:val="single" w:sz="4" w:space="0" w:color="C8CED8" w:themeColor="accent2" w:themeTint="99"/>
        <w:left w:val="single" w:sz="4" w:space="0" w:color="C8CED8" w:themeColor="accent2" w:themeTint="99"/>
        <w:bottom w:val="single" w:sz="4" w:space="0" w:color="C8CED8" w:themeColor="accent2" w:themeTint="99"/>
        <w:right w:val="single" w:sz="4" w:space="0" w:color="C8CED8" w:themeColor="accent2" w:themeTint="99"/>
        <w:insideH w:val="single" w:sz="4" w:space="0" w:color="C8CED8" w:themeColor="accent2" w:themeTint="99"/>
        <w:insideV w:val="single" w:sz="4" w:space="0" w:color="C8CED8" w:themeColor="accent2" w:themeTint="99"/>
      </w:tblBorders>
    </w:tblPr>
    <w:tblStylePr w:type="firstRow">
      <w:rPr>
        <w:b/>
        <w:bCs/>
        <w:color w:val="FFFFFF" w:themeColor="background1"/>
      </w:rPr>
      <w:tblPr/>
      <w:tcPr>
        <w:tcBorders>
          <w:top w:val="single" w:sz="4" w:space="0" w:color="A4AEBF" w:themeColor="accent2"/>
          <w:left w:val="single" w:sz="4" w:space="0" w:color="A4AEBF" w:themeColor="accent2"/>
          <w:bottom w:val="single" w:sz="4" w:space="0" w:color="A4AEBF" w:themeColor="accent2"/>
          <w:right w:val="single" w:sz="4" w:space="0" w:color="A4AEBF" w:themeColor="accent2"/>
          <w:insideH w:val="nil"/>
          <w:insideV w:val="nil"/>
        </w:tcBorders>
        <w:shd w:val="clear" w:color="auto" w:fill="A4AEBF" w:themeFill="accent2"/>
      </w:tcPr>
    </w:tblStylePr>
    <w:tblStylePr w:type="lastRow">
      <w:rPr>
        <w:b/>
        <w:bCs/>
      </w:rPr>
      <w:tblPr/>
      <w:tcPr>
        <w:tcBorders>
          <w:top w:val="double" w:sz="4" w:space="0" w:color="A4AEBF" w:themeColor="accent2"/>
        </w:tcBorders>
      </w:tc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GridTable4-Accent3">
    <w:name w:val="Grid Table 4 Accent 3"/>
    <w:basedOn w:val="TableNormal"/>
    <w:uiPriority w:val="49"/>
    <w:rsid w:val="00A21B54"/>
    <w:tblPr>
      <w:tblStyleRowBandSize w:val="1"/>
      <w:tblStyleColBandSize w:val="1"/>
      <w:tblBorders>
        <w:top w:val="single" w:sz="4" w:space="0" w:color="BEBDBC" w:themeColor="accent3" w:themeTint="99"/>
        <w:left w:val="single" w:sz="4" w:space="0" w:color="BEBDBC" w:themeColor="accent3" w:themeTint="99"/>
        <w:bottom w:val="single" w:sz="4" w:space="0" w:color="BEBDBC" w:themeColor="accent3" w:themeTint="99"/>
        <w:right w:val="single" w:sz="4" w:space="0" w:color="BEBDBC" w:themeColor="accent3" w:themeTint="99"/>
        <w:insideH w:val="single" w:sz="4" w:space="0" w:color="BEBDBC" w:themeColor="accent3" w:themeTint="99"/>
        <w:insideV w:val="single" w:sz="4" w:space="0" w:color="BEBDBC" w:themeColor="accent3" w:themeTint="99"/>
      </w:tblBorders>
    </w:tblPr>
    <w:tblStylePr w:type="firstRow">
      <w:rPr>
        <w:b/>
        <w:bCs/>
        <w:color w:val="FFFFFF" w:themeColor="background1"/>
      </w:rPr>
      <w:tblPr/>
      <w:tcPr>
        <w:tcBorders>
          <w:top w:val="single" w:sz="4" w:space="0" w:color="949291" w:themeColor="accent3"/>
          <w:left w:val="single" w:sz="4" w:space="0" w:color="949291" w:themeColor="accent3"/>
          <w:bottom w:val="single" w:sz="4" w:space="0" w:color="949291" w:themeColor="accent3"/>
          <w:right w:val="single" w:sz="4" w:space="0" w:color="949291" w:themeColor="accent3"/>
          <w:insideH w:val="nil"/>
          <w:insideV w:val="nil"/>
        </w:tcBorders>
        <w:shd w:val="clear" w:color="auto" w:fill="949291" w:themeFill="accent3"/>
      </w:tcPr>
    </w:tblStylePr>
    <w:tblStylePr w:type="lastRow">
      <w:rPr>
        <w:b/>
        <w:bCs/>
      </w:rPr>
      <w:tblPr/>
      <w:tcPr>
        <w:tcBorders>
          <w:top w:val="double" w:sz="4" w:space="0" w:color="949291" w:themeColor="accent3"/>
        </w:tcBorders>
      </w:tc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GridTable4-Accent4">
    <w:name w:val="Grid Table 4 Accent 4"/>
    <w:basedOn w:val="TableNormal"/>
    <w:uiPriority w:val="49"/>
    <w:rsid w:val="00A21B54"/>
    <w:tblPr>
      <w:tblStyleRowBandSize w:val="1"/>
      <w:tblStyleColBandSize w:val="1"/>
      <w:tblBorders>
        <w:top w:val="single" w:sz="4" w:space="0" w:color="F0EEEB" w:themeColor="accent4" w:themeTint="99"/>
        <w:left w:val="single" w:sz="4" w:space="0" w:color="F0EEEB" w:themeColor="accent4" w:themeTint="99"/>
        <w:bottom w:val="single" w:sz="4" w:space="0" w:color="F0EEEB" w:themeColor="accent4" w:themeTint="99"/>
        <w:right w:val="single" w:sz="4" w:space="0" w:color="F0EEEB" w:themeColor="accent4" w:themeTint="99"/>
        <w:insideH w:val="single" w:sz="4" w:space="0" w:color="F0EEEB" w:themeColor="accent4" w:themeTint="99"/>
        <w:insideV w:val="single" w:sz="4" w:space="0" w:color="F0EEEB" w:themeColor="accent4" w:themeTint="99"/>
      </w:tblBorders>
    </w:tblPr>
    <w:tblStylePr w:type="firstRow">
      <w:rPr>
        <w:b/>
        <w:bCs/>
        <w:color w:val="FFFFFF" w:themeColor="background1"/>
      </w:rPr>
      <w:tblPr/>
      <w:tcPr>
        <w:tcBorders>
          <w:top w:val="single" w:sz="4" w:space="0" w:color="E6E3DF" w:themeColor="accent4"/>
          <w:left w:val="single" w:sz="4" w:space="0" w:color="E6E3DF" w:themeColor="accent4"/>
          <w:bottom w:val="single" w:sz="4" w:space="0" w:color="E6E3DF" w:themeColor="accent4"/>
          <w:right w:val="single" w:sz="4" w:space="0" w:color="E6E3DF" w:themeColor="accent4"/>
          <w:insideH w:val="nil"/>
          <w:insideV w:val="nil"/>
        </w:tcBorders>
        <w:shd w:val="clear" w:color="auto" w:fill="E6E3DF" w:themeFill="accent4"/>
      </w:tcPr>
    </w:tblStylePr>
    <w:tblStylePr w:type="lastRow">
      <w:rPr>
        <w:b/>
        <w:bCs/>
      </w:rPr>
      <w:tblPr/>
      <w:tcPr>
        <w:tcBorders>
          <w:top w:val="double" w:sz="4" w:space="0" w:color="E6E3DF" w:themeColor="accent4"/>
        </w:tcBorders>
      </w:tc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GridTable4-Accent5">
    <w:name w:val="Grid Table 4 Accent 5"/>
    <w:basedOn w:val="TableNormal"/>
    <w:uiPriority w:val="49"/>
    <w:rsid w:val="00A21B54"/>
    <w:tblPr>
      <w:tblStyleRowBandSize w:val="1"/>
      <w:tblStyleColBandSize w:val="1"/>
      <w:tblBorders>
        <w:top w:val="single" w:sz="4" w:space="0" w:color="95928E" w:themeColor="accent5" w:themeTint="99"/>
        <w:left w:val="single" w:sz="4" w:space="0" w:color="95928E" w:themeColor="accent5" w:themeTint="99"/>
        <w:bottom w:val="single" w:sz="4" w:space="0" w:color="95928E" w:themeColor="accent5" w:themeTint="99"/>
        <w:right w:val="single" w:sz="4" w:space="0" w:color="95928E" w:themeColor="accent5" w:themeTint="99"/>
        <w:insideH w:val="single" w:sz="4" w:space="0" w:color="95928E" w:themeColor="accent5" w:themeTint="99"/>
        <w:insideV w:val="single" w:sz="4" w:space="0" w:color="95928E" w:themeColor="accent5" w:themeTint="99"/>
      </w:tblBorders>
    </w:tblPr>
    <w:tblStylePr w:type="firstRow">
      <w:rPr>
        <w:b/>
        <w:bCs/>
        <w:color w:val="FFFFFF" w:themeColor="background1"/>
      </w:rPr>
      <w:tblPr/>
      <w:tcPr>
        <w:tcBorders>
          <w:top w:val="single" w:sz="4" w:space="0" w:color="4C4A47" w:themeColor="accent5"/>
          <w:left w:val="single" w:sz="4" w:space="0" w:color="4C4A47" w:themeColor="accent5"/>
          <w:bottom w:val="single" w:sz="4" w:space="0" w:color="4C4A47" w:themeColor="accent5"/>
          <w:right w:val="single" w:sz="4" w:space="0" w:color="4C4A47" w:themeColor="accent5"/>
          <w:insideH w:val="nil"/>
          <w:insideV w:val="nil"/>
        </w:tcBorders>
        <w:shd w:val="clear" w:color="auto" w:fill="4C4A47" w:themeFill="accent5"/>
      </w:tcPr>
    </w:tblStylePr>
    <w:tblStylePr w:type="lastRow">
      <w:rPr>
        <w:b/>
        <w:bCs/>
      </w:rPr>
      <w:tblPr/>
      <w:tcPr>
        <w:tcBorders>
          <w:top w:val="double" w:sz="4" w:space="0" w:color="4C4A47" w:themeColor="accent5"/>
        </w:tcBorders>
      </w:tc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GridTable4-Accent6">
    <w:name w:val="Grid Table 4 Accent 6"/>
    <w:basedOn w:val="TableNormal"/>
    <w:uiPriority w:val="49"/>
    <w:rsid w:val="00A21B54"/>
    <w:tblPr>
      <w:tblStyleRowBandSize w:val="1"/>
      <w:tblStyleColBandSize w:val="1"/>
      <w:tblBorders>
        <w:top w:val="single" w:sz="4" w:space="0" w:color="E3E6EB" w:themeColor="accent6" w:themeTint="99"/>
        <w:left w:val="single" w:sz="4" w:space="0" w:color="E3E6EB" w:themeColor="accent6" w:themeTint="99"/>
        <w:bottom w:val="single" w:sz="4" w:space="0" w:color="E3E6EB" w:themeColor="accent6" w:themeTint="99"/>
        <w:right w:val="single" w:sz="4" w:space="0" w:color="E3E6EB" w:themeColor="accent6" w:themeTint="99"/>
        <w:insideH w:val="single" w:sz="4" w:space="0" w:color="E3E6EB" w:themeColor="accent6" w:themeTint="99"/>
        <w:insideV w:val="single" w:sz="4" w:space="0" w:color="E3E6EB" w:themeColor="accent6" w:themeTint="99"/>
      </w:tblBorders>
    </w:tblPr>
    <w:tblStylePr w:type="firstRow">
      <w:rPr>
        <w:b/>
        <w:bCs/>
        <w:color w:val="FFFFFF" w:themeColor="background1"/>
      </w:rPr>
      <w:tblPr/>
      <w:tcPr>
        <w:tcBorders>
          <w:top w:val="single" w:sz="4" w:space="0" w:color="D2D7DF" w:themeColor="accent6"/>
          <w:left w:val="single" w:sz="4" w:space="0" w:color="D2D7DF" w:themeColor="accent6"/>
          <w:bottom w:val="single" w:sz="4" w:space="0" w:color="D2D7DF" w:themeColor="accent6"/>
          <w:right w:val="single" w:sz="4" w:space="0" w:color="D2D7DF" w:themeColor="accent6"/>
          <w:insideH w:val="nil"/>
          <w:insideV w:val="nil"/>
        </w:tcBorders>
        <w:shd w:val="clear" w:color="auto" w:fill="D2D7DF" w:themeFill="accent6"/>
      </w:tcPr>
    </w:tblStylePr>
    <w:tblStylePr w:type="lastRow">
      <w:rPr>
        <w:b/>
        <w:bCs/>
      </w:rPr>
      <w:tblPr/>
      <w:tcPr>
        <w:tcBorders>
          <w:top w:val="double" w:sz="4" w:space="0" w:color="D2D7DF" w:themeColor="accent6"/>
        </w:tcBorders>
      </w:tc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GridTable5Dark">
    <w:name w:val="Grid Table 5 Dark"/>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D2E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355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355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355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355E" w:themeFill="accent1"/>
      </w:tcPr>
    </w:tblStylePr>
    <w:tblStylePr w:type="band1Vert">
      <w:tblPr/>
      <w:tcPr>
        <w:shd w:val="clear" w:color="auto" w:fill="87A6DB" w:themeFill="accent1" w:themeFillTint="66"/>
      </w:tcPr>
    </w:tblStylePr>
    <w:tblStylePr w:type="band1Horz">
      <w:tblPr/>
      <w:tcPr>
        <w:shd w:val="clear" w:color="auto" w:fill="87A6DB" w:themeFill="accent1" w:themeFillTint="66"/>
      </w:tcPr>
    </w:tblStylePr>
  </w:style>
  <w:style w:type="table" w:styleId="GridTable5Dark-Accent2">
    <w:name w:val="Grid Table 5 Dark Accent 2"/>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EEF2"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4AEB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4AEB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4AEB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4AEBF" w:themeFill="accent2"/>
      </w:tcPr>
    </w:tblStylePr>
    <w:tblStylePr w:type="band1Vert">
      <w:tblPr/>
      <w:tcPr>
        <w:shd w:val="clear" w:color="auto" w:fill="DADEE5" w:themeFill="accent2" w:themeFillTint="66"/>
      </w:tcPr>
    </w:tblStylePr>
    <w:tblStylePr w:type="band1Horz">
      <w:tblPr/>
      <w:tcPr>
        <w:shd w:val="clear" w:color="auto" w:fill="DADEE5" w:themeFill="accent2" w:themeFillTint="66"/>
      </w:tcPr>
    </w:tblStylePr>
  </w:style>
  <w:style w:type="table" w:styleId="GridTable5Dark-Accent3">
    <w:name w:val="Grid Table 5 Dark Accent 3"/>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E9E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929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929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929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9291" w:themeFill="accent3"/>
      </w:tcPr>
    </w:tblStylePr>
    <w:tblStylePr w:type="band1Vert">
      <w:tblPr/>
      <w:tcPr>
        <w:shd w:val="clear" w:color="auto" w:fill="D4D3D2" w:themeFill="accent3" w:themeFillTint="66"/>
      </w:tcPr>
    </w:tblStylePr>
    <w:tblStylePr w:type="band1Horz">
      <w:tblPr/>
      <w:tcPr>
        <w:shd w:val="clear" w:color="auto" w:fill="D4D3D2" w:themeFill="accent3" w:themeFillTint="66"/>
      </w:tcPr>
    </w:tblStylePr>
  </w:style>
  <w:style w:type="table" w:styleId="GridTable5Dark-Accent4">
    <w:name w:val="Grid Table 5 Dark Accent 4"/>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9F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6E3D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6E3D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6E3D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6E3DF" w:themeFill="accent4"/>
      </w:tcPr>
    </w:tblStylePr>
    <w:tblStylePr w:type="band1Vert">
      <w:tblPr/>
      <w:tcPr>
        <w:shd w:val="clear" w:color="auto" w:fill="F5F3F2" w:themeFill="accent4" w:themeFillTint="66"/>
      </w:tcPr>
    </w:tblStylePr>
    <w:tblStylePr w:type="band1Horz">
      <w:tblPr/>
      <w:tcPr>
        <w:shd w:val="clear" w:color="auto" w:fill="F5F3F2" w:themeFill="accent4" w:themeFillTint="66"/>
      </w:tcPr>
    </w:tblStylePr>
  </w:style>
  <w:style w:type="table" w:styleId="GridTable5Dark-Accent5">
    <w:name w:val="Grid Table 5 Dark Accent 5"/>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DA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C4A4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C4A4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C4A4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C4A47" w:themeFill="accent5"/>
      </w:tcPr>
    </w:tblStylePr>
    <w:tblStylePr w:type="band1Vert">
      <w:tblPr/>
      <w:tcPr>
        <w:shd w:val="clear" w:color="auto" w:fill="B8B6B3" w:themeFill="accent5" w:themeFillTint="66"/>
      </w:tcPr>
    </w:tblStylePr>
    <w:tblStylePr w:type="band1Horz">
      <w:tblPr/>
      <w:tcPr>
        <w:shd w:val="clear" w:color="auto" w:fill="B8B6B3" w:themeFill="accent5" w:themeFillTint="66"/>
      </w:tcPr>
    </w:tblStylePr>
  </w:style>
  <w:style w:type="table" w:styleId="GridTable5Dark-Accent6">
    <w:name w:val="Grid Table 5 Dark Accent 6"/>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6F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2D7D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2D7D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2D7D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2D7DF" w:themeFill="accent6"/>
      </w:tcPr>
    </w:tblStylePr>
    <w:tblStylePr w:type="band1Vert">
      <w:tblPr/>
      <w:tcPr>
        <w:shd w:val="clear" w:color="auto" w:fill="ECEEF2" w:themeFill="accent6" w:themeFillTint="66"/>
      </w:tcPr>
    </w:tblStylePr>
    <w:tblStylePr w:type="band1Horz">
      <w:tblPr/>
      <w:tcPr>
        <w:shd w:val="clear" w:color="auto" w:fill="ECEEF2" w:themeFill="accent6" w:themeFillTint="66"/>
      </w:tcPr>
    </w:tblStylePr>
  </w:style>
  <w:style w:type="table" w:styleId="GridTable6Colorful">
    <w:name w:val="Grid Table 6 Colorful"/>
    <w:basedOn w:val="TableNormal"/>
    <w:uiPriority w:val="51"/>
    <w:rsid w:val="00A21B5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A21B54"/>
    <w:rPr>
      <w:color w:val="152746" w:themeColor="accent1" w:themeShade="BF"/>
    </w:rPr>
    <w:tblPr>
      <w:tblStyleRowBandSize w:val="1"/>
      <w:tblStyleColBandSize w:val="1"/>
      <w:tblBorders>
        <w:top w:val="single" w:sz="4" w:space="0" w:color="4B7AC9" w:themeColor="accent1" w:themeTint="99"/>
        <w:left w:val="single" w:sz="4" w:space="0" w:color="4B7AC9" w:themeColor="accent1" w:themeTint="99"/>
        <w:bottom w:val="single" w:sz="4" w:space="0" w:color="4B7AC9" w:themeColor="accent1" w:themeTint="99"/>
        <w:right w:val="single" w:sz="4" w:space="0" w:color="4B7AC9" w:themeColor="accent1" w:themeTint="99"/>
        <w:insideH w:val="single" w:sz="4" w:space="0" w:color="4B7AC9" w:themeColor="accent1" w:themeTint="99"/>
        <w:insideV w:val="single" w:sz="4" w:space="0" w:color="4B7AC9" w:themeColor="accent1" w:themeTint="99"/>
      </w:tblBorders>
    </w:tblPr>
    <w:tblStylePr w:type="firstRow">
      <w:rPr>
        <w:b/>
        <w:bCs/>
      </w:rPr>
      <w:tblPr/>
      <w:tcPr>
        <w:tcBorders>
          <w:bottom w:val="single" w:sz="12" w:space="0" w:color="4B7AC9" w:themeColor="accent1" w:themeTint="99"/>
        </w:tcBorders>
      </w:tcPr>
    </w:tblStylePr>
    <w:tblStylePr w:type="lastRow">
      <w:rPr>
        <w:b/>
        <w:bCs/>
      </w:rPr>
      <w:tblPr/>
      <w:tcPr>
        <w:tcBorders>
          <w:top w:val="double" w:sz="4" w:space="0" w:color="4B7AC9" w:themeColor="accent1" w:themeTint="99"/>
        </w:tcBorders>
      </w:tc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GridTable6Colorful-Accent2">
    <w:name w:val="Grid Table 6 Colorful Accent 2"/>
    <w:basedOn w:val="TableNormal"/>
    <w:uiPriority w:val="51"/>
    <w:rsid w:val="00A21B54"/>
    <w:rPr>
      <w:color w:val="6F7F9A" w:themeColor="accent2" w:themeShade="BF"/>
    </w:rPr>
    <w:tblPr>
      <w:tblStyleRowBandSize w:val="1"/>
      <w:tblStyleColBandSize w:val="1"/>
      <w:tblBorders>
        <w:top w:val="single" w:sz="4" w:space="0" w:color="C8CED8" w:themeColor="accent2" w:themeTint="99"/>
        <w:left w:val="single" w:sz="4" w:space="0" w:color="C8CED8" w:themeColor="accent2" w:themeTint="99"/>
        <w:bottom w:val="single" w:sz="4" w:space="0" w:color="C8CED8" w:themeColor="accent2" w:themeTint="99"/>
        <w:right w:val="single" w:sz="4" w:space="0" w:color="C8CED8" w:themeColor="accent2" w:themeTint="99"/>
        <w:insideH w:val="single" w:sz="4" w:space="0" w:color="C8CED8" w:themeColor="accent2" w:themeTint="99"/>
        <w:insideV w:val="single" w:sz="4" w:space="0" w:color="C8CED8" w:themeColor="accent2" w:themeTint="99"/>
      </w:tblBorders>
    </w:tblPr>
    <w:tblStylePr w:type="firstRow">
      <w:rPr>
        <w:b/>
        <w:bCs/>
      </w:rPr>
      <w:tblPr/>
      <w:tcPr>
        <w:tcBorders>
          <w:bottom w:val="single" w:sz="12" w:space="0" w:color="C8CED8" w:themeColor="accent2" w:themeTint="99"/>
        </w:tcBorders>
      </w:tcPr>
    </w:tblStylePr>
    <w:tblStylePr w:type="lastRow">
      <w:rPr>
        <w:b/>
        <w:bCs/>
      </w:rPr>
      <w:tblPr/>
      <w:tcPr>
        <w:tcBorders>
          <w:top w:val="double" w:sz="4" w:space="0" w:color="C8CED8" w:themeColor="accent2" w:themeTint="99"/>
        </w:tcBorders>
      </w:tc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GridTable6Colorful-Accent3">
    <w:name w:val="Grid Table 6 Colorful Accent 3"/>
    <w:basedOn w:val="TableNormal"/>
    <w:uiPriority w:val="51"/>
    <w:rsid w:val="00A21B54"/>
    <w:rPr>
      <w:color w:val="6F6D6C" w:themeColor="accent3" w:themeShade="BF"/>
    </w:rPr>
    <w:tblPr>
      <w:tblStyleRowBandSize w:val="1"/>
      <w:tblStyleColBandSize w:val="1"/>
      <w:tblBorders>
        <w:top w:val="single" w:sz="4" w:space="0" w:color="BEBDBC" w:themeColor="accent3" w:themeTint="99"/>
        <w:left w:val="single" w:sz="4" w:space="0" w:color="BEBDBC" w:themeColor="accent3" w:themeTint="99"/>
        <w:bottom w:val="single" w:sz="4" w:space="0" w:color="BEBDBC" w:themeColor="accent3" w:themeTint="99"/>
        <w:right w:val="single" w:sz="4" w:space="0" w:color="BEBDBC" w:themeColor="accent3" w:themeTint="99"/>
        <w:insideH w:val="single" w:sz="4" w:space="0" w:color="BEBDBC" w:themeColor="accent3" w:themeTint="99"/>
        <w:insideV w:val="single" w:sz="4" w:space="0" w:color="BEBDBC" w:themeColor="accent3" w:themeTint="99"/>
      </w:tblBorders>
    </w:tblPr>
    <w:tblStylePr w:type="firstRow">
      <w:rPr>
        <w:b/>
        <w:bCs/>
      </w:rPr>
      <w:tblPr/>
      <w:tcPr>
        <w:tcBorders>
          <w:bottom w:val="single" w:sz="12" w:space="0" w:color="BEBDBC" w:themeColor="accent3" w:themeTint="99"/>
        </w:tcBorders>
      </w:tcPr>
    </w:tblStylePr>
    <w:tblStylePr w:type="lastRow">
      <w:rPr>
        <w:b/>
        <w:bCs/>
      </w:rPr>
      <w:tblPr/>
      <w:tcPr>
        <w:tcBorders>
          <w:top w:val="double" w:sz="4" w:space="0" w:color="BEBDBC" w:themeColor="accent3" w:themeTint="99"/>
        </w:tcBorders>
      </w:tc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GridTable6Colorful-Accent4">
    <w:name w:val="Grid Table 6 Colorful Accent 4"/>
    <w:basedOn w:val="TableNormal"/>
    <w:uiPriority w:val="51"/>
    <w:rsid w:val="00A21B54"/>
    <w:rPr>
      <w:color w:val="B4AA9F" w:themeColor="accent4" w:themeShade="BF"/>
    </w:rPr>
    <w:tblPr>
      <w:tblStyleRowBandSize w:val="1"/>
      <w:tblStyleColBandSize w:val="1"/>
      <w:tblBorders>
        <w:top w:val="single" w:sz="4" w:space="0" w:color="F0EEEB" w:themeColor="accent4" w:themeTint="99"/>
        <w:left w:val="single" w:sz="4" w:space="0" w:color="F0EEEB" w:themeColor="accent4" w:themeTint="99"/>
        <w:bottom w:val="single" w:sz="4" w:space="0" w:color="F0EEEB" w:themeColor="accent4" w:themeTint="99"/>
        <w:right w:val="single" w:sz="4" w:space="0" w:color="F0EEEB" w:themeColor="accent4" w:themeTint="99"/>
        <w:insideH w:val="single" w:sz="4" w:space="0" w:color="F0EEEB" w:themeColor="accent4" w:themeTint="99"/>
        <w:insideV w:val="single" w:sz="4" w:space="0" w:color="F0EEEB" w:themeColor="accent4" w:themeTint="99"/>
      </w:tblBorders>
    </w:tblPr>
    <w:tblStylePr w:type="firstRow">
      <w:rPr>
        <w:b/>
        <w:bCs/>
      </w:rPr>
      <w:tblPr/>
      <w:tcPr>
        <w:tcBorders>
          <w:bottom w:val="single" w:sz="12" w:space="0" w:color="F0EEEB" w:themeColor="accent4" w:themeTint="99"/>
        </w:tcBorders>
      </w:tcPr>
    </w:tblStylePr>
    <w:tblStylePr w:type="lastRow">
      <w:rPr>
        <w:b/>
        <w:bCs/>
      </w:rPr>
      <w:tblPr/>
      <w:tcPr>
        <w:tcBorders>
          <w:top w:val="double" w:sz="4" w:space="0" w:color="F0EEEB" w:themeColor="accent4" w:themeTint="99"/>
        </w:tcBorders>
      </w:tc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GridTable6Colorful-Accent5">
    <w:name w:val="Grid Table 6 Colorful Accent 5"/>
    <w:basedOn w:val="TableNormal"/>
    <w:uiPriority w:val="51"/>
    <w:rsid w:val="00A21B54"/>
    <w:rPr>
      <w:color w:val="383735" w:themeColor="accent5" w:themeShade="BF"/>
    </w:rPr>
    <w:tblPr>
      <w:tblStyleRowBandSize w:val="1"/>
      <w:tblStyleColBandSize w:val="1"/>
      <w:tblBorders>
        <w:top w:val="single" w:sz="4" w:space="0" w:color="95928E" w:themeColor="accent5" w:themeTint="99"/>
        <w:left w:val="single" w:sz="4" w:space="0" w:color="95928E" w:themeColor="accent5" w:themeTint="99"/>
        <w:bottom w:val="single" w:sz="4" w:space="0" w:color="95928E" w:themeColor="accent5" w:themeTint="99"/>
        <w:right w:val="single" w:sz="4" w:space="0" w:color="95928E" w:themeColor="accent5" w:themeTint="99"/>
        <w:insideH w:val="single" w:sz="4" w:space="0" w:color="95928E" w:themeColor="accent5" w:themeTint="99"/>
        <w:insideV w:val="single" w:sz="4" w:space="0" w:color="95928E" w:themeColor="accent5" w:themeTint="99"/>
      </w:tblBorders>
    </w:tblPr>
    <w:tblStylePr w:type="firstRow">
      <w:rPr>
        <w:b/>
        <w:bCs/>
      </w:rPr>
      <w:tblPr/>
      <w:tcPr>
        <w:tcBorders>
          <w:bottom w:val="single" w:sz="12" w:space="0" w:color="95928E" w:themeColor="accent5" w:themeTint="99"/>
        </w:tcBorders>
      </w:tcPr>
    </w:tblStylePr>
    <w:tblStylePr w:type="lastRow">
      <w:rPr>
        <w:b/>
        <w:bCs/>
      </w:rPr>
      <w:tblPr/>
      <w:tcPr>
        <w:tcBorders>
          <w:top w:val="double" w:sz="4" w:space="0" w:color="95928E" w:themeColor="accent5" w:themeTint="99"/>
        </w:tcBorders>
      </w:tc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GridTable6Colorful-Accent6">
    <w:name w:val="Grid Table 6 Colorful Accent 6"/>
    <w:basedOn w:val="TableNormal"/>
    <w:uiPriority w:val="51"/>
    <w:rsid w:val="00A21B54"/>
    <w:rPr>
      <w:color w:val="929EB1" w:themeColor="accent6" w:themeShade="BF"/>
    </w:rPr>
    <w:tblPr>
      <w:tblStyleRowBandSize w:val="1"/>
      <w:tblStyleColBandSize w:val="1"/>
      <w:tblBorders>
        <w:top w:val="single" w:sz="4" w:space="0" w:color="E3E6EB" w:themeColor="accent6" w:themeTint="99"/>
        <w:left w:val="single" w:sz="4" w:space="0" w:color="E3E6EB" w:themeColor="accent6" w:themeTint="99"/>
        <w:bottom w:val="single" w:sz="4" w:space="0" w:color="E3E6EB" w:themeColor="accent6" w:themeTint="99"/>
        <w:right w:val="single" w:sz="4" w:space="0" w:color="E3E6EB" w:themeColor="accent6" w:themeTint="99"/>
        <w:insideH w:val="single" w:sz="4" w:space="0" w:color="E3E6EB" w:themeColor="accent6" w:themeTint="99"/>
        <w:insideV w:val="single" w:sz="4" w:space="0" w:color="E3E6EB" w:themeColor="accent6" w:themeTint="99"/>
      </w:tblBorders>
    </w:tblPr>
    <w:tblStylePr w:type="firstRow">
      <w:rPr>
        <w:b/>
        <w:bCs/>
      </w:rPr>
      <w:tblPr/>
      <w:tcPr>
        <w:tcBorders>
          <w:bottom w:val="single" w:sz="12" w:space="0" w:color="E3E6EB" w:themeColor="accent6" w:themeTint="99"/>
        </w:tcBorders>
      </w:tcPr>
    </w:tblStylePr>
    <w:tblStylePr w:type="lastRow">
      <w:rPr>
        <w:b/>
        <w:bCs/>
      </w:rPr>
      <w:tblPr/>
      <w:tcPr>
        <w:tcBorders>
          <w:top w:val="double" w:sz="4" w:space="0" w:color="E3E6EB" w:themeColor="accent6" w:themeTint="99"/>
        </w:tcBorders>
      </w:tc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GridTable7Colorful">
    <w:name w:val="Grid Table 7 Colorful"/>
    <w:basedOn w:val="TableNormal"/>
    <w:uiPriority w:val="52"/>
    <w:rsid w:val="00A21B5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A21B54"/>
    <w:rPr>
      <w:color w:val="152746" w:themeColor="accent1" w:themeShade="BF"/>
    </w:rPr>
    <w:tblPr>
      <w:tblStyleRowBandSize w:val="1"/>
      <w:tblStyleColBandSize w:val="1"/>
      <w:tblBorders>
        <w:top w:val="single" w:sz="4" w:space="0" w:color="4B7AC9" w:themeColor="accent1" w:themeTint="99"/>
        <w:left w:val="single" w:sz="4" w:space="0" w:color="4B7AC9" w:themeColor="accent1" w:themeTint="99"/>
        <w:bottom w:val="single" w:sz="4" w:space="0" w:color="4B7AC9" w:themeColor="accent1" w:themeTint="99"/>
        <w:right w:val="single" w:sz="4" w:space="0" w:color="4B7AC9" w:themeColor="accent1" w:themeTint="99"/>
        <w:insideH w:val="single" w:sz="4" w:space="0" w:color="4B7AC9" w:themeColor="accent1" w:themeTint="99"/>
        <w:insideV w:val="single" w:sz="4" w:space="0" w:color="4B7AC9"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D2ED" w:themeFill="accent1" w:themeFillTint="33"/>
      </w:tcPr>
    </w:tblStylePr>
    <w:tblStylePr w:type="band1Horz">
      <w:tblPr/>
      <w:tcPr>
        <w:shd w:val="clear" w:color="auto" w:fill="C3D2ED" w:themeFill="accent1" w:themeFillTint="33"/>
      </w:tcPr>
    </w:tblStylePr>
    <w:tblStylePr w:type="neCell">
      <w:tblPr/>
      <w:tcPr>
        <w:tcBorders>
          <w:bottom w:val="single" w:sz="4" w:space="0" w:color="4B7AC9" w:themeColor="accent1" w:themeTint="99"/>
        </w:tcBorders>
      </w:tcPr>
    </w:tblStylePr>
    <w:tblStylePr w:type="nwCell">
      <w:tblPr/>
      <w:tcPr>
        <w:tcBorders>
          <w:bottom w:val="single" w:sz="4" w:space="0" w:color="4B7AC9" w:themeColor="accent1" w:themeTint="99"/>
        </w:tcBorders>
      </w:tcPr>
    </w:tblStylePr>
    <w:tblStylePr w:type="seCell">
      <w:tblPr/>
      <w:tcPr>
        <w:tcBorders>
          <w:top w:val="single" w:sz="4" w:space="0" w:color="4B7AC9" w:themeColor="accent1" w:themeTint="99"/>
        </w:tcBorders>
      </w:tcPr>
    </w:tblStylePr>
    <w:tblStylePr w:type="swCell">
      <w:tblPr/>
      <w:tcPr>
        <w:tcBorders>
          <w:top w:val="single" w:sz="4" w:space="0" w:color="4B7AC9" w:themeColor="accent1" w:themeTint="99"/>
        </w:tcBorders>
      </w:tcPr>
    </w:tblStylePr>
  </w:style>
  <w:style w:type="table" w:styleId="GridTable7Colorful-Accent2">
    <w:name w:val="Grid Table 7 Colorful Accent 2"/>
    <w:basedOn w:val="TableNormal"/>
    <w:uiPriority w:val="52"/>
    <w:rsid w:val="00A21B54"/>
    <w:rPr>
      <w:color w:val="6F7F9A" w:themeColor="accent2" w:themeShade="BF"/>
    </w:rPr>
    <w:tblPr>
      <w:tblStyleRowBandSize w:val="1"/>
      <w:tblStyleColBandSize w:val="1"/>
      <w:tblBorders>
        <w:top w:val="single" w:sz="4" w:space="0" w:color="C8CED8" w:themeColor="accent2" w:themeTint="99"/>
        <w:left w:val="single" w:sz="4" w:space="0" w:color="C8CED8" w:themeColor="accent2" w:themeTint="99"/>
        <w:bottom w:val="single" w:sz="4" w:space="0" w:color="C8CED8" w:themeColor="accent2" w:themeTint="99"/>
        <w:right w:val="single" w:sz="4" w:space="0" w:color="C8CED8" w:themeColor="accent2" w:themeTint="99"/>
        <w:insideH w:val="single" w:sz="4" w:space="0" w:color="C8CED8" w:themeColor="accent2" w:themeTint="99"/>
        <w:insideV w:val="single" w:sz="4" w:space="0" w:color="C8CED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EEF2" w:themeFill="accent2" w:themeFillTint="33"/>
      </w:tcPr>
    </w:tblStylePr>
    <w:tblStylePr w:type="band1Horz">
      <w:tblPr/>
      <w:tcPr>
        <w:shd w:val="clear" w:color="auto" w:fill="ECEEF2" w:themeFill="accent2" w:themeFillTint="33"/>
      </w:tcPr>
    </w:tblStylePr>
    <w:tblStylePr w:type="neCell">
      <w:tblPr/>
      <w:tcPr>
        <w:tcBorders>
          <w:bottom w:val="single" w:sz="4" w:space="0" w:color="C8CED8" w:themeColor="accent2" w:themeTint="99"/>
        </w:tcBorders>
      </w:tcPr>
    </w:tblStylePr>
    <w:tblStylePr w:type="nwCell">
      <w:tblPr/>
      <w:tcPr>
        <w:tcBorders>
          <w:bottom w:val="single" w:sz="4" w:space="0" w:color="C8CED8" w:themeColor="accent2" w:themeTint="99"/>
        </w:tcBorders>
      </w:tcPr>
    </w:tblStylePr>
    <w:tblStylePr w:type="seCell">
      <w:tblPr/>
      <w:tcPr>
        <w:tcBorders>
          <w:top w:val="single" w:sz="4" w:space="0" w:color="C8CED8" w:themeColor="accent2" w:themeTint="99"/>
        </w:tcBorders>
      </w:tcPr>
    </w:tblStylePr>
    <w:tblStylePr w:type="swCell">
      <w:tblPr/>
      <w:tcPr>
        <w:tcBorders>
          <w:top w:val="single" w:sz="4" w:space="0" w:color="C8CED8" w:themeColor="accent2" w:themeTint="99"/>
        </w:tcBorders>
      </w:tcPr>
    </w:tblStylePr>
  </w:style>
  <w:style w:type="table" w:styleId="GridTable7Colorful-Accent3">
    <w:name w:val="Grid Table 7 Colorful Accent 3"/>
    <w:basedOn w:val="TableNormal"/>
    <w:uiPriority w:val="52"/>
    <w:rsid w:val="00A21B54"/>
    <w:rPr>
      <w:color w:val="6F6D6C" w:themeColor="accent3" w:themeShade="BF"/>
    </w:rPr>
    <w:tblPr>
      <w:tblStyleRowBandSize w:val="1"/>
      <w:tblStyleColBandSize w:val="1"/>
      <w:tblBorders>
        <w:top w:val="single" w:sz="4" w:space="0" w:color="BEBDBC" w:themeColor="accent3" w:themeTint="99"/>
        <w:left w:val="single" w:sz="4" w:space="0" w:color="BEBDBC" w:themeColor="accent3" w:themeTint="99"/>
        <w:bottom w:val="single" w:sz="4" w:space="0" w:color="BEBDBC" w:themeColor="accent3" w:themeTint="99"/>
        <w:right w:val="single" w:sz="4" w:space="0" w:color="BEBDBC" w:themeColor="accent3" w:themeTint="99"/>
        <w:insideH w:val="single" w:sz="4" w:space="0" w:color="BEBDBC" w:themeColor="accent3" w:themeTint="99"/>
        <w:insideV w:val="single" w:sz="4" w:space="0" w:color="BEBDB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E9E8" w:themeFill="accent3" w:themeFillTint="33"/>
      </w:tcPr>
    </w:tblStylePr>
    <w:tblStylePr w:type="band1Horz">
      <w:tblPr/>
      <w:tcPr>
        <w:shd w:val="clear" w:color="auto" w:fill="E9E9E8" w:themeFill="accent3" w:themeFillTint="33"/>
      </w:tcPr>
    </w:tblStylePr>
    <w:tblStylePr w:type="neCell">
      <w:tblPr/>
      <w:tcPr>
        <w:tcBorders>
          <w:bottom w:val="single" w:sz="4" w:space="0" w:color="BEBDBC" w:themeColor="accent3" w:themeTint="99"/>
        </w:tcBorders>
      </w:tcPr>
    </w:tblStylePr>
    <w:tblStylePr w:type="nwCell">
      <w:tblPr/>
      <w:tcPr>
        <w:tcBorders>
          <w:bottom w:val="single" w:sz="4" w:space="0" w:color="BEBDBC" w:themeColor="accent3" w:themeTint="99"/>
        </w:tcBorders>
      </w:tcPr>
    </w:tblStylePr>
    <w:tblStylePr w:type="seCell">
      <w:tblPr/>
      <w:tcPr>
        <w:tcBorders>
          <w:top w:val="single" w:sz="4" w:space="0" w:color="BEBDBC" w:themeColor="accent3" w:themeTint="99"/>
        </w:tcBorders>
      </w:tcPr>
    </w:tblStylePr>
    <w:tblStylePr w:type="swCell">
      <w:tblPr/>
      <w:tcPr>
        <w:tcBorders>
          <w:top w:val="single" w:sz="4" w:space="0" w:color="BEBDBC" w:themeColor="accent3" w:themeTint="99"/>
        </w:tcBorders>
      </w:tcPr>
    </w:tblStylePr>
  </w:style>
  <w:style w:type="table" w:styleId="GridTable7Colorful-Accent4">
    <w:name w:val="Grid Table 7 Colorful Accent 4"/>
    <w:basedOn w:val="TableNormal"/>
    <w:uiPriority w:val="52"/>
    <w:rsid w:val="00A21B54"/>
    <w:rPr>
      <w:color w:val="B4AA9F" w:themeColor="accent4" w:themeShade="BF"/>
    </w:rPr>
    <w:tblPr>
      <w:tblStyleRowBandSize w:val="1"/>
      <w:tblStyleColBandSize w:val="1"/>
      <w:tblBorders>
        <w:top w:val="single" w:sz="4" w:space="0" w:color="F0EEEB" w:themeColor="accent4" w:themeTint="99"/>
        <w:left w:val="single" w:sz="4" w:space="0" w:color="F0EEEB" w:themeColor="accent4" w:themeTint="99"/>
        <w:bottom w:val="single" w:sz="4" w:space="0" w:color="F0EEEB" w:themeColor="accent4" w:themeTint="99"/>
        <w:right w:val="single" w:sz="4" w:space="0" w:color="F0EEEB" w:themeColor="accent4" w:themeTint="99"/>
        <w:insideH w:val="single" w:sz="4" w:space="0" w:color="F0EEEB" w:themeColor="accent4" w:themeTint="99"/>
        <w:insideV w:val="single" w:sz="4" w:space="0" w:color="F0EEE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9F8" w:themeFill="accent4" w:themeFillTint="33"/>
      </w:tcPr>
    </w:tblStylePr>
    <w:tblStylePr w:type="band1Horz">
      <w:tblPr/>
      <w:tcPr>
        <w:shd w:val="clear" w:color="auto" w:fill="FAF9F8" w:themeFill="accent4" w:themeFillTint="33"/>
      </w:tcPr>
    </w:tblStylePr>
    <w:tblStylePr w:type="neCell">
      <w:tblPr/>
      <w:tcPr>
        <w:tcBorders>
          <w:bottom w:val="single" w:sz="4" w:space="0" w:color="F0EEEB" w:themeColor="accent4" w:themeTint="99"/>
        </w:tcBorders>
      </w:tcPr>
    </w:tblStylePr>
    <w:tblStylePr w:type="nwCell">
      <w:tblPr/>
      <w:tcPr>
        <w:tcBorders>
          <w:bottom w:val="single" w:sz="4" w:space="0" w:color="F0EEEB" w:themeColor="accent4" w:themeTint="99"/>
        </w:tcBorders>
      </w:tcPr>
    </w:tblStylePr>
    <w:tblStylePr w:type="seCell">
      <w:tblPr/>
      <w:tcPr>
        <w:tcBorders>
          <w:top w:val="single" w:sz="4" w:space="0" w:color="F0EEEB" w:themeColor="accent4" w:themeTint="99"/>
        </w:tcBorders>
      </w:tcPr>
    </w:tblStylePr>
    <w:tblStylePr w:type="swCell">
      <w:tblPr/>
      <w:tcPr>
        <w:tcBorders>
          <w:top w:val="single" w:sz="4" w:space="0" w:color="F0EEEB" w:themeColor="accent4" w:themeTint="99"/>
        </w:tcBorders>
      </w:tcPr>
    </w:tblStylePr>
  </w:style>
  <w:style w:type="table" w:styleId="GridTable7Colorful-Accent5">
    <w:name w:val="Grid Table 7 Colorful Accent 5"/>
    <w:basedOn w:val="TableNormal"/>
    <w:uiPriority w:val="52"/>
    <w:rsid w:val="00A21B54"/>
    <w:rPr>
      <w:color w:val="383735" w:themeColor="accent5" w:themeShade="BF"/>
    </w:rPr>
    <w:tblPr>
      <w:tblStyleRowBandSize w:val="1"/>
      <w:tblStyleColBandSize w:val="1"/>
      <w:tblBorders>
        <w:top w:val="single" w:sz="4" w:space="0" w:color="95928E" w:themeColor="accent5" w:themeTint="99"/>
        <w:left w:val="single" w:sz="4" w:space="0" w:color="95928E" w:themeColor="accent5" w:themeTint="99"/>
        <w:bottom w:val="single" w:sz="4" w:space="0" w:color="95928E" w:themeColor="accent5" w:themeTint="99"/>
        <w:right w:val="single" w:sz="4" w:space="0" w:color="95928E" w:themeColor="accent5" w:themeTint="99"/>
        <w:insideH w:val="single" w:sz="4" w:space="0" w:color="95928E" w:themeColor="accent5" w:themeTint="99"/>
        <w:insideV w:val="single" w:sz="4" w:space="0" w:color="95928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DAD9" w:themeFill="accent5" w:themeFillTint="33"/>
      </w:tcPr>
    </w:tblStylePr>
    <w:tblStylePr w:type="band1Horz">
      <w:tblPr/>
      <w:tcPr>
        <w:shd w:val="clear" w:color="auto" w:fill="DCDAD9" w:themeFill="accent5" w:themeFillTint="33"/>
      </w:tcPr>
    </w:tblStylePr>
    <w:tblStylePr w:type="neCell">
      <w:tblPr/>
      <w:tcPr>
        <w:tcBorders>
          <w:bottom w:val="single" w:sz="4" w:space="0" w:color="95928E" w:themeColor="accent5" w:themeTint="99"/>
        </w:tcBorders>
      </w:tcPr>
    </w:tblStylePr>
    <w:tblStylePr w:type="nwCell">
      <w:tblPr/>
      <w:tcPr>
        <w:tcBorders>
          <w:bottom w:val="single" w:sz="4" w:space="0" w:color="95928E" w:themeColor="accent5" w:themeTint="99"/>
        </w:tcBorders>
      </w:tcPr>
    </w:tblStylePr>
    <w:tblStylePr w:type="seCell">
      <w:tblPr/>
      <w:tcPr>
        <w:tcBorders>
          <w:top w:val="single" w:sz="4" w:space="0" w:color="95928E" w:themeColor="accent5" w:themeTint="99"/>
        </w:tcBorders>
      </w:tcPr>
    </w:tblStylePr>
    <w:tblStylePr w:type="swCell">
      <w:tblPr/>
      <w:tcPr>
        <w:tcBorders>
          <w:top w:val="single" w:sz="4" w:space="0" w:color="95928E" w:themeColor="accent5" w:themeTint="99"/>
        </w:tcBorders>
      </w:tcPr>
    </w:tblStylePr>
  </w:style>
  <w:style w:type="table" w:styleId="GridTable7Colorful-Accent6">
    <w:name w:val="Grid Table 7 Colorful Accent 6"/>
    <w:basedOn w:val="TableNormal"/>
    <w:uiPriority w:val="52"/>
    <w:rsid w:val="00A21B54"/>
    <w:rPr>
      <w:color w:val="929EB1" w:themeColor="accent6" w:themeShade="BF"/>
    </w:rPr>
    <w:tblPr>
      <w:tblStyleRowBandSize w:val="1"/>
      <w:tblStyleColBandSize w:val="1"/>
      <w:tblBorders>
        <w:top w:val="single" w:sz="4" w:space="0" w:color="E3E6EB" w:themeColor="accent6" w:themeTint="99"/>
        <w:left w:val="single" w:sz="4" w:space="0" w:color="E3E6EB" w:themeColor="accent6" w:themeTint="99"/>
        <w:bottom w:val="single" w:sz="4" w:space="0" w:color="E3E6EB" w:themeColor="accent6" w:themeTint="99"/>
        <w:right w:val="single" w:sz="4" w:space="0" w:color="E3E6EB" w:themeColor="accent6" w:themeTint="99"/>
        <w:insideH w:val="single" w:sz="4" w:space="0" w:color="E3E6EB" w:themeColor="accent6" w:themeTint="99"/>
        <w:insideV w:val="single" w:sz="4" w:space="0" w:color="E3E6E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6F8" w:themeFill="accent6" w:themeFillTint="33"/>
      </w:tcPr>
    </w:tblStylePr>
    <w:tblStylePr w:type="band1Horz">
      <w:tblPr/>
      <w:tcPr>
        <w:shd w:val="clear" w:color="auto" w:fill="F5F6F8" w:themeFill="accent6" w:themeFillTint="33"/>
      </w:tcPr>
    </w:tblStylePr>
    <w:tblStylePr w:type="neCell">
      <w:tblPr/>
      <w:tcPr>
        <w:tcBorders>
          <w:bottom w:val="single" w:sz="4" w:space="0" w:color="E3E6EB" w:themeColor="accent6" w:themeTint="99"/>
        </w:tcBorders>
      </w:tcPr>
    </w:tblStylePr>
    <w:tblStylePr w:type="nwCell">
      <w:tblPr/>
      <w:tcPr>
        <w:tcBorders>
          <w:bottom w:val="single" w:sz="4" w:space="0" w:color="E3E6EB" w:themeColor="accent6" w:themeTint="99"/>
        </w:tcBorders>
      </w:tcPr>
    </w:tblStylePr>
    <w:tblStylePr w:type="seCell">
      <w:tblPr/>
      <w:tcPr>
        <w:tcBorders>
          <w:top w:val="single" w:sz="4" w:space="0" w:color="E3E6EB" w:themeColor="accent6" w:themeTint="99"/>
        </w:tcBorders>
      </w:tcPr>
    </w:tblStylePr>
    <w:tblStylePr w:type="swCell">
      <w:tblPr/>
      <w:tcPr>
        <w:tcBorders>
          <w:top w:val="single" w:sz="4" w:space="0" w:color="E3E6EB" w:themeColor="accent6" w:themeTint="99"/>
        </w:tcBorders>
      </w:tcPr>
    </w:tblStylePr>
  </w:style>
  <w:style w:type="character" w:styleId="Hashtag">
    <w:name w:val="Hashtag"/>
    <w:basedOn w:val="DefaultParagraphFont"/>
    <w:uiPriority w:val="99"/>
    <w:semiHidden/>
    <w:unhideWhenUsed/>
    <w:rsid w:val="00A21B54"/>
    <w:rPr>
      <w:rFonts w:asciiTheme="minorHAnsi" w:hAnsiTheme="minorHAnsi"/>
      <w:color w:val="2B579A"/>
      <w:shd w:val="clear" w:color="auto" w:fill="E1DFDD"/>
    </w:rPr>
  </w:style>
  <w:style w:type="table" w:styleId="ListTable1Light">
    <w:name w:val="List Table 1 Light"/>
    <w:basedOn w:val="TableNormal"/>
    <w:uiPriority w:val="46"/>
    <w:rsid w:val="00A21B54"/>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A21B54"/>
    <w:tblPr>
      <w:tblStyleRowBandSize w:val="1"/>
      <w:tblStyleColBandSize w:val="1"/>
    </w:tblPr>
    <w:tblStylePr w:type="firstRow">
      <w:rPr>
        <w:b/>
        <w:bCs/>
      </w:rPr>
      <w:tblPr/>
      <w:tcPr>
        <w:tcBorders>
          <w:bottom w:val="single" w:sz="4" w:space="0" w:color="4B7AC9" w:themeColor="accent1" w:themeTint="99"/>
        </w:tcBorders>
      </w:tcPr>
    </w:tblStylePr>
    <w:tblStylePr w:type="lastRow">
      <w:rPr>
        <w:b/>
        <w:bCs/>
      </w:rPr>
      <w:tblPr/>
      <w:tcPr>
        <w:tcBorders>
          <w:top w:val="single" w:sz="4" w:space="0" w:color="4B7AC9" w:themeColor="accent1" w:themeTint="99"/>
        </w:tcBorders>
      </w:tc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ListTable1Light-Accent2">
    <w:name w:val="List Table 1 Light Accent 2"/>
    <w:basedOn w:val="TableNormal"/>
    <w:uiPriority w:val="46"/>
    <w:rsid w:val="00A21B54"/>
    <w:tblPr>
      <w:tblStyleRowBandSize w:val="1"/>
      <w:tblStyleColBandSize w:val="1"/>
    </w:tblPr>
    <w:tblStylePr w:type="firstRow">
      <w:rPr>
        <w:b/>
        <w:bCs/>
      </w:rPr>
      <w:tblPr/>
      <w:tcPr>
        <w:tcBorders>
          <w:bottom w:val="single" w:sz="4" w:space="0" w:color="C8CED8" w:themeColor="accent2" w:themeTint="99"/>
        </w:tcBorders>
      </w:tcPr>
    </w:tblStylePr>
    <w:tblStylePr w:type="lastRow">
      <w:rPr>
        <w:b/>
        <w:bCs/>
      </w:rPr>
      <w:tblPr/>
      <w:tcPr>
        <w:tcBorders>
          <w:top w:val="single" w:sz="4" w:space="0" w:color="C8CED8" w:themeColor="accent2" w:themeTint="99"/>
        </w:tcBorders>
      </w:tc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ListTable1Light-Accent3">
    <w:name w:val="List Table 1 Light Accent 3"/>
    <w:basedOn w:val="TableNormal"/>
    <w:uiPriority w:val="46"/>
    <w:rsid w:val="00A21B54"/>
    <w:tblPr>
      <w:tblStyleRowBandSize w:val="1"/>
      <w:tblStyleColBandSize w:val="1"/>
    </w:tblPr>
    <w:tblStylePr w:type="firstRow">
      <w:rPr>
        <w:b/>
        <w:bCs/>
      </w:rPr>
      <w:tblPr/>
      <w:tcPr>
        <w:tcBorders>
          <w:bottom w:val="single" w:sz="4" w:space="0" w:color="BEBDBC" w:themeColor="accent3" w:themeTint="99"/>
        </w:tcBorders>
      </w:tcPr>
    </w:tblStylePr>
    <w:tblStylePr w:type="lastRow">
      <w:rPr>
        <w:b/>
        <w:bCs/>
      </w:rPr>
      <w:tblPr/>
      <w:tcPr>
        <w:tcBorders>
          <w:top w:val="single" w:sz="4" w:space="0" w:color="BEBDBC" w:themeColor="accent3" w:themeTint="99"/>
        </w:tcBorders>
      </w:tc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ListTable1Light-Accent4">
    <w:name w:val="List Table 1 Light Accent 4"/>
    <w:basedOn w:val="TableNormal"/>
    <w:uiPriority w:val="46"/>
    <w:rsid w:val="00A21B54"/>
    <w:tblPr>
      <w:tblStyleRowBandSize w:val="1"/>
      <w:tblStyleColBandSize w:val="1"/>
    </w:tblPr>
    <w:tblStylePr w:type="firstRow">
      <w:rPr>
        <w:b/>
        <w:bCs/>
      </w:rPr>
      <w:tblPr/>
      <w:tcPr>
        <w:tcBorders>
          <w:bottom w:val="single" w:sz="4" w:space="0" w:color="F0EEEB" w:themeColor="accent4" w:themeTint="99"/>
        </w:tcBorders>
      </w:tcPr>
    </w:tblStylePr>
    <w:tblStylePr w:type="lastRow">
      <w:rPr>
        <w:b/>
        <w:bCs/>
      </w:rPr>
      <w:tblPr/>
      <w:tcPr>
        <w:tcBorders>
          <w:top w:val="single" w:sz="4" w:space="0" w:color="F0EEEB" w:themeColor="accent4" w:themeTint="99"/>
        </w:tcBorders>
      </w:tc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ListTable1Light-Accent5">
    <w:name w:val="List Table 1 Light Accent 5"/>
    <w:basedOn w:val="TableNormal"/>
    <w:uiPriority w:val="46"/>
    <w:rsid w:val="00A21B54"/>
    <w:tblPr>
      <w:tblStyleRowBandSize w:val="1"/>
      <w:tblStyleColBandSize w:val="1"/>
    </w:tblPr>
    <w:tblStylePr w:type="firstRow">
      <w:rPr>
        <w:b/>
        <w:bCs/>
      </w:rPr>
      <w:tblPr/>
      <w:tcPr>
        <w:tcBorders>
          <w:bottom w:val="single" w:sz="4" w:space="0" w:color="95928E" w:themeColor="accent5" w:themeTint="99"/>
        </w:tcBorders>
      </w:tcPr>
    </w:tblStylePr>
    <w:tblStylePr w:type="lastRow">
      <w:rPr>
        <w:b/>
        <w:bCs/>
      </w:rPr>
      <w:tblPr/>
      <w:tcPr>
        <w:tcBorders>
          <w:top w:val="single" w:sz="4" w:space="0" w:color="95928E" w:themeColor="accent5" w:themeTint="99"/>
        </w:tcBorders>
      </w:tc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ListTable1Light-Accent6">
    <w:name w:val="List Table 1 Light Accent 6"/>
    <w:basedOn w:val="TableNormal"/>
    <w:uiPriority w:val="46"/>
    <w:rsid w:val="00A21B54"/>
    <w:tblPr>
      <w:tblStyleRowBandSize w:val="1"/>
      <w:tblStyleColBandSize w:val="1"/>
    </w:tblPr>
    <w:tblStylePr w:type="firstRow">
      <w:rPr>
        <w:b/>
        <w:bCs/>
      </w:rPr>
      <w:tblPr/>
      <w:tcPr>
        <w:tcBorders>
          <w:bottom w:val="single" w:sz="4" w:space="0" w:color="E3E6EB" w:themeColor="accent6" w:themeTint="99"/>
        </w:tcBorders>
      </w:tcPr>
    </w:tblStylePr>
    <w:tblStylePr w:type="lastRow">
      <w:rPr>
        <w:b/>
        <w:bCs/>
      </w:rPr>
      <w:tblPr/>
      <w:tcPr>
        <w:tcBorders>
          <w:top w:val="single" w:sz="4" w:space="0" w:color="E3E6EB" w:themeColor="accent6" w:themeTint="99"/>
        </w:tcBorders>
      </w:tc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ListTable2">
    <w:name w:val="List Table 2"/>
    <w:basedOn w:val="TableNormal"/>
    <w:uiPriority w:val="47"/>
    <w:rsid w:val="00A21B54"/>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A21B54"/>
    <w:tblPr>
      <w:tblStyleRowBandSize w:val="1"/>
      <w:tblStyleColBandSize w:val="1"/>
      <w:tblBorders>
        <w:top w:val="single" w:sz="4" w:space="0" w:color="4B7AC9" w:themeColor="accent1" w:themeTint="99"/>
        <w:bottom w:val="single" w:sz="4" w:space="0" w:color="4B7AC9" w:themeColor="accent1" w:themeTint="99"/>
        <w:insideH w:val="single" w:sz="4" w:space="0" w:color="4B7AC9"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ListTable2-Accent2">
    <w:name w:val="List Table 2 Accent 2"/>
    <w:basedOn w:val="TableNormal"/>
    <w:uiPriority w:val="47"/>
    <w:rsid w:val="00A21B54"/>
    <w:tblPr>
      <w:tblStyleRowBandSize w:val="1"/>
      <w:tblStyleColBandSize w:val="1"/>
      <w:tblBorders>
        <w:top w:val="single" w:sz="4" w:space="0" w:color="C8CED8" w:themeColor="accent2" w:themeTint="99"/>
        <w:bottom w:val="single" w:sz="4" w:space="0" w:color="C8CED8" w:themeColor="accent2" w:themeTint="99"/>
        <w:insideH w:val="single" w:sz="4" w:space="0" w:color="C8CED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ListTable2-Accent3">
    <w:name w:val="List Table 2 Accent 3"/>
    <w:basedOn w:val="TableNormal"/>
    <w:uiPriority w:val="47"/>
    <w:rsid w:val="00A21B54"/>
    <w:tblPr>
      <w:tblStyleRowBandSize w:val="1"/>
      <w:tblStyleColBandSize w:val="1"/>
      <w:tblBorders>
        <w:top w:val="single" w:sz="4" w:space="0" w:color="BEBDBC" w:themeColor="accent3" w:themeTint="99"/>
        <w:bottom w:val="single" w:sz="4" w:space="0" w:color="BEBDBC" w:themeColor="accent3" w:themeTint="99"/>
        <w:insideH w:val="single" w:sz="4" w:space="0" w:color="BEBDB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ListTable2-Accent4">
    <w:name w:val="List Table 2 Accent 4"/>
    <w:basedOn w:val="TableNormal"/>
    <w:uiPriority w:val="47"/>
    <w:rsid w:val="00A21B54"/>
    <w:tblPr>
      <w:tblStyleRowBandSize w:val="1"/>
      <w:tblStyleColBandSize w:val="1"/>
      <w:tblBorders>
        <w:top w:val="single" w:sz="4" w:space="0" w:color="F0EEEB" w:themeColor="accent4" w:themeTint="99"/>
        <w:bottom w:val="single" w:sz="4" w:space="0" w:color="F0EEEB" w:themeColor="accent4" w:themeTint="99"/>
        <w:insideH w:val="single" w:sz="4" w:space="0" w:color="F0EEE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ListTable2-Accent5">
    <w:name w:val="List Table 2 Accent 5"/>
    <w:basedOn w:val="TableNormal"/>
    <w:uiPriority w:val="47"/>
    <w:rsid w:val="00A21B54"/>
    <w:tblPr>
      <w:tblStyleRowBandSize w:val="1"/>
      <w:tblStyleColBandSize w:val="1"/>
      <w:tblBorders>
        <w:top w:val="single" w:sz="4" w:space="0" w:color="95928E" w:themeColor="accent5" w:themeTint="99"/>
        <w:bottom w:val="single" w:sz="4" w:space="0" w:color="95928E" w:themeColor="accent5" w:themeTint="99"/>
        <w:insideH w:val="single" w:sz="4" w:space="0" w:color="95928E"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ListTable2-Accent6">
    <w:name w:val="List Table 2 Accent 6"/>
    <w:basedOn w:val="TableNormal"/>
    <w:uiPriority w:val="47"/>
    <w:rsid w:val="00A21B54"/>
    <w:tblPr>
      <w:tblStyleRowBandSize w:val="1"/>
      <w:tblStyleColBandSize w:val="1"/>
      <w:tblBorders>
        <w:top w:val="single" w:sz="4" w:space="0" w:color="E3E6EB" w:themeColor="accent6" w:themeTint="99"/>
        <w:bottom w:val="single" w:sz="4" w:space="0" w:color="E3E6EB" w:themeColor="accent6" w:themeTint="99"/>
        <w:insideH w:val="single" w:sz="4" w:space="0" w:color="E3E6EB"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ListTable3">
    <w:name w:val="List Table 3"/>
    <w:basedOn w:val="TableNormal"/>
    <w:uiPriority w:val="48"/>
    <w:rsid w:val="00A21B54"/>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A21B54"/>
    <w:tblPr>
      <w:tblStyleRowBandSize w:val="1"/>
      <w:tblStyleColBandSize w:val="1"/>
      <w:tblBorders>
        <w:top w:val="single" w:sz="4" w:space="0" w:color="1C355E" w:themeColor="accent1"/>
        <w:left w:val="single" w:sz="4" w:space="0" w:color="1C355E" w:themeColor="accent1"/>
        <w:bottom w:val="single" w:sz="4" w:space="0" w:color="1C355E" w:themeColor="accent1"/>
        <w:right w:val="single" w:sz="4" w:space="0" w:color="1C355E" w:themeColor="accent1"/>
      </w:tblBorders>
    </w:tblPr>
    <w:tblStylePr w:type="firstRow">
      <w:rPr>
        <w:b/>
        <w:bCs/>
        <w:color w:val="FFFFFF" w:themeColor="background1"/>
      </w:rPr>
      <w:tblPr/>
      <w:tcPr>
        <w:shd w:val="clear" w:color="auto" w:fill="1C355E" w:themeFill="accent1"/>
      </w:tcPr>
    </w:tblStylePr>
    <w:tblStylePr w:type="lastRow">
      <w:rPr>
        <w:b/>
        <w:bCs/>
      </w:rPr>
      <w:tblPr/>
      <w:tcPr>
        <w:tcBorders>
          <w:top w:val="double" w:sz="4" w:space="0" w:color="1C355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355E" w:themeColor="accent1"/>
          <w:right w:val="single" w:sz="4" w:space="0" w:color="1C355E" w:themeColor="accent1"/>
        </w:tcBorders>
      </w:tcPr>
    </w:tblStylePr>
    <w:tblStylePr w:type="band1Horz">
      <w:tblPr/>
      <w:tcPr>
        <w:tcBorders>
          <w:top w:val="single" w:sz="4" w:space="0" w:color="1C355E" w:themeColor="accent1"/>
          <w:bottom w:val="single" w:sz="4" w:space="0" w:color="1C355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355E" w:themeColor="accent1"/>
          <w:left w:val="nil"/>
        </w:tcBorders>
      </w:tcPr>
    </w:tblStylePr>
    <w:tblStylePr w:type="swCell">
      <w:tblPr/>
      <w:tcPr>
        <w:tcBorders>
          <w:top w:val="double" w:sz="4" w:space="0" w:color="1C355E" w:themeColor="accent1"/>
          <w:right w:val="nil"/>
        </w:tcBorders>
      </w:tcPr>
    </w:tblStylePr>
  </w:style>
  <w:style w:type="table" w:styleId="ListTable3-Accent2">
    <w:name w:val="List Table 3 Accent 2"/>
    <w:basedOn w:val="TableNormal"/>
    <w:uiPriority w:val="48"/>
    <w:rsid w:val="00A21B54"/>
    <w:tblPr>
      <w:tblStyleRowBandSize w:val="1"/>
      <w:tblStyleColBandSize w:val="1"/>
      <w:tblBorders>
        <w:top w:val="single" w:sz="4" w:space="0" w:color="A4AEBF" w:themeColor="accent2"/>
        <w:left w:val="single" w:sz="4" w:space="0" w:color="A4AEBF" w:themeColor="accent2"/>
        <w:bottom w:val="single" w:sz="4" w:space="0" w:color="A4AEBF" w:themeColor="accent2"/>
        <w:right w:val="single" w:sz="4" w:space="0" w:color="A4AEBF" w:themeColor="accent2"/>
      </w:tblBorders>
    </w:tblPr>
    <w:tblStylePr w:type="firstRow">
      <w:rPr>
        <w:b/>
        <w:bCs/>
        <w:color w:val="FFFFFF" w:themeColor="background1"/>
      </w:rPr>
      <w:tblPr/>
      <w:tcPr>
        <w:shd w:val="clear" w:color="auto" w:fill="A4AEBF" w:themeFill="accent2"/>
      </w:tcPr>
    </w:tblStylePr>
    <w:tblStylePr w:type="lastRow">
      <w:rPr>
        <w:b/>
        <w:bCs/>
      </w:rPr>
      <w:tblPr/>
      <w:tcPr>
        <w:tcBorders>
          <w:top w:val="double" w:sz="4" w:space="0" w:color="A4AEB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4AEBF" w:themeColor="accent2"/>
          <w:right w:val="single" w:sz="4" w:space="0" w:color="A4AEBF" w:themeColor="accent2"/>
        </w:tcBorders>
      </w:tcPr>
    </w:tblStylePr>
    <w:tblStylePr w:type="band1Horz">
      <w:tblPr/>
      <w:tcPr>
        <w:tcBorders>
          <w:top w:val="single" w:sz="4" w:space="0" w:color="A4AEBF" w:themeColor="accent2"/>
          <w:bottom w:val="single" w:sz="4" w:space="0" w:color="A4AEB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4AEBF" w:themeColor="accent2"/>
          <w:left w:val="nil"/>
        </w:tcBorders>
      </w:tcPr>
    </w:tblStylePr>
    <w:tblStylePr w:type="swCell">
      <w:tblPr/>
      <w:tcPr>
        <w:tcBorders>
          <w:top w:val="double" w:sz="4" w:space="0" w:color="A4AEBF" w:themeColor="accent2"/>
          <w:right w:val="nil"/>
        </w:tcBorders>
      </w:tcPr>
    </w:tblStylePr>
  </w:style>
  <w:style w:type="table" w:styleId="ListTable3-Accent3">
    <w:name w:val="List Table 3 Accent 3"/>
    <w:basedOn w:val="TableNormal"/>
    <w:uiPriority w:val="48"/>
    <w:rsid w:val="00A21B54"/>
    <w:tblPr>
      <w:tblStyleRowBandSize w:val="1"/>
      <w:tblStyleColBandSize w:val="1"/>
      <w:tblBorders>
        <w:top w:val="single" w:sz="4" w:space="0" w:color="949291" w:themeColor="accent3"/>
        <w:left w:val="single" w:sz="4" w:space="0" w:color="949291" w:themeColor="accent3"/>
        <w:bottom w:val="single" w:sz="4" w:space="0" w:color="949291" w:themeColor="accent3"/>
        <w:right w:val="single" w:sz="4" w:space="0" w:color="949291" w:themeColor="accent3"/>
      </w:tblBorders>
    </w:tblPr>
    <w:tblStylePr w:type="firstRow">
      <w:rPr>
        <w:b/>
        <w:bCs/>
        <w:color w:val="FFFFFF" w:themeColor="background1"/>
      </w:rPr>
      <w:tblPr/>
      <w:tcPr>
        <w:shd w:val="clear" w:color="auto" w:fill="949291" w:themeFill="accent3"/>
      </w:tcPr>
    </w:tblStylePr>
    <w:tblStylePr w:type="lastRow">
      <w:rPr>
        <w:b/>
        <w:bCs/>
      </w:rPr>
      <w:tblPr/>
      <w:tcPr>
        <w:tcBorders>
          <w:top w:val="double" w:sz="4" w:space="0" w:color="94929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9291" w:themeColor="accent3"/>
          <w:right w:val="single" w:sz="4" w:space="0" w:color="949291" w:themeColor="accent3"/>
        </w:tcBorders>
      </w:tcPr>
    </w:tblStylePr>
    <w:tblStylePr w:type="band1Horz">
      <w:tblPr/>
      <w:tcPr>
        <w:tcBorders>
          <w:top w:val="single" w:sz="4" w:space="0" w:color="949291" w:themeColor="accent3"/>
          <w:bottom w:val="single" w:sz="4" w:space="0" w:color="94929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9291" w:themeColor="accent3"/>
          <w:left w:val="nil"/>
        </w:tcBorders>
      </w:tcPr>
    </w:tblStylePr>
    <w:tblStylePr w:type="swCell">
      <w:tblPr/>
      <w:tcPr>
        <w:tcBorders>
          <w:top w:val="double" w:sz="4" w:space="0" w:color="949291" w:themeColor="accent3"/>
          <w:right w:val="nil"/>
        </w:tcBorders>
      </w:tcPr>
    </w:tblStylePr>
  </w:style>
  <w:style w:type="table" w:styleId="ListTable3-Accent4">
    <w:name w:val="List Table 3 Accent 4"/>
    <w:basedOn w:val="TableNormal"/>
    <w:uiPriority w:val="48"/>
    <w:rsid w:val="00A21B54"/>
    <w:tblPr>
      <w:tblStyleRowBandSize w:val="1"/>
      <w:tblStyleColBandSize w:val="1"/>
      <w:tblBorders>
        <w:top w:val="single" w:sz="4" w:space="0" w:color="E6E3DF" w:themeColor="accent4"/>
        <w:left w:val="single" w:sz="4" w:space="0" w:color="E6E3DF" w:themeColor="accent4"/>
        <w:bottom w:val="single" w:sz="4" w:space="0" w:color="E6E3DF" w:themeColor="accent4"/>
        <w:right w:val="single" w:sz="4" w:space="0" w:color="E6E3DF" w:themeColor="accent4"/>
      </w:tblBorders>
    </w:tblPr>
    <w:tblStylePr w:type="firstRow">
      <w:rPr>
        <w:b/>
        <w:bCs/>
        <w:color w:val="FFFFFF" w:themeColor="background1"/>
      </w:rPr>
      <w:tblPr/>
      <w:tcPr>
        <w:shd w:val="clear" w:color="auto" w:fill="E6E3DF" w:themeFill="accent4"/>
      </w:tcPr>
    </w:tblStylePr>
    <w:tblStylePr w:type="lastRow">
      <w:rPr>
        <w:b/>
        <w:bCs/>
      </w:rPr>
      <w:tblPr/>
      <w:tcPr>
        <w:tcBorders>
          <w:top w:val="double" w:sz="4" w:space="0" w:color="E6E3D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6E3DF" w:themeColor="accent4"/>
          <w:right w:val="single" w:sz="4" w:space="0" w:color="E6E3DF" w:themeColor="accent4"/>
        </w:tcBorders>
      </w:tcPr>
    </w:tblStylePr>
    <w:tblStylePr w:type="band1Horz">
      <w:tblPr/>
      <w:tcPr>
        <w:tcBorders>
          <w:top w:val="single" w:sz="4" w:space="0" w:color="E6E3DF" w:themeColor="accent4"/>
          <w:bottom w:val="single" w:sz="4" w:space="0" w:color="E6E3D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6E3DF" w:themeColor="accent4"/>
          <w:left w:val="nil"/>
        </w:tcBorders>
      </w:tcPr>
    </w:tblStylePr>
    <w:tblStylePr w:type="swCell">
      <w:tblPr/>
      <w:tcPr>
        <w:tcBorders>
          <w:top w:val="double" w:sz="4" w:space="0" w:color="E6E3DF" w:themeColor="accent4"/>
          <w:right w:val="nil"/>
        </w:tcBorders>
      </w:tcPr>
    </w:tblStylePr>
  </w:style>
  <w:style w:type="table" w:styleId="ListTable3-Accent5">
    <w:name w:val="List Table 3 Accent 5"/>
    <w:basedOn w:val="TableNormal"/>
    <w:uiPriority w:val="48"/>
    <w:rsid w:val="00A21B54"/>
    <w:tblPr>
      <w:tblStyleRowBandSize w:val="1"/>
      <w:tblStyleColBandSize w:val="1"/>
      <w:tblBorders>
        <w:top w:val="single" w:sz="4" w:space="0" w:color="4C4A47" w:themeColor="accent5"/>
        <w:left w:val="single" w:sz="4" w:space="0" w:color="4C4A47" w:themeColor="accent5"/>
        <w:bottom w:val="single" w:sz="4" w:space="0" w:color="4C4A47" w:themeColor="accent5"/>
        <w:right w:val="single" w:sz="4" w:space="0" w:color="4C4A47" w:themeColor="accent5"/>
      </w:tblBorders>
    </w:tblPr>
    <w:tblStylePr w:type="firstRow">
      <w:rPr>
        <w:b/>
        <w:bCs/>
        <w:color w:val="FFFFFF" w:themeColor="background1"/>
      </w:rPr>
      <w:tblPr/>
      <w:tcPr>
        <w:shd w:val="clear" w:color="auto" w:fill="4C4A47" w:themeFill="accent5"/>
      </w:tcPr>
    </w:tblStylePr>
    <w:tblStylePr w:type="lastRow">
      <w:rPr>
        <w:b/>
        <w:bCs/>
      </w:rPr>
      <w:tblPr/>
      <w:tcPr>
        <w:tcBorders>
          <w:top w:val="double" w:sz="4" w:space="0" w:color="4C4A4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C4A47" w:themeColor="accent5"/>
          <w:right w:val="single" w:sz="4" w:space="0" w:color="4C4A47" w:themeColor="accent5"/>
        </w:tcBorders>
      </w:tcPr>
    </w:tblStylePr>
    <w:tblStylePr w:type="band1Horz">
      <w:tblPr/>
      <w:tcPr>
        <w:tcBorders>
          <w:top w:val="single" w:sz="4" w:space="0" w:color="4C4A47" w:themeColor="accent5"/>
          <w:bottom w:val="single" w:sz="4" w:space="0" w:color="4C4A4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C4A47" w:themeColor="accent5"/>
          <w:left w:val="nil"/>
        </w:tcBorders>
      </w:tcPr>
    </w:tblStylePr>
    <w:tblStylePr w:type="swCell">
      <w:tblPr/>
      <w:tcPr>
        <w:tcBorders>
          <w:top w:val="double" w:sz="4" w:space="0" w:color="4C4A47" w:themeColor="accent5"/>
          <w:right w:val="nil"/>
        </w:tcBorders>
      </w:tcPr>
    </w:tblStylePr>
  </w:style>
  <w:style w:type="table" w:styleId="ListTable3-Accent6">
    <w:name w:val="List Table 3 Accent 6"/>
    <w:basedOn w:val="TableNormal"/>
    <w:uiPriority w:val="48"/>
    <w:rsid w:val="00A21B54"/>
    <w:tblPr>
      <w:tblStyleRowBandSize w:val="1"/>
      <w:tblStyleColBandSize w:val="1"/>
      <w:tblBorders>
        <w:top w:val="single" w:sz="4" w:space="0" w:color="D2D7DF" w:themeColor="accent6"/>
        <w:left w:val="single" w:sz="4" w:space="0" w:color="D2D7DF" w:themeColor="accent6"/>
        <w:bottom w:val="single" w:sz="4" w:space="0" w:color="D2D7DF" w:themeColor="accent6"/>
        <w:right w:val="single" w:sz="4" w:space="0" w:color="D2D7DF" w:themeColor="accent6"/>
      </w:tblBorders>
    </w:tblPr>
    <w:tblStylePr w:type="firstRow">
      <w:rPr>
        <w:b/>
        <w:bCs/>
        <w:color w:val="FFFFFF" w:themeColor="background1"/>
      </w:rPr>
      <w:tblPr/>
      <w:tcPr>
        <w:shd w:val="clear" w:color="auto" w:fill="D2D7DF" w:themeFill="accent6"/>
      </w:tcPr>
    </w:tblStylePr>
    <w:tblStylePr w:type="lastRow">
      <w:rPr>
        <w:b/>
        <w:bCs/>
      </w:rPr>
      <w:tblPr/>
      <w:tcPr>
        <w:tcBorders>
          <w:top w:val="double" w:sz="4" w:space="0" w:color="D2D7D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2D7DF" w:themeColor="accent6"/>
          <w:right w:val="single" w:sz="4" w:space="0" w:color="D2D7DF" w:themeColor="accent6"/>
        </w:tcBorders>
      </w:tcPr>
    </w:tblStylePr>
    <w:tblStylePr w:type="band1Horz">
      <w:tblPr/>
      <w:tcPr>
        <w:tcBorders>
          <w:top w:val="single" w:sz="4" w:space="0" w:color="D2D7DF" w:themeColor="accent6"/>
          <w:bottom w:val="single" w:sz="4" w:space="0" w:color="D2D7D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2D7DF" w:themeColor="accent6"/>
          <w:left w:val="nil"/>
        </w:tcBorders>
      </w:tcPr>
    </w:tblStylePr>
    <w:tblStylePr w:type="swCell">
      <w:tblPr/>
      <w:tcPr>
        <w:tcBorders>
          <w:top w:val="double" w:sz="4" w:space="0" w:color="D2D7DF" w:themeColor="accent6"/>
          <w:right w:val="nil"/>
        </w:tcBorders>
      </w:tcPr>
    </w:tblStylePr>
  </w:style>
  <w:style w:type="table" w:styleId="ListTable4">
    <w:name w:val="List Table 4"/>
    <w:basedOn w:val="TableNormal"/>
    <w:uiPriority w:val="49"/>
    <w:rsid w:val="00A21B5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A21B54"/>
    <w:tblPr>
      <w:tblStyleRowBandSize w:val="1"/>
      <w:tblStyleColBandSize w:val="1"/>
      <w:tblBorders>
        <w:top w:val="single" w:sz="4" w:space="0" w:color="4B7AC9" w:themeColor="accent1" w:themeTint="99"/>
        <w:left w:val="single" w:sz="4" w:space="0" w:color="4B7AC9" w:themeColor="accent1" w:themeTint="99"/>
        <w:bottom w:val="single" w:sz="4" w:space="0" w:color="4B7AC9" w:themeColor="accent1" w:themeTint="99"/>
        <w:right w:val="single" w:sz="4" w:space="0" w:color="4B7AC9" w:themeColor="accent1" w:themeTint="99"/>
        <w:insideH w:val="single" w:sz="4" w:space="0" w:color="4B7AC9" w:themeColor="accent1" w:themeTint="99"/>
      </w:tblBorders>
    </w:tblPr>
    <w:tblStylePr w:type="firstRow">
      <w:rPr>
        <w:b/>
        <w:bCs/>
        <w:color w:val="FFFFFF" w:themeColor="background1"/>
      </w:rPr>
      <w:tblPr/>
      <w:tcPr>
        <w:tcBorders>
          <w:top w:val="single" w:sz="4" w:space="0" w:color="1C355E" w:themeColor="accent1"/>
          <w:left w:val="single" w:sz="4" w:space="0" w:color="1C355E" w:themeColor="accent1"/>
          <w:bottom w:val="single" w:sz="4" w:space="0" w:color="1C355E" w:themeColor="accent1"/>
          <w:right w:val="single" w:sz="4" w:space="0" w:color="1C355E" w:themeColor="accent1"/>
          <w:insideH w:val="nil"/>
        </w:tcBorders>
        <w:shd w:val="clear" w:color="auto" w:fill="1C355E" w:themeFill="accent1"/>
      </w:tcPr>
    </w:tblStylePr>
    <w:tblStylePr w:type="lastRow">
      <w:rPr>
        <w:b/>
        <w:bCs/>
      </w:rPr>
      <w:tblPr/>
      <w:tcPr>
        <w:tcBorders>
          <w:top w:val="double" w:sz="4" w:space="0" w:color="4B7AC9" w:themeColor="accent1" w:themeTint="99"/>
        </w:tcBorders>
      </w:tc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ListTable4-Accent2">
    <w:name w:val="List Table 4 Accent 2"/>
    <w:basedOn w:val="TableNormal"/>
    <w:uiPriority w:val="49"/>
    <w:rsid w:val="00A21B54"/>
    <w:tblPr>
      <w:tblStyleRowBandSize w:val="1"/>
      <w:tblStyleColBandSize w:val="1"/>
      <w:tblBorders>
        <w:top w:val="single" w:sz="4" w:space="0" w:color="C8CED8" w:themeColor="accent2" w:themeTint="99"/>
        <w:left w:val="single" w:sz="4" w:space="0" w:color="C8CED8" w:themeColor="accent2" w:themeTint="99"/>
        <w:bottom w:val="single" w:sz="4" w:space="0" w:color="C8CED8" w:themeColor="accent2" w:themeTint="99"/>
        <w:right w:val="single" w:sz="4" w:space="0" w:color="C8CED8" w:themeColor="accent2" w:themeTint="99"/>
        <w:insideH w:val="single" w:sz="4" w:space="0" w:color="C8CED8" w:themeColor="accent2" w:themeTint="99"/>
      </w:tblBorders>
    </w:tblPr>
    <w:tblStylePr w:type="firstRow">
      <w:rPr>
        <w:b/>
        <w:bCs/>
        <w:color w:val="FFFFFF" w:themeColor="background1"/>
      </w:rPr>
      <w:tblPr/>
      <w:tcPr>
        <w:tcBorders>
          <w:top w:val="single" w:sz="4" w:space="0" w:color="A4AEBF" w:themeColor="accent2"/>
          <w:left w:val="single" w:sz="4" w:space="0" w:color="A4AEBF" w:themeColor="accent2"/>
          <w:bottom w:val="single" w:sz="4" w:space="0" w:color="A4AEBF" w:themeColor="accent2"/>
          <w:right w:val="single" w:sz="4" w:space="0" w:color="A4AEBF" w:themeColor="accent2"/>
          <w:insideH w:val="nil"/>
        </w:tcBorders>
        <w:shd w:val="clear" w:color="auto" w:fill="A4AEBF" w:themeFill="accent2"/>
      </w:tcPr>
    </w:tblStylePr>
    <w:tblStylePr w:type="lastRow">
      <w:rPr>
        <w:b/>
        <w:bCs/>
      </w:rPr>
      <w:tblPr/>
      <w:tcPr>
        <w:tcBorders>
          <w:top w:val="double" w:sz="4" w:space="0" w:color="C8CED8" w:themeColor="accent2" w:themeTint="99"/>
        </w:tcBorders>
      </w:tc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ListTable4-Accent3">
    <w:name w:val="List Table 4 Accent 3"/>
    <w:basedOn w:val="TableNormal"/>
    <w:uiPriority w:val="49"/>
    <w:rsid w:val="00A21B54"/>
    <w:tblPr>
      <w:tblStyleRowBandSize w:val="1"/>
      <w:tblStyleColBandSize w:val="1"/>
      <w:tblBorders>
        <w:top w:val="single" w:sz="4" w:space="0" w:color="BEBDBC" w:themeColor="accent3" w:themeTint="99"/>
        <w:left w:val="single" w:sz="4" w:space="0" w:color="BEBDBC" w:themeColor="accent3" w:themeTint="99"/>
        <w:bottom w:val="single" w:sz="4" w:space="0" w:color="BEBDBC" w:themeColor="accent3" w:themeTint="99"/>
        <w:right w:val="single" w:sz="4" w:space="0" w:color="BEBDBC" w:themeColor="accent3" w:themeTint="99"/>
        <w:insideH w:val="single" w:sz="4" w:space="0" w:color="BEBDBC" w:themeColor="accent3" w:themeTint="99"/>
      </w:tblBorders>
    </w:tblPr>
    <w:tblStylePr w:type="firstRow">
      <w:rPr>
        <w:b/>
        <w:bCs/>
        <w:color w:val="FFFFFF" w:themeColor="background1"/>
      </w:rPr>
      <w:tblPr/>
      <w:tcPr>
        <w:tcBorders>
          <w:top w:val="single" w:sz="4" w:space="0" w:color="949291" w:themeColor="accent3"/>
          <w:left w:val="single" w:sz="4" w:space="0" w:color="949291" w:themeColor="accent3"/>
          <w:bottom w:val="single" w:sz="4" w:space="0" w:color="949291" w:themeColor="accent3"/>
          <w:right w:val="single" w:sz="4" w:space="0" w:color="949291" w:themeColor="accent3"/>
          <w:insideH w:val="nil"/>
        </w:tcBorders>
        <w:shd w:val="clear" w:color="auto" w:fill="949291" w:themeFill="accent3"/>
      </w:tcPr>
    </w:tblStylePr>
    <w:tblStylePr w:type="lastRow">
      <w:rPr>
        <w:b/>
        <w:bCs/>
      </w:rPr>
      <w:tblPr/>
      <w:tcPr>
        <w:tcBorders>
          <w:top w:val="double" w:sz="4" w:space="0" w:color="BEBDBC" w:themeColor="accent3" w:themeTint="99"/>
        </w:tcBorders>
      </w:tc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ListTable4-Accent4">
    <w:name w:val="List Table 4 Accent 4"/>
    <w:basedOn w:val="TableNormal"/>
    <w:uiPriority w:val="49"/>
    <w:rsid w:val="00A21B54"/>
    <w:tblPr>
      <w:tblStyleRowBandSize w:val="1"/>
      <w:tblStyleColBandSize w:val="1"/>
      <w:tblBorders>
        <w:top w:val="single" w:sz="4" w:space="0" w:color="F0EEEB" w:themeColor="accent4" w:themeTint="99"/>
        <w:left w:val="single" w:sz="4" w:space="0" w:color="F0EEEB" w:themeColor="accent4" w:themeTint="99"/>
        <w:bottom w:val="single" w:sz="4" w:space="0" w:color="F0EEEB" w:themeColor="accent4" w:themeTint="99"/>
        <w:right w:val="single" w:sz="4" w:space="0" w:color="F0EEEB" w:themeColor="accent4" w:themeTint="99"/>
        <w:insideH w:val="single" w:sz="4" w:space="0" w:color="F0EEEB" w:themeColor="accent4" w:themeTint="99"/>
      </w:tblBorders>
    </w:tblPr>
    <w:tblStylePr w:type="firstRow">
      <w:rPr>
        <w:b/>
        <w:bCs/>
        <w:color w:val="FFFFFF" w:themeColor="background1"/>
      </w:rPr>
      <w:tblPr/>
      <w:tcPr>
        <w:tcBorders>
          <w:top w:val="single" w:sz="4" w:space="0" w:color="E6E3DF" w:themeColor="accent4"/>
          <w:left w:val="single" w:sz="4" w:space="0" w:color="E6E3DF" w:themeColor="accent4"/>
          <w:bottom w:val="single" w:sz="4" w:space="0" w:color="E6E3DF" w:themeColor="accent4"/>
          <w:right w:val="single" w:sz="4" w:space="0" w:color="E6E3DF" w:themeColor="accent4"/>
          <w:insideH w:val="nil"/>
        </w:tcBorders>
        <w:shd w:val="clear" w:color="auto" w:fill="E6E3DF" w:themeFill="accent4"/>
      </w:tcPr>
    </w:tblStylePr>
    <w:tblStylePr w:type="lastRow">
      <w:rPr>
        <w:b/>
        <w:bCs/>
      </w:rPr>
      <w:tblPr/>
      <w:tcPr>
        <w:tcBorders>
          <w:top w:val="double" w:sz="4" w:space="0" w:color="F0EEEB" w:themeColor="accent4" w:themeTint="99"/>
        </w:tcBorders>
      </w:tc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ListTable4-Accent5">
    <w:name w:val="List Table 4 Accent 5"/>
    <w:basedOn w:val="TableNormal"/>
    <w:uiPriority w:val="49"/>
    <w:rsid w:val="00A21B54"/>
    <w:tblPr>
      <w:tblStyleRowBandSize w:val="1"/>
      <w:tblStyleColBandSize w:val="1"/>
      <w:tblBorders>
        <w:top w:val="single" w:sz="4" w:space="0" w:color="95928E" w:themeColor="accent5" w:themeTint="99"/>
        <w:left w:val="single" w:sz="4" w:space="0" w:color="95928E" w:themeColor="accent5" w:themeTint="99"/>
        <w:bottom w:val="single" w:sz="4" w:space="0" w:color="95928E" w:themeColor="accent5" w:themeTint="99"/>
        <w:right w:val="single" w:sz="4" w:space="0" w:color="95928E" w:themeColor="accent5" w:themeTint="99"/>
        <w:insideH w:val="single" w:sz="4" w:space="0" w:color="95928E" w:themeColor="accent5" w:themeTint="99"/>
      </w:tblBorders>
    </w:tblPr>
    <w:tblStylePr w:type="firstRow">
      <w:rPr>
        <w:b/>
        <w:bCs/>
        <w:color w:val="FFFFFF" w:themeColor="background1"/>
      </w:rPr>
      <w:tblPr/>
      <w:tcPr>
        <w:tcBorders>
          <w:top w:val="single" w:sz="4" w:space="0" w:color="4C4A47" w:themeColor="accent5"/>
          <w:left w:val="single" w:sz="4" w:space="0" w:color="4C4A47" w:themeColor="accent5"/>
          <w:bottom w:val="single" w:sz="4" w:space="0" w:color="4C4A47" w:themeColor="accent5"/>
          <w:right w:val="single" w:sz="4" w:space="0" w:color="4C4A47" w:themeColor="accent5"/>
          <w:insideH w:val="nil"/>
        </w:tcBorders>
        <w:shd w:val="clear" w:color="auto" w:fill="4C4A47" w:themeFill="accent5"/>
      </w:tcPr>
    </w:tblStylePr>
    <w:tblStylePr w:type="lastRow">
      <w:rPr>
        <w:b/>
        <w:bCs/>
      </w:rPr>
      <w:tblPr/>
      <w:tcPr>
        <w:tcBorders>
          <w:top w:val="double" w:sz="4" w:space="0" w:color="95928E" w:themeColor="accent5" w:themeTint="99"/>
        </w:tcBorders>
      </w:tc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ListTable4-Accent6">
    <w:name w:val="List Table 4 Accent 6"/>
    <w:basedOn w:val="TableNormal"/>
    <w:uiPriority w:val="49"/>
    <w:rsid w:val="00A21B54"/>
    <w:tblPr>
      <w:tblStyleRowBandSize w:val="1"/>
      <w:tblStyleColBandSize w:val="1"/>
      <w:tblBorders>
        <w:top w:val="single" w:sz="4" w:space="0" w:color="E3E6EB" w:themeColor="accent6" w:themeTint="99"/>
        <w:left w:val="single" w:sz="4" w:space="0" w:color="E3E6EB" w:themeColor="accent6" w:themeTint="99"/>
        <w:bottom w:val="single" w:sz="4" w:space="0" w:color="E3E6EB" w:themeColor="accent6" w:themeTint="99"/>
        <w:right w:val="single" w:sz="4" w:space="0" w:color="E3E6EB" w:themeColor="accent6" w:themeTint="99"/>
        <w:insideH w:val="single" w:sz="4" w:space="0" w:color="E3E6EB" w:themeColor="accent6" w:themeTint="99"/>
      </w:tblBorders>
    </w:tblPr>
    <w:tblStylePr w:type="firstRow">
      <w:rPr>
        <w:b/>
        <w:bCs/>
        <w:color w:val="FFFFFF" w:themeColor="background1"/>
      </w:rPr>
      <w:tblPr/>
      <w:tcPr>
        <w:tcBorders>
          <w:top w:val="single" w:sz="4" w:space="0" w:color="D2D7DF" w:themeColor="accent6"/>
          <w:left w:val="single" w:sz="4" w:space="0" w:color="D2D7DF" w:themeColor="accent6"/>
          <w:bottom w:val="single" w:sz="4" w:space="0" w:color="D2D7DF" w:themeColor="accent6"/>
          <w:right w:val="single" w:sz="4" w:space="0" w:color="D2D7DF" w:themeColor="accent6"/>
          <w:insideH w:val="nil"/>
        </w:tcBorders>
        <w:shd w:val="clear" w:color="auto" w:fill="D2D7DF" w:themeFill="accent6"/>
      </w:tcPr>
    </w:tblStylePr>
    <w:tblStylePr w:type="lastRow">
      <w:rPr>
        <w:b/>
        <w:bCs/>
      </w:rPr>
      <w:tblPr/>
      <w:tcPr>
        <w:tcBorders>
          <w:top w:val="double" w:sz="4" w:space="0" w:color="E3E6EB" w:themeColor="accent6" w:themeTint="99"/>
        </w:tcBorders>
      </w:tc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ListTable5Dark">
    <w:name w:val="List Table 5 Dark"/>
    <w:basedOn w:val="TableNormal"/>
    <w:uiPriority w:val="50"/>
    <w:rsid w:val="00A21B54"/>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A21B54"/>
    <w:rPr>
      <w:color w:val="FFFFFF" w:themeColor="background1"/>
    </w:rPr>
    <w:tblPr>
      <w:tblStyleRowBandSize w:val="1"/>
      <w:tblStyleColBandSize w:val="1"/>
      <w:tblBorders>
        <w:top w:val="single" w:sz="24" w:space="0" w:color="1C355E" w:themeColor="accent1"/>
        <w:left w:val="single" w:sz="24" w:space="0" w:color="1C355E" w:themeColor="accent1"/>
        <w:bottom w:val="single" w:sz="24" w:space="0" w:color="1C355E" w:themeColor="accent1"/>
        <w:right w:val="single" w:sz="24" w:space="0" w:color="1C355E" w:themeColor="accent1"/>
      </w:tblBorders>
    </w:tblPr>
    <w:tcPr>
      <w:shd w:val="clear" w:color="auto" w:fill="1C355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21B54"/>
    <w:rPr>
      <w:color w:val="FFFFFF" w:themeColor="background1"/>
    </w:rPr>
    <w:tblPr>
      <w:tblStyleRowBandSize w:val="1"/>
      <w:tblStyleColBandSize w:val="1"/>
      <w:tblBorders>
        <w:top w:val="single" w:sz="24" w:space="0" w:color="A4AEBF" w:themeColor="accent2"/>
        <w:left w:val="single" w:sz="24" w:space="0" w:color="A4AEBF" w:themeColor="accent2"/>
        <w:bottom w:val="single" w:sz="24" w:space="0" w:color="A4AEBF" w:themeColor="accent2"/>
        <w:right w:val="single" w:sz="24" w:space="0" w:color="A4AEBF" w:themeColor="accent2"/>
      </w:tblBorders>
    </w:tblPr>
    <w:tcPr>
      <w:shd w:val="clear" w:color="auto" w:fill="A4AEB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21B54"/>
    <w:rPr>
      <w:color w:val="FFFFFF" w:themeColor="background1"/>
    </w:rPr>
    <w:tblPr>
      <w:tblStyleRowBandSize w:val="1"/>
      <w:tblStyleColBandSize w:val="1"/>
      <w:tblBorders>
        <w:top w:val="single" w:sz="24" w:space="0" w:color="949291" w:themeColor="accent3"/>
        <w:left w:val="single" w:sz="24" w:space="0" w:color="949291" w:themeColor="accent3"/>
        <w:bottom w:val="single" w:sz="24" w:space="0" w:color="949291" w:themeColor="accent3"/>
        <w:right w:val="single" w:sz="24" w:space="0" w:color="949291" w:themeColor="accent3"/>
      </w:tblBorders>
    </w:tblPr>
    <w:tcPr>
      <w:shd w:val="clear" w:color="auto" w:fill="94929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21B54"/>
    <w:rPr>
      <w:color w:val="FFFFFF" w:themeColor="background1"/>
    </w:rPr>
    <w:tblPr>
      <w:tblStyleRowBandSize w:val="1"/>
      <w:tblStyleColBandSize w:val="1"/>
      <w:tblBorders>
        <w:top w:val="single" w:sz="24" w:space="0" w:color="E6E3DF" w:themeColor="accent4"/>
        <w:left w:val="single" w:sz="24" w:space="0" w:color="E6E3DF" w:themeColor="accent4"/>
        <w:bottom w:val="single" w:sz="24" w:space="0" w:color="E6E3DF" w:themeColor="accent4"/>
        <w:right w:val="single" w:sz="24" w:space="0" w:color="E6E3DF" w:themeColor="accent4"/>
      </w:tblBorders>
    </w:tblPr>
    <w:tcPr>
      <w:shd w:val="clear" w:color="auto" w:fill="E6E3D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21B54"/>
    <w:rPr>
      <w:color w:val="FFFFFF" w:themeColor="background1"/>
    </w:rPr>
    <w:tblPr>
      <w:tblStyleRowBandSize w:val="1"/>
      <w:tblStyleColBandSize w:val="1"/>
      <w:tblBorders>
        <w:top w:val="single" w:sz="24" w:space="0" w:color="4C4A47" w:themeColor="accent5"/>
        <w:left w:val="single" w:sz="24" w:space="0" w:color="4C4A47" w:themeColor="accent5"/>
        <w:bottom w:val="single" w:sz="24" w:space="0" w:color="4C4A47" w:themeColor="accent5"/>
        <w:right w:val="single" w:sz="24" w:space="0" w:color="4C4A47" w:themeColor="accent5"/>
      </w:tblBorders>
    </w:tblPr>
    <w:tcPr>
      <w:shd w:val="clear" w:color="auto" w:fill="4C4A47"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A21B54"/>
    <w:rPr>
      <w:color w:val="FFFFFF" w:themeColor="background1"/>
    </w:rPr>
    <w:tblPr>
      <w:tblStyleRowBandSize w:val="1"/>
      <w:tblStyleColBandSize w:val="1"/>
      <w:tblBorders>
        <w:top w:val="single" w:sz="24" w:space="0" w:color="D2D7DF" w:themeColor="accent6"/>
        <w:left w:val="single" w:sz="24" w:space="0" w:color="D2D7DF" w:themeColor="accent6"/>
        <w:bottom w:val="single" w:sz="24" w:space="0" w:color="D2D7DF" w:themeColor="accent6"/>
        <w:right w:val="single" w:sz="24" w:space="0" w:color="D2D7DF" w:themeColor="accent6"/>
      </w:tblBorders>
    </w:tblPr>
    <w:tcPr>
      <w:shd w:val="clear" w:color="auto" w:fill="D2D7D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A21B54"/>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A21B54"/>
    <w:rPr>
      <w:color w:val="152746" w:themeColor="accent1" w:themeShade="BF"/>
    </w:rPr>
    <w:tblPr>
      <w:tblStyleRowBandSize w:val="1"/>
      <w:tblStyleColBandSize w:val="1"/>
      <w:tblBorders>
        <w:top w:val="single" w:sz="4" w:space="0" w:color="1C355E" w:themeColor="accent1"/>
        <w:bottom w:val="single" w:sz="4" w:space="0" w:color="1C355E" w:themeColor="accent1"/>
      </w:tblBorders>
    </w:tblPr>
    <w:tblStylePr w:type="firstRow">
      <w:rPr>
        <w:b/>
        <w:bCs/>
      </w:rPr>
      <w:tblPr/>
      <w:tcPr>
        <w:tcBorders>
          <w:bottom w:val="single" w:sz="4" w:space="0" w:color="1C355E" w:themeColor="accent1"/>
        </w:tcBorders>
      </w:tcPr>
    </w:tblStylePr>
    <w:tblStylePr w:type="lastRow">
      <w:rPr>
        <w:b/>
        <w:bCs/>
      </w:rPr>
      <w:tblPr/>
      <w:tcPr>
        <w:tcBorders>
          <w:top w:val="double" w:sz="4" w:space="0" w:color="1C355E" w:themeColor="accent1"/>
        </w:tcBorders>
      </w:tc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ListTable6Colorful-Accent2">
    <w:name w:val="List Table 6 Colorful Accent 2"/>
    <w:basedOn w:val="TableNormal"/>
    <w:uiPriority w:val="51"/>
    <w:rsid w:val="00A21B54"/>
    <w:rPr>
      <w:color w:val="6F7F9A" w:themeColor="accent2" w:themeShade="BF"/>
    </w:rPr>
    <w:tblPr>
      <w:tblStyleRowBandSize w:val="1"/>
      <w:tblStyleColBandSize w:val="1"/>
      <w:tblBorders>
        <w:top w:val="single" w:sz="4" w:space="0" w:color="A4AEBF" w:themeColor="accent2"/>
        <w:bottom w:val="single" w:sz="4" w:space="0" w:color="A4AEBF" w:themeColor="accent2"/>
      </w:tblBorders>
    </w:tblPr>
    <w:tblStylePr w:type="firstRow">
      <w:rPr>
        <w:b/>
        <w:bCs/>
      </w:rPr>
      <w:tblPr/>
      <w:tcPr>
        <w:tcBorders>
          <w:bottom w:val="single" w:sz="4" w:space="0" w:color="A4AEBF" w:themeColor="accent2"/>
        </w:tcBorders>
      </w:tcPr>
    </w:tblStylePr>
    <w:tblStylePr w:type="lastRow">
      <w:rPr>
        <w:b/>
        <w:bCs/>
      </w:rPr>
      <w:tblPr/>
      <w:tcPr>
        <w:tcBorders>
          <w:top w:val="double" w:sz="4" w:space="0" w:color="A4AEBF" w:themeColor="accent2"/>
        </w:tcBorders>
      </w:tc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ListTable6Colorful-Accent3">
    <w:name w:val="List Table 6 Colorful Accent 3"/>
    <w:basedOn w:val="TableNormal"/>
    <w:uiPriority w:val="51"/>
    <w:rsid w:val="00A21B54"/>
    <w:rPr>
      <w:color w:val="6F6D6C" w:themeColor="accent3" w:themeShade="BF"/>
    </w:rPr>
    <w:tblPr>
      <w:tblStyleRowBandSize w:val="1"/>
      <w:tblStyleColBandSize w:val="1"/>
      <w:tblBorders>
        <w:top w:val="single" w:sz="4" w:space="0" w:color="949291" w:themeColor="accent3"/>
        <w:bottom w:val="single" w:sz="4" w:space="0" w:color="949291" w:themeColor="accent3"/>
      </w:tblBorders>
    </w:tblPr>
    <w:tblStylePr w:type="firstRow">
      <w:rPr>
        <w:b/>
        <w:bCs/>
      </w:rPr>
      <w:tblPr/>
      <w:tcPr>
        <w:tcBorders>
          <w:bottom w:val="single" w:sz="4" w:space="0" w:color="949291" w:themeColor="accent3"/>
        </w:tcBorders>
      </w:tcPr>
    </w:tblStylePr>
    <w:tblStylePr w:type="lastRow">
      <w:rPr>
        <w:b/>
        <w:bCs/>
      </w:rPr>
      <w:tblPr/>
      <w:tcPr>
        <w:tcBorders>
          <w:top w:val="double" w:sz="4" w:space="0" w:color="949291" w:themeColor="accent3"/>
        </w:tcBorders>
      </w:tc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ListTable6Colorful-Accent4">
    <w:name w:val="List Table 6 Colorful Accent 4"/>
    <w:basedOn w:val="TableNormal"/>
    <w:uiPriority w:val="51"/>
    <w:rsid w:val="00A21B54"/>
    <w:rPr>
      <w:color w:val="B4AA9F" w:themeColor="accent4" w:themeShade="BF"/>
    </w:rPr>
    <w:tblPr>
      <w:tblStyleRowBandSize w:val="1"/>
      <w:tblStyleColBandSize w:val="1"/>
      <w:tblBorders>
        <w:top w:val="single" w:sz="4" w:space="0" w:color="E6E3DF" w:themeColor="accent4"/>
        <w:bottom w:val="single" w:sz="4" w:space="0" w:color="E6E3DF" w:themeColor="accent4"/>
      </w:tblBorders>
    </w:tblPr>
    <w:tblStylePr w:type="firstRow">
      <w:rPr>
        <w:b/>
        <w:bCs/>
      </w:rPr>
      <w:tblPr/>
      <w:tcPr>
        <w:tcBorders>
          <w:bottom w:val="single" w:sz="4" w:space="0" w:color="E6E3DF" w:themeColor="accent4"/>
        </w:tcBorders>
      </w:tcPr>
    </w:tblStylePr>
    <w:tblStylePr w:type="lastRow">
      <w:rPr>
        <w:b/>
        <w:bCs/>
      </w:rPr>
      <w:tblPr/>
      <w:tcPr>
        <w:tcBorders>
          <w:top w:val="double" w:sz="4" w:space="0" w:color="E6E3DF" w:themeColor="accent4"/>
        </w:tcBorders>
      </w:tc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ListTable6Colorful-Accent5">
    <w:name w:val="List Table 6 Colorful Accent 5"/>
    <w:basedOn w:val="TableNormal"/>
    <w:uiPriority w:val="51"/>
    <w:rsid w:val="00A21B54"/>
    <w:rPr>
      <w:color w:val="383735" w:themeColor="accent5" w:themeShade="BF"/>
    </w:rPr>
    <w:tblPr>
      <w:tblStyleRowBandSize w:val="1"/>
      <w:tblStyleColBandSize w:val="1"/>
      <w:tblBorders>
        <w:top w:val="single" w:sz="4" w:space="0" w:color="4C4A47" w:themeColor="accent5"/>
        <w:bottom w:val="single" w:sz="4" w:space="0" w:color="4C4A47" w:themeColor="accent5"/>
      </w:tblBorders>
    </w:tblPr>
    <w:tblStylePr w:type="firstRow">
      <w:rPr>
        <w:b/>
        <w:bCs/>
      </w:rPr>
      <w:tblPr/>
      <w:tcPr>
        <w:tcBorders>
          <w:bottom w:val="single" w:sz="4" w:space="0" w:color="4C4A47" w:themeColor="accent5"/>
        </w:tcBorders>
      </w:tcPr>
    </w:tblStylePr>
    <w:tblStylePr w:type="lastRow">
      <w:rPr>
        <w:b/>
        <w:bCs/>
      </w:rPr>
      <w:tblPr/>
      <w:tcPr>
        <w:tcBorders>
          <w:top w:val="double" w:sz="4" w:space="0" w:color="4C4A47" w:themeColor="accent5"/>
        </w:tcBorders>
      </w:tc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ListTable6Colorful-Accent6">
    <w:name w:val="List Table 6 Colorful Accent 6"/>
    <w:basedOn w:val="TableNormal"/>
    <w:uiPriority w:val="51"/>
    <w:rsid w:val="00A21B54"/>
    <w:rPr>
      <w:color w:val="929EB1" w:themeColor="accent6" w:themeShade="BF"/>
    </w:rPr>
    <w:tblPr>
      <w:tblStyleRowBandSize w:val="1"/>
      <w:tblStyleColBandSize w:val="1"/>
      <w:tblBorders>
        <w:top w:val="single" w:sz="4" w:space="0" w:color="D2D7DF" w:themeColor="accent6"/>
        <w:bottom w:val="single" w:sz="4" w:space="0" w:color="D2D7DF" w:themeColor="accent6"/>
      </w:tblBorders>
    </w:tblPr>
    <w:tblStylePr w:type="firstRow">
      <w:rPr>
        <w:b/>
        <w:bCs/>
      </w:rPr>
      <w:tblPr/>
      <w:tcPr>
        <w:tcBorders>
          <w:bottom w:val="single" w:sz="4" w:space="0" w:color="D2D7DF" w:themeColor="accent6"/>
        </w:tcBorders>
      </w:tcPr>
    </w:tblStylePr>
    <w:tblStylePr w:type="lastRow">
      <w:rPr>
        <w:b/>
        <w:bCs/>
      </w:rPr>
      <w:tblPr/>
      <w:tcPr>
        <w:tcBorders>
          <w:top w:val="double" w:sz="4" w:space="0" w:color="D2D7DF" w:themeColor="accent6"/>
        </w:tcBorders>
      </w:tc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ListTable7Colorful">
    <w:name w:val="List Table 7 Colorful"/>
    <w:basedOn w:val="TableNormal"/>
    <w:uiPriority w:val="52"/>
    <w:rsid w:val="00A21B54"/>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A21B54"/>
    <w:rPr>
      <w:color w:val="15274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355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355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355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355E" w:themeColor="accent1"/>
        </w:tcBorders>
        <w:shd w:val="clear" w:color="auto" w:fill="FFFFFF" w:themeFill="background1"/>
      </w:tcPr>
    </w:tblStylePr>
    <w:tblStylePr w:type="band1Vert">
      <w:tblPr/>
      <w:tcPr>
        <w:shd w:val="clear" w:color="auto" w:fill="C3D2ED" w:themeFill="accent1" w:themeFillTint="33"/>
      </w:tcPr>
    </w:tblStylePr>
    <w:tblStylePr w:type="band1Horz">
      <w:tblPr/>
      <w:tcPr>
        <w:shd w:val="clear" w:color="auto" w:fill="C3D2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A21B54"/>
    <w:rPr>
      <w:color w:val="6F7F9A"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4AEB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4AEB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4AEB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4AEBF" w:themeColor="accent2"/>
        </w:tcBorders>
        <w:shd w:val="clear" w:color="auto" w:fill="FFFFFF" w:themeFill="background1"/>
      </w:tcPr>
    </w:tblStylePr>
    <w:tblStylePr w:type="band1Vert">
      <w:tblPr/>
      <w:tcPr>
        <w:shd w:val="clear" w:color="auto" w:fill="ECEEF2" w:themeFill="accent2" w:themeFillTint="33"/>
      </w:tcPr>
    </w:tblStylePr>
    <w:tblStylePr w:type="band1Horz">
      <w:tblPr/>
      <w:tcPr>
        <w:shd w:val="clear" w:color="auto" w:fill="ECEEF2"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A21B54"/>
    <w:rPr>
      <w:color w:val="6F6D6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929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929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929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9291" w:themeColor="accent3"/>
        </w:tcBorders>
        <w:shd w:val="clear" w:color="auto" w:fill="FFFFFF" w:themeFill="background1"/>
      </w:tcPr>
    </w:tblStylePr>
    <w:tblStylePr w:type="band1Vert">
      <w:tblPr/>
      <w:tcPr>
        <w:shd w:val="clear" w:color="auto" w:fill="E9E9E8" w:themeFill="accent3" w:themeFillTint="33"/>
      </w:tcPr>
    </w:tblStylePr>
    <w:tblStylePr w:type="band1Horz">
      <w:tblPr/>
      <w:tcPr>
        <w:shd w:val="clear" w:color="auto" w:fill="E9E9E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A21B54"/>
    <w:rPr>
      <w:color w:val="B4AA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6E3D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6E3D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6E3D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6E3DF" w:themeColor="accent4"/>
        </w:tcBorders>
        <w:shd w:val="clear" w:color="auto" w:fill="FFFFFF" w:themeFill="background1"/>
      </w:tcPr>
    </w:tblStylePr>
    <w:tblStylePr w:type="band1Vert">
      <w:tblPr/>
      <w:tcPr>
        <w:shd w:val="clear" w:color="auto" w:fill="FAF9F8" w:themeFill="accent4" w:themeFillTint="33"/>
      </w:tcPr>
    </w:tblStylePr>
    <w:tblStylePr w:type="band1Horz">
      <w:tblPr/>
      <w:tcPr>
        <w:shd w:val="clear" w:color="auto" w:fill="FAF9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A21B54"/>
    <w:rPr>
      <w:color w:val="38373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C4A4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C4A4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C4A4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C4A47" w:themeColor="accent5"/>
        </w:tcBorders>
        <w:shd w:val="clear" w:color="auto" w:fill="FFFFFF" w:themeFill="background1"/>
      </w:tcPr>
    </w:tblStylePr>
    <w:tblStylePr w:type="band1Vert">
      <w:tblPr/>
      <w:tcPr>
        <w:shd w:val="clear" w:color="auto" w:fill="DCDAD9" w:themeFill="accent5" w:themeFillTint="33"/>
      </w:tcPr>
    </w:tblStylePr>
    <w:tblStylePr w:type="band1Horz">
      <w:tblPr/>
      <w:tcPr>
        <w:shd w:val="clear" w:color="auto" w:fill="DCDA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A21B54"/>
    <w:rPr>
      <w:color w:val="929EB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2D7D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2D7D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2D7D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2D7DF" w:themeColor="accent6"/>
        </w:tcBorders>
        <w:shd w:val="clear" w:color="auto" w:fill="FFFFFF" w:themeFill="background1"/>
      </w:tcPr>
    </w:tblStylePr>
    <w:tblStylePr w:type="band1Vert">
      <w:tblPr/>
      <w:tcPr>
        <w:shd w:val="clear" w:color="auto" w:fill="F5F6F8" w:themeFill="accent6" w:themeFillTint="33"/>
      </w:tcPr>
    </w:tblStylePr>
    <w:tblStylePr w:type="band1Horz">
      <w:tblPr/>
      <w:tcPr>
        <w:shd w:val="clear" w:color="auto" w:fill="F5F6F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99"/>
    <w:semiHidden/>
    <w:unhideWhenUsed/>
    <w:rsid w:val="00A21B54"/>
    <w:rPr>
      <w:rFonts w:asciiTheme="minorHAnsi" w:hAnsiTheme="minorHAnsi"/>
      <w:color w:val="2B579A"/>
      <w:shd w:val="clear" w:color="auto" w:fill="E1DFDD"/>
    </w:rPr>
  </w:style>
  <w:style w:type="table" w:styleId="PlainTable1">
    <w:name w:val="Plain Table 1"/>
    <w:basedOn w:val="TableNormal"/>
    <w:uiPriority w:val="41"/>
    <w:rsid w:val="00A21B5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21B5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21B5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21B5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21B5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A21B54"/>
    <w:rPr>
      <w:rFonts w:asciiTheme="minorHAnsi" w:hAnsiTheme="minorHAnsi"/>
      <w:u w:val="dotted"/>
    </w:rPr>
  </w:style>
  <w:style w:type="table" w:styleId="TableGridLight">
    <w:name w:val="Grid Table Light"/>
    <w:basedOn w:val="TableNormal"/>
    <w:uiPriority w:val="40"/>
    <w:rsid w:val="00A21B5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A21B54"/>
    <w:rPr>
      <w:rFonts w:asciiTheme="minorHAnsi" w:hAnsiTheme="minorHAnsi"/>
      <w:color w:val="605E5C"/>
      <w:shd w:val="clear" w:color="auto" w:fill="E1DFDD"/>
    </w:rPr>
  </w:style>
  <w:style w:type="character" w:styleId="SmartLink">
    <w:name w:val="Smart Link"/>
    <w:basedOn w:val="DefaultParagraphFont"/>
    <w:uiPriority w:val="99"/>
    <w:semiHidden/>
    <w:unhideWhenUsed/>
    <w:rsid w:val="00A21B54"/>
    <w:rPr>
      <w:rFonts w:asciiTheme="minorHAnsi" w:hAnsiTheme="minorHAnsi"/>
      <w:color w:val="0000FF"/>
      <w:u w:val="single"/>
      <w:shd w:val="clear" w:color="auto" w:fill="F3F2F1"/>
    </w:rPr>
  </w:style>
  <w:style w:type="character" w:customStyle="1" w:styleId="KeyData">
    <w:name w:val="_KeyData"/>
    <w:basedOn w:val="DefaultParagraphFont"/>
    <w:rsid w:val="00A21B54"/>
    <w:rPr>
      <w:b/>
    </w:rPr>
  </w:style>
  <w:style w:type="paragraph" w:customStyle="1" w:styleId="StockTableSpaceAfter">
    <w:name w:val="__StockTableSpaceAfter"/>
    <w:basedOn w:val="NormalText"/>
    <w:next w:val="BodyText"/>
    <w:rsid w:val="00F97295"/>
  </w:style>
  <w:style w:type="paragraph" w:customStyle="1" w:styleId="Normal0">
    <w:name w:val="___Normal"/>
    <w:semiHidden/>
    <w:rsid w:val="008143CA"/>
    <w:pPr>
      <w:spacing w:line="260" w:lineRule="atLeast"/>
    </w:pPr>
    <w:rPr>
      <w:rFonts w:ascii="HelveticaNeueLT Std" w:eastAsia="Times New Roman" w:hAnsi="HelveticaNeueLT Std"/>
      <w:szCs w:val="24"/>
    </w:rPr>
  </w:style>
  <w:style w:type="character" w:customStyle="1" w:styleId="BodyTextChar">
    <w:name w:val="_Body Text Char"/>
    <w:basedOn w:val="NormalTextChar"/>
    <w:link w:val="BodyText"/>
    <w:rsid w:val="00623146"/>
    <w:rPr>
      <w:rFonts w:asciiTheme="minorHAnsi" w:hAnsiTheme="minorHAnsi"/>
      <w:color w:val="000000" w:themeColor="text1"/>
      <w:sz w:val="22"/>
      <w:szCs w:val="22"/>
      <w:lang w:eastAsia="en-US"/>
    </w:rPr>
  </w:style>
  <w:style w:type="character" w:customStyle="1" w:styleId="TableTitleChar">
    <w:name w:val="_Table Title Char"/>
    <w:link w:val="TableTitle"/>
    <w:locked/>
    <w:rsid w:val="00623146"/>
    <w:rPr>
      <w:rFonts w:asciiTheme="minorHAnsi" w:hAnsiTheme="minorHAnsi"/>
      <w:b/>
      <w:color w:val="000000" w:themeColor="text1"/>
      <w:szCs w:val="22"/>
      <w:lang w:eastAsia="en-US"/>
    </w:rPr>
  </w:style>
  <w:style w:type="paragraph" w:customStyle="1" w:styleId="3DTableHeading">
    <w:name w:val="_3D Table Heading"/>
    <w:basedOn w:val="TableTitle"/>
    <w:rsid w:val="006B2C62"/>
    <w:pPr>
      <w:ind w:left="57"/>
    </w:pPr>
    <w:rPr>
      <w:color w:val="FFFFFF"/>
      <w:sz w:val="18"/>
    </w:rPr>
  </w:style>
  <w:style w:type="paragraph" w:customStyle="1" w:styleId="Heading1nonTOC">
    <w:name w:val="_Heading 1 (non TOC)"/>
    <w:basedOn w:val="Normal"/>
    <w:rsid w:val="006B2C62"/>
    <w:pPr>
      <w:keepNext/>
      <w:spacing w:before="60" w:after="120" w:line="240" w:lineRule="atLeast"/>
      <w:jc w:val="left"/>
    </w:pPr>
    <w:rPr>
      <w:rFonts w:asciiTheme="majorHAnsi" w:hAnsiTheme="majorHAnsi"/>
      <w:b/>
      <w:color w:val="1C355E" w:themeColor="text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011143">
      <w:bodyDiv w:val="1"/>
      <w:marLeft w:val="0"/>
      <w:marRight w:val="0"/>
      <w:marTop w:val="0"/>
      <w:marBottom w:val="0"/>
      <w:divBdr>
        <w:top w:val="none" w:sz="0" w:space="0" w:color="auto"/>
        <w:left w:val="none" w:sz="0" w:space="0" w:color="auto"/>
        <w:bottom w:val="none" w:sz="0" w:space="0" w:color="auto"/>
        <w:right w:val="none" w:sz="0" w:space="0" w:color="auto"/>
      </w:divBdr>
    </w:div>
    <w:div w:id="1845590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emf"/><Relationship Id="rId21" Type="http://schemas.openxmlformats.org/officeDocument/2006/relationships/hyperlink" Target="https://ideas.redburn.rothschildandco.com/ideas/index" TargetMode="External"/><Relationship Id="rId42" Type="http://schemas.openxmlformats.org/officeDocument/2006/relationships/image" Target="media/image24.emf"/><Relationship Id="rId47" Type="http://schemas.openxmlformats.org/officeDocument/2006/relationships/image" Target="media/image29.emf"/><Relationship Id="rId63" Type="http://schemas.openxmlformats.org/officeDocument/2006/relationships/image" Target="media/image44.png"/><Relationship Id="rId68" Type="http://schemas.openxmlformats.org/officeDocument/2006/relationships/image" Target="media/image49.emf"/><Relationship Id="rId84" Type="http://schemas.openxmlformats.org/officeDocument/2006/relationships/image" Target="media/image59.emf"/><Relationship Id="rId89" Type="http://schemas.openxmlformats.org/officeDocument/2006/relationships/hyperlink" Target="https://redburn.rothschildandco.com/companies/rbid/3014dbba-53e2-4302-9358-60cb6198c2df" TargetMode="External"/><Relationship Id="rId16" Type="http://schemas.openxmlformats.org/officeDocument/2006/relationships/image" Target="media/image5.svg"/><Relationship Id="rId11" Type="http://schemas.openxmlformats.org/officeDocument/2006/relationships/endnotes" Target="endnotes.xml"/><Relationship Id="rId32" Type="http://schemas.openxmlformats.org/officeDocument/2006/relationships/image" Target="media/image15.emf"/><Relationship Id="rId37" Type="http://schemas.openxmlformats.org/officeDocument/2006/relationships/hyperlink" Target="https://redburn.rothschildandco.com/pdf/70391?title=From+Manila+to+Jakarta&amp;pages=37" TargetMode="External"/><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hyperlink" Target="https://redburn.rothschildandco.com/pdf/75310?title=Resilience+in+Taxing+Times&amp;pages=27" TargetMode="External"/><Relationship Id="rId79" Type="http://schemas.openxmlformats.org/officeDocument/2006/relationships/image" Target="media/image56.emf"/><Relationship Id="rId5" Type="http://schemas.openxmlformats.org/officeDocument/2006/relationships/customXml" Target="../customXml/item5.xml"/><Relationship Id="rId90" Type="http://schemas.openxmlformats.org/officeDocument/2006/relationships/hyperlink" Target="https://disclosures.redburn.rothschildandco.com/" TargetMode="External"/><Relationship Id="rId95" Type="http://schemas.openxmlformats.org/officeDocument/2006/relationships/footer" Target="footer1.xml"/><Relationship Id="rId22" Type="http://schemas.openxmlformats.org/officeDocument/2006/relationships/hyperlink" Target="https://ideas.redburn.rothschildandco.com/ideas/index" TargetMode="External"/><Relationship Id="rId27" Type="http://schemas.openxmlformats.org/officeDocument/2006/relationships/image" Target="media/image11.emf"/><Relationship Id="rId43" Type="http://schemas.openxmlformats.org/officeDocument/2006/relationships/image" Target="media/image25.emf"/><Relationship Id="rId48" Type="http://schemas.openxmlformats.org/officeDocument/2006/relationships/image" Target="media/image30.png"/><Relationship Id="rId64" Type="http://schemas.openxmlformats.org/officeDocument/2006/relationships/image" Target="media/image45.emf"/><Relationship Id="rId69" Type="http://schemas.openxmlformats.org/officeDocument/2006/relationships/hyperlink" Target="https://research.redburnatlantic.com/pdf/2384?title=The%2520Juggernaut" TargetMode="External"/><Relationship Id="rId80" Type="http://schemas.openxmlformats.org/officeDocument/2006/relationships/hyperlink" Target="https://redburn.rothschildandco.com/pdf/70391?title=From+Manila+to+Jakarta&amp;pages=37" TargetMode="External"/><Relationship Id="rId85" Type="http://schemas.openxmlformats.org/officeDocument/2006/relationships/image" Target="media/image60.emf"/><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mailto:ideas@redburnatlantic.com" TargetMode="External"/><Relationship Id="rId33" Type="http://schemas.openxmlformats.org/officeDocument/2006/relationships/image" Target="media/image16.emf"/><Relationship Id="rId38" Type="http://schemas.openxmlformats.org/officeDocument/2006/relationships/image" Target="media/image20.png"/><Relationship Id="rId46" Type="http://schemas.openxmlformats.org/officeDocument/2006/relationships/image" Target="media/image28.emf"/><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9.svg"/><Relationship Id="rId41" Type="http://schemas.openxmlformats.org/officeDocument/2006/relationships/image" Target="media/image23.emf"/><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0.png"/><Relationship Id="rId75" Type="http://schemas.openxmlformats.org/officeDocument/2006/relationships/image" Target="media/image53.emf"/><Relationship Id="rId83" Type="http://schemas.openxmlformats.org/officeDocument/2006/relationships/hyperlink" Target="https://redburn.rothschildandco.com/pdf/52197?title=Pearl+of+the+Orient&amp;pages=70" TargetMode="External"/><Relationship Id="rId88" Type="http://schemas.openxmlformats.org/officeDocument/2006/relationships/image" Target="media/image62.emf"/><Relationship Id="rId91" Type="http://schemas.openxmlformats.org/officeDocument/2006/relationships/hyperlink" Target="https://www.rothschildandco.com/en/legal-information/rothschild-co-redburn/regulatory-information" TargetMode="External"/><Relationship Id="rId9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ideas.redburn.rothschildandco.com/static-assets/documentation/3.%20Redburn%20Atlantic%20IDEAS%20Systematic%20Analysis%20August%202023.pdf" TargetMode="External"/><Relationship Id="rId28" Type="http://schemas.openxmlformats.org/officeDocument/2006/relationships/image" Target="media/image12.emf"/><Relationship Id="rId36" Type="http://schemas.openxmlformats.org/officeDocument/2006/relationships/image" Target="media/image19.png"/><Relationship Id="rId49" Type="http://schemas.openxmlformats.org/officeDocument/2006/relationships/image" Target="media/image31.png"/><Relationship Id="rId57" Type="http://schemas.openxmlformats.org/officeDocument/2006/relationships/image" Target="media/image38.emf"/><Relationship Id="rId10" Type="http://schemas.openxmlformats.org/officeDocument/2006/relationships/footnotes" Target="footnotes.xml"/><Relationship Id="rId31" Type="http://schemas.openxmlformats.org/officeDocument/2006/relationships/hyperlink" Target="https://redburn.rothschildandco.com/pdf/45236?title=Super+System&amp;pages=124" TargetMode="External"/><Relationship Id="rId44" Type="http://schemas.openxmlformats.org/officeDocument/2006/relationships/image" Target="media/image26.emf"/><Relationship Id="rId52" Type="http://schemas.openxmlformats.org/officeDocument/2006/relationships/image" Target="media/image33.emf"/><Relationship Id="rId60" Type="http://schemas.openxmlformats.org/officeDocument/2006/relationships/image" Target="media/image41.png"/><Relationship Id="rId65" Type="http://schemas.openxmlformats.org/officeDocument/2006/relationships/image" Target="media/image46.jpeg"/><Relationship Id="rId73" Type="http://schemas.openxmlformats.org/officeDocument/2006/relationships/image" Target="media/image52.emf"/><Relationship Id="rId78" Type="http://schemas.openxmlformats.org/officeDocument/2006/relationships/image" Target="media/image55.emf"/><Relationship Id="rId81" Type="http://schemas.openxmlformats.org/officeDocument/2006/relationships/image" Target="media/image57.emf"/><Relationship Id="rId86" Type="http://schemas.openxmlformats.org/officeDocument/2006/relationships/hyperlink" Target="https://research.redburnatlantic.com/pdf/45236?title=Super%2520System" TargetMode="External"/><Relationship Id="rId94" Type="http://schemas.openxmlformats.org/officeDocument/2006/relationships/header" Target="header1.xml"/><Relationship Id="rId99" Type="http://schemas.openxmlformats.org/officeDocument/2006/relationships/fontTable" Target="fontTable.xml"/><Relationship Id="rId10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svg"/><Relationship Id="rId39" Type="http://schemas.openxmlformats.org/officeDocument/2006/relationships/image" Target="media/image21.emf"/><Relationship Id="rId34" Type="http://schemas.openxmlformats.org/officeDocument/2006/relationships/image" Target="media/image17.emf"/><Relationship Id="rId50" Type="http://schemas.openxmlformats.org/officeDocument/2006/relationships/hyperlink" Target="https://redburn.rothschildandco.com/pdf/65615?title=Europe+Emerging&amp;pages=18" TargetMode="External"/><Relationship Id="rId55" Type="http://schemas.openxmlformats.org/officeDocument/2006/relationships/image" Target="media/image36.png"/><Relationship Id="rId76" Type="http://schemas.openxmlformats.org/officeDocument/2006/relationships/image" Target="media/image54.emf"/><Relationship Id="rId97" Type="http://schemas.openxmlformats.org/officeDocument/2006/relationships/header" Target="header2.xml"/><Relationship Id="rId7" Type="http://schemas.openxmlformats.org/officeDocument/2006/relationships/styles" Target="styles.xml"/><Relationship Id="rId71" Type="http://schemas.openxmlformats.org/officeDocument/2006/relationships/image" Target="media/image51.png"/><Relationship Id="rId92" Type="http://schemas.openxmlformats.org/officeDocument/2006/relationships/hyperlink" Target="https://redburn.rothschildandco.com/companies/rbid/3014dbba-53e2-4302-9358-60cb6198c2df" TargetMode="External"/><Relationship Id="rId2" Type="http://schemas.openxmlformats.org/officeDocument/2006/relationships/customXml" Target="../customXml/item2.xml"/><Relationship Id="rId29" Type="http://schemas.openxmlformats.org/officeDocument/2006/relationships/image" Target="media/image13.emf"/><Relationship Id="rId24" Type="http://schemas.openxmlformats.org/officeDocument/2006/relationships/hyperlink" Target="https://ideas.redburn.rothschildandco.com" TargetMode="External"/><Relationship Id="rId40" Type="http://schemas.openxmlformats.org/officeDocument/2006/relationships/image" Target="media/image22.emf"/><Relationship Id="rId45" Type="http://schemas.openxmlformats.org/officeDocument/2006/relationships/image" Target="media/image27.emf"/><Relationship Id="rId66" Type="http://schemas.openxmlformats.org/officeDocument/2006/relationships/image" Target="media/image47.png"/><Relationship Id="rId87" Type="http://schemas.openxmlformats.org/officeDocument/2006/relationships/image" Target="media/image61.emf"/><Relationship Id="rId61" Type="http://schemas.openxmlformats.org/officeDocument/2006/relationships/image" Target="media/image42.png"/><Relationship Id="rId82" Type="http://schemas.openxmlformats.org/officeDocument/2006/relationships/image" Target="media/image58.emf"/><Relationship Id="rId19" Type="http://schemas.openxmlformats.org/officeDocument/2006/relationships/image" Target="media/image8.png"/><Relationship Id="rId14" Type="http://schemas.openxmlformats.org/officeDocument/2006/relationships/image" Target="media/image3.svg"/><Relationship Id="rId30" Type="http://schemas.openxmlformats.org/officeDocument/2006/relationships/image" Target="media/image14.emf"/><Relationship Id="rId35" Type="http://schemas.openxmlformats.org/officeDocument/2006/relationships/image" Target="media/image18.emf"/><Relationship Id="rId56" Type="http://schemas.openxmlformats.org/officeDocument/2006/relationships/image" Target="media/image37.png"/><Relationship Id="rId77" Type="http://schemas.openxmlformats.org/officeDocument/2006/relationships/hyperlink" Target="https://redburn.rothschildandco.com/pdf/66525?title=Post+FY24+results:+RTDs+and+EPR&amp;pages=13" TargetMode="External"/><Relationship Id="rId100" Type="http://schemas.openxmlformats.org/officeDocument/2006/relationships/glossaryDocument" Target="glossary/document.xml"/><Relationship Id="rId8" Type="http://schemas.openxmlformats.org/officeDocument/2006/relationships/settings" Target="settings.xml"/><Relationship Id="rId51" Type="http://schemas.openxmlformats.org/officeDocument/2006/relationships/image" Target="media/image32.emf"/><Relationship Id="rId72" Type="http://schemas.openxmlformats.org/officeDocument/2006/relationships/hyperlink" Target="https://research.redburnatlantic.com/pdf/45236?title=Super%2520System" TargetMode="External"/><Relationship Id="rId93" Type="http://schemas.openxmlformats.org/officeDocument/2006/relationships/image" Target="media/image63.png"/><Relationship Id="rId98" Type="http://schemas.openxmlformats.org/officeDocument/2006/relationships/footer" Target="footer3.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3" Type="http://schemas.openxmlformats.org/officeDocument/2006/relationships/hyperlink" Target="https://www.fitchratings.com/research/corporate-finance/fitch-assigns-morrison-senior-secured-debt-final-bb-rating-maintains-positive-outlook-on-idr-31-07-2025" TargetMode="External"/><Relationship Id="rId2" Type="http://schemas.openxmlformats.org/officeDocument/2006/relationships/hyperlink" Target="https://www.coca-cola.com/gb/en/media-center/coca-cola-premier-league-partnership-2025" TargetMode="External"/><Relationship Id="rId1" Type="http://schemas.openxmlformats.org/officeDocument/2006/relationships/hyperlink" Target="https://www.arsenal.com/news/coca-cola-become-our-official-soft-drink-partner" TargetMode="External"/><Relationship Id="rId5" Type="http://schemas.openxmlformats.org/officeDocument/2006/relationships/hyperlink" Target="https://www.reloopplatform.org/wp-content/uploads/2023/08/Reloop-Impact-of-DRS-Report.pdf" TargetMode="External"/><Relationship Id="rId4" Type="http://schemas.openxmlformats.org/officeDocument/2006/relationships/hyperlink" Target="https://consult.defra.gov.uk/environment/introducing-a-deposit-return-scheme/supporting_documents/depositreturnconsultia.pdf"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65.svg"/><Relationship Id="rId1" Type="http://schemas.openxmlformats.org/officeDocument/2006/relationships/image" Target="media/image64.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Research%20Suite\Templates\RP%20A4%20Email%20Blu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6AA20496DA48A99736F93414EBF768"/>
        <w:category>
          <w:name w:val="General"/>
          <w:gallery w:val="placeholder"/>
        </w:category>
        <w:types>
          <w:type w:val="bbPlcHdr"/>
        </w:types>
        <w:behaviors>
          <w:behavior w:val="content"/>
        </w:behaviors>
        <w:guid w:val="{EED3EEDA-FD01-4698-B440-4F86FFD5E2E0}"/>
      </w:docPartPr>
      <w:docPartBody>
        <w:p w:rsidR="00150E37" w:rsidRDefault="00150E37">
          <w:pPr>
            <w:pStyle w:val="BodyText"/>
          </w:pPr>
          <w:r w:rsidRPr="000635BF">
            <w:rPr>
              <w:b/>
              <w:bCs/>
            </w:rPr>
            <w:t>IDEAS page to be inserted by the analyst</w:t>
          </w:r>
        </w:p>
        <w:p w:rsidR="00150E37" w:rsidRDefault="00150E37">
          <w:pPr>
            <w:pStyle w:val="Bullet"/>
          </w:pPr>
          <w:r>
            <w:t>Click inside this box.</w:t>
          </w:r>
        </w:p>
        <w:p w:rsidR="00150E37" w:rsidRDefault="00150E37">
          <w:pPr>
            <w:pStyle w:val="Bullet"/>
          </w:pPr>
          <w:r>
            <w:t xml:space="preserve">To automatically generate the page, </w:t>
          </w:r>
          <w:r w:rsidRPr="00784FF9">
            <w:t>go to the '</w:t>
          </w:r>
          <w:r>
            <w:t>R&amp;Co | Redburn</w:t>
          </w:r>
          <w:r w:rsidRPr="00784FF9">
            <w:t>' header in the Word ribbon, then 'Sections' and select 'IDEAS Estimates Momentum'.</w:t>
          </w:r>
        </w:p>
        <w:p w:rsidR="00150E37" w:rsidRDefault="00150E37">
          <w:pPr>
            <w:pStyle w:val="Bullet"/>
          </w:pPr>
          <w:r>
            <w:t>Left hand chart: select either a single stock, aggregation of multiple stock, or a single predefined IDEAS aggregate.</w:t>
          </w:r>
        </w:p>
        <w:p w:rsidR="00150E37" w:rsidRDefault="00150E37">
          <w:pPr>
            <w:pStyle w:val="Bullet"/>
          </w:pPr>
          <w:r>
            <w:t>Right hand chart: select either a single chart or a group of companies.</w:t>
          </w:r>
        </w:p>
        <w:p w:rsidR="00150E37" w:rsidRDefault="00150E37">
          <w:pPr>
            <w:pStyle w:val="Bullet"/>
          </w:pPr>
          <w:r>
            <w:t>Remember to add titles.</w:t>
          </w:r>
        </w:p>
        <w:p w:rsidR="00150E37" w:rsidRDefault="00150E37">
          <w:pPr>
            <w:pStyle w:val="376AA20496DA48A99736F93414EBF768"/>
          </w:pPr>
          <w:r>
            <w:t>The final drop-down allows you to change the type for the right-hand chart. Select a standard Estimates Momentum chart or a line chart for each individual 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inion Pro">
    <w:altName w:val="Times New Roman"/>
    <w:panose1 w:val="00000000000000000000"/>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Calluna">
    <w:altName w:val="Calibri"/>
    <w:panose1 w:val="00000500000000000000"/>
    <w:charset w:val="00"/>
    <w:family w:val="auto"/>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HelveticaNeueLT Std">
    <w:altName w:val="Arial"/>
    <w:panose1 w:val="00000000000000000000"/>
    <w:charset w:val="00"/>
    <w:family w:val="swiss"/>
    <w:notTrueType/>
    <w:pitch w:val="variable"/>
    <w:sig w:usb0="800000AF" w:usb1="4000204A"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B4ED2"/>
    <w:multiLevelType w:val="multilevel"/>
    <w:tmpl w:val="4230A288"/>
    <w:numStyleLink w:val="ListBullet"/>
  </w:abstractNum>
  <w:abstractNum w:abstractNumId="1" w15:restartNumberingAfterBreak="0">
    <w:nsid w:val="47931B47"/>
    <w:multiLevelType w:val="multilevel"/>
    <w:tmpl w:val="4230A288"/>
    <w:styleLink w:val="ListBullet"/>
    <w:lvl w:ilvl="0">
      <w:start w:val="1"/>
      <w:numFmt w:val="bullet"/>
      <w:pStyle w:val="Bullet"/>
      <w:lvlText w:val=""/>
      <w:lvlJc w:val="left"/>
      <w:pPr>
        <w:tabs>
          <w:tab w:val="num" w:pos="284"/>
        </w:tabs>
        <w:ind w:left="284" w:hanging="284"/>
      </w:pPr>
      <w:rPr>
        <w:rFonts w:ascii="Wingdings" w:hAnsi="Wingdings" w:hint="default"/>
        <w:color w:val="auto"/>
        <w:sz w:val="22"/>
      </w:rPr>
    </w:lvl>
    <w:lvl w:ilvl="1">
      <w:start w:val="1"/>
      <w:numFmt w:val="bullet"/>
      <w:lvlText w:val=""/>
      <w:lvlJc w:val="left"/>
      <w:pPr>
        <w:tabs>
          <w:tab w:val="num" w:pos="568"/>
        </w:tabs>
        <w:ind w:left="568" w:hanging="284"/>
      </w:pPr>
      <w:rPr>
        <w:rFonts w:ascii="Symbol" w:hAnsi="Symbol" w:hint="default"/>
      </w:rPr>
    </w:lvl>
    <w:lvl w:ilvl="2">
      <w:start w:val="1"/>
      <w:numFmt w:val="bullet"/>
      <w:lvlText w:val=""/>
      <w:lvlJc w:val="left"/>
      <w:pPr>
        <w:tabs>
          <w:tab w:val="num" w:pos="852"/>
        </w:tabs>
        <w:ind w:left="852" w:hanging="284"/>
      </w:pPr>
      <w:rPr>
        <w:rFonts w:ascii="Symbol" w:hAnsi="Symbol" w:hint="default"/>
      </w:rPr>
    </w:lvl>
    <w:lvl w:ilvl="3">
      <w:start w:val="1"/>
      <w:numFmt w:val="bullet"/>
      <w:lvlText w:val=""/>
      <w:lvlJc w:val="left"/>
      <w:pPr>
        <w:tabs>
          <w:tab w:val="num" w:pos="1136"/>
        </w:tabs>
        <w:ind w:left="1136" w:hanging="284"/>
      </w:pPr>
      <w:rPr>
        <w:rFonts w:ascii="Symbol" w:hAnsi="Symbol" w:hint="default"/>
      </w:rPr>
    </w:lvl>
    <w:lvl w:ilvl="4">
      <w:start w:val="1"/>
      <w:numFmt w:val="bullet"/>
      <w:lvlText w:val=""/>
      <w:lvlJc w:val="left"/>
      <w:pPr>
        <w:tabs>
          <w:tab w:val="num" w:pos="1420"/>
        </w:tabs>
        <w:ind w:left="1420" w:hanging="284"/>
      </w:pPr>
      <w:rPr>
        <w:rFonts w:ascii="Symbol" w:hAnsi="Symbol" w:hint="default"/>
      </w:rPr>
    </w:lvl>
    <w:lvl w:ilvl="5">
      <w:start w:val="1"/>
      <w:numFmt w:val="bullet"/>
      <w:lvlText w:val=""/>
      <w:lvlJc w:val="left"/>
      <w:pPr>
        <w:tabs>
          <w:tab w:val="num" w:pos="1701"/>
        </w:tabs>
        <w:ind w:left="1701" w:hanging="281"/>
      </w:pPr>
      <w:rPr>
        <w:rFonts w:ascii="Symbol" w:hAnsi="Symbol" w:hint="default"/>
      </w:rPr>
    </w:lvl>
    <w:lvl w:ilvl="6">
      <w:start w:val="1"/>
      <w:numFmt w:val="bullet"/>
      <w:lvlText w:val=""/>
      <w:lvlJc w:val="left"/>
      <w:pPr>
        <w:tabs>
          <w:tab w:val="num" w:pos="1985"/>
        </w:tabs>
        <w:ind w:left="1985" w:hanging="284"/>
      </w:pPr>
      <w:rPr>
        <w:rFonts w:ascii="Symbol" w:hAnsi="Symbol" w:hint="default"/>
      </w:rPr>
    </w:lvl>
    <w:lvl w:ilvl="7">
      <w:start w:val="1"/>
      <w:numFmt w:val="bullet"/>
      <w:lvlText w:val=""/>
      <w:lvlJc w:val="left"/>
      <w:pPr>
        <w:tabs>
          <w:tab w:val="num" w:pos="2268"/>
        </w:tabs>
        <w:ind w:left="2268" w:hanging="283"/>
      </w:pPr>
      <w:rPr>
        <w:rFonts w:ascii="Symbol" w:hAnsi="Symbol" w:hint="default"/>
      </w:rPr>
    </w:lvl>
    <w:lvl w:ilvl="8">
      <w:start w:val="1"/>
      <w:numFmt w:val="bullet"/>
      <w:lvlText w:val=""/>
      <w:lvlJc w:val="left"/>
      <w:pPr>
        <w:tabs>
          <w:tab w:val="num" w:pos="2552"/>
        </w:tabs>
        <w:ind w:left="2552" w:hanging="284"/>
      </w:pPr>
      <w:rPr>
        <w:rFonts w:ascii="Symbol" w:hAnsi="Symbol" w:hint="default"/>
      </w:rPr>
    </w:lvl>
  </w:abstractNum>
  <w:num w:numId="1" w16cid:durableId="587233858">
    <w:abstractNumId w:val="1"/>
  </w:num>
  <w:num w:numId="2" w16cid:durableId="1619545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3BE"/>
    <w:rsid w:val="00150E37"/>
    <w:rsid w:val="001E72D4"/>
    <w:rsid w:val="002A6DFB"/>
    <w:rsid w:val="003C3FE2"/>
    <w:rsid w:val="004B1B82"/>
    <w:rsid w:val="004C6111"/>
    <w:rsid w:val="00516BCE"/>
    <w:rsid w:val="00631DE9"/>
    <w:rsid w:val="007B6DA5"/>
    <w:rsid w:val="007E5E84"/>
    <w:rsid w:val="008D322A"/>
    <w:rsid w:val="009356F6"/>
    <w:rsid w:val="0095117D"/>
    <w:rsid w:val="009C73BE"/>
    <w:rsid w:val="009D3CDB"/>
    <w:rsid w:val="00B43F95"/>
    <w:rsid w:val="00B804CE"/>
    <w:rsid w:val="00C4670B"/>
    <w:rsid w:val="00CC4564"/>
    <w:rsid w:val="00D240E8"/>
    <w:rsid w:val="00D4293F"/>
  </w:rsids>
  <m:mathPr>
    <m:mathFont m:val="Cambria Math"/>
    <m:brkBin m:val="before"/>
    <m:brkBinSub m:val="--"/>
    <m:smallFrac m:val="0"/>
    <m:dispDef/>
    <m:lMargin m:val="0"/>
    <m:rMargin m:val="0"/>
    <m:defJc m:val="centerGroup"/>
    <m:wrapIndent m:val="1440"/>
    <m:intLim m:val="subSup"/>
    <m:naryLim m:val="undOvr"/>
  </m:mathPr>
  <w:themeFontLang w:val="en-GB"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_Body Text"/>
    <w:basedOn w:val="Normal"/>
    <w:qFormat/>
    <w:pPr>
      <w:spacing w:after="220" w:line="240" w:lineRule="atLeast"/>
    </w:pPr>
    <w:rPr>
      <w:rFonts w:eastAsia="Calibri" w:cs="Times New Roman"/>
      <w:color w:val="000000" w:themeColor="text1"/>
      <w:kern w:val="0"/>
      <w:sz w:val="22"/>
      <w:szCs w:val="22"/>
      <w:lang w:eastAsia="en-US" w:bidi="ar-SA"/>
      <w14:ligatures w14:val="none"/>
    </w:rPr>
  </w:style>
  <w:style w:type="paragraph" w:customStyle="1" w:styleId="Bullet">
    <w:name w:val="_Bullet"/>
    <w:basedOn w:val="Normal"/>
    <w:qFormat/>
    <w:pPr>
      <w:numPr>
        <w:numId w:val="2"/>
      </w:numPr>
      <w:suppressAutoHyphens/>
      <w:spacing w:after="220" w:line="240" w:lineRule="atLeast"/>
    </w:pPr>
    <w:rPr>
      <w:rFonts w:eastAsia="Calibri" w:cs="Times New Roman"/>
      <w:color w:val="000000" w:themeColor="text1"/>
      <w:kern w:val="0"/>
      <w:sz w:val="22"/>
      <w:szCs w:val="22"/>
      <w:lang w:eastAsia="en-US" w:bidi="ar-SA"/>
      <w14:ligatures w14:val="none"/>
    </w:rPr>
  </w:style>
  <w:style w:type="numbering" w:customStyle="1" w:styleId="ListBullet">
    <w:name w:val="__List Bullet"/>
    <w:basedOn w:val="NoList"/>
    <w:uiPriority w:val="99"/>
    <w:semiHidden/>
    <w:pPr>
      <w:numPr>
        <w:numId w:val="1"/>
      </w:numPr>
    </w:pPr>
  </w:style>
  <w:style w:type="paragraph" w:customStyle="1" w:styleId="376AA20496DA48A99736F93414EBF768">
    <w:name w:val="376AA20496DA48A99736F93414EBF7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edburn Partners">
  <a:themeElements>
    <a:clrScheme name="Reburn">
      <a:dk1>
        <a:sysClr val="windowText" lastClr="000000"/>
      </a:dk1>
      <a:lt1>
        <a:sysClr val="window" lastClr="FFFFFF"/>
      </a:lt1>
      <a:dk2>
        <a:srgbClr val="1C355E"/>
      </a:dk2>
      <a:lt2>
        <a:srgbClr val="FFFFFF"/>
      </a:lt2>
      <a:accent1>
        <a:srgbClr val="1C355E"/>
      </a:accent1>
      <a:accent2>
        <a:srgbClr val="A4AEBF"/>
      </a:accent2>
      <a:accent3>
        <a:srgbClr val="949291"/>
      </a:accent3>
      <a:accent4>
        <a:srgbClr val="E6E3DF"/>
      </a:accent4>
      <a:accent5>
        <a:srgbClr val="4C4A47"/>
      </a:accent5>
      <a:accent6>
        <a:srgbClr val="D2D7DF"/>
      </a:accent6>
      <a:hlink>
        <a:srgbClr val="4C4A47"/>
      </a:hlink>
      <a:folHlink>
        <a:srgbClr val="949291"/>
      </a:folHlink>
    </a:clrScheme>
    <a:fontScheme name="Redburn">
      <a:majorFont>
        <a:latin typeface="Calluna"/>
        <a:ea typeface=""/>
        <a:cs typeface=""/>
      </a:majorFont>
      <a:minorFont>
        <a:latin typeface="Source Sans Pr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d6e7c8b0-0be0-4699-8abc-faca78aaca99" ContentTypeId="0x010100B51EF15732CF6048B9FC28CEDA438827" PreviousValue="false" LastSyncTimeStamp="2024-11-13T23:02:40.933Z"/>
</file>

<file path=customXml/item2.xml><?xml version="1.0" encoding="utf-8"?>
<p:properties xmlns:p="http://schemas.microsoft.com/office/2006/metadata/properties" xmlns:xsi="http://www.w3.org/2001/XMLSchema-instance" xmlns:pc="http://schemas.microsoft.com/office/infopath/2007/PartnerControls">
  <documentManagement>
    <TaxCatchAll xmlns="74d6bf70-1b1a-4864-9cb7-7677ce579647" xsi:nil="true"/>
    <PublicationAnalysts xmlns="c52e59aa-d73a-41c5-9064-06b83b2ccf33">
      <Value>Charlie Higgs</Value>
    </PublicationAnalysts>
    <PublicationSectors xmlns="c52e59aa-d73a-41c5-9064-06b83b2ccf33">
      <Value>Consumer: Beverages</Value>
    </PublicationSectors>
    <PublicationCompanies xmlns="c52e59aa-d73a-41c5-9064-06b83b2ccf33">
      <Value>Coca-Cola Europacific Partners</Value>
    </PublicationCompanies>
    <PublicationID xmlns="c52e59aa-d73a-41c5-9064-06b83b2ccf33">RA02752</PublicationID>
    <TaxKeywordTaxHTField xmlns="c52e59aa-d73a-41c5-9064-06b83b2ccf33" xsi:nil="true"/>
    <PublicationStatus xmlns="c52e59aa-d73a-41c5-9064-06b83b2ccf33">Published</PublicationStatus>
    <PublicationVersion xmlns="c52e59aa-d73a-41c5-9064-06b83b2ccf33">1</PublicationVersion>
    <PublicationName xmlns="c52e59aa-d73a-41c5-9064-06b83b2ccf33">Pop Britain - Site Visit</PublicationName>
    <PublicationType xmlns="c52e59aa-d73a-41c5-9064-06b83b2ccf33">Blue Top</PublicationType>
    <PublicationTargetDate xmlns="c52e59aa-d73a-41c5-9064-06b83b2ccf33">2025-11-21T00:00:00+00:00</PublicationTargetDat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Publication Document" ma:contentTypeID="0x010100B51EF15732CF6048B9FC28CEDA4388270015FFD1D49B9D084488E9F640AD0A18AC" ma:contentTypeVersion="2" ma:contentTypeDescription="Content type for Publications Document" ma:contentTypeScope="" ma:versionID="ec69aeb0764b5e31051daec8994a87f6">
  <xsd:schema xmlns:xsd="http://www.w3.org/2001/XMLSchema" xmlns:xs="http://www.w3.org/2001/XMLSchema" xmlns:p="http://schemas.microsoft.com/office/2006/metadata/properties" xmlns:ns2="c52e59aa-d73a-41c5-9064-06b83b2ccf33" xmlns:ns3="74d6bf70-1b1a-4864-9cb7-7677ce579647" targetNamespace="http://schemas.microsoft.com/office/2006/metadata/properties" ma:root="true" ma:fieldsID="a968ca09fcd61b08c427162c26fe9a12" ns2:_="" ns3:_="">
    <xsd:import namespace="c52e59aa-d73a-41c5-9064-06b83b2ccf33"/>
    <xsd:import namespace="74d6bf70-1b1a-4864-9cb7-7677ce579647"/>
    <xsd:element name="properties">
      <xsd:complexType>
        <xsd:sequence>
          <xsd:element name="documentManagement">
            <xsd:complexType>
              <xsd:all>
                <xsd:element ref="ns2:PublicationID" minOccurs="0"/>
                <xsd:element ref="ns2:PublicationName" minOccurs="0"/>
                <xsd:element ref="ns2:PublicationVersion" minOccurs="0"/>
                <xsd:element ref="ns2:PublicationStatus" minOccurs="0"/>
                <xsd:element ref="ns2:PublicationTargetDate" minOccurs="0"/>
                <xsd:element ref="ns2:PublicationType" minOccurs="0"/>
                <xsd:element ref="ns2:PublicationCompanies" minOccurs="0"/>
                <xsd:element ref="ns2:PublicationSectors" minOccurs="0"/>
                <xsd:element ref="ns2:PublicationAnalysts" minOccurs="0"/>
                <xsd:element ref="ns2:TaxKeywordTaxHTField" minOccurs="0"/>
                <xsd:element ref="ns3: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2e59aa-d73a-41c5-9064-06b83b2ccf33" elementFormDefault="qualified">
    <xsd:import namespace="http://schemas.microsoft.com/office/2006/documentManagement/types"/>
    <xsd:import namespace="http://schemas.microsoft.com/office/infopath/2007/PartnerControls"/>
    <xsd:element name="PublicationID" ma:index="8" nillable="true" ma:displayName="Publication ID" ma:internalName="PublicationID">
      <xsd:simpleType>
        <xsd:restriction base="dms:Text">
          <xsd:maxLength value="255"/>
        </xsd:restriction>
      </xsd:simpleType>
    </xsd:element>
    <xsd:element name="PublicationName" ma:index="9" nillable="true" ma:displayName="Publication Name" ma:internalName="PublicationName">
      <xsd:simpleType>
        <xsd:restriction base="dms:Text">
          <xsd:maxLength value="255"/>
        </xsd:restriction>
      </xsd:simpleType>
    </xsd:element>
    <xsd:element name="PublicationVersion" ma:index="10" nillable="true" ma:displayName="Publication Version" ma:internalName="PublicationVersion">
      <xsd:simpleType>
        <xsd:restriction base="dms:Text">
          <xsd:maxLength value="255"/>
        </xsd:restriction>
      </xsd:simpleType>
    </xsd:element>
    <xsd:element name="PublicationStatus" ma:index="11" nillable="true" ma:displayName="Publication Status" ma:internalName="PublicationStatus">
      <xsd:simpleType>
        <xsd:restriction base="dms:Text">
          <xsd:maxLength value="255"/>
        </xsd:restriction>
      </xsd:simpleType>
    </xsd:element>
    <xsd:element name="PublicationTargetDate" ma:index="12" nillable="true" ma:displayName="Publication Target Date" ma:format="DateOnly" ma:internalName="PublicationTargetDate">
      <xsd:simpleType>
        <xsd:restriction base="dms:DateTime"/>
      </xsd:simpleType>
    </xsd:element>
    <xsd:element name="PublicationType" ma:index="13" nillable="true" ma:displayName="Publication Type" ma:internalName="PublicationType">
      <xsd:simpleType>
        <xsd:restriction base="dms:Text">
          <xsd:maxLength value="255"/>
        </xsd:restriction>
      </xsd:simpleType>
    </xsd:element>
    <xsd:element name="PublicationCompanies" ma:index="14" nillable="true" ma:displayName="Companies" ma:default="Company" ma:internalName="PublicationCompanies">
      <xsd:complexType>
        <xsd:complexContent>
          <xsd:extension base="dms:MultiChoiceFillIn">
            <xsd:sequence>
              <xsd:element name="Value" maxOccurs="unbounded" minOccurs="0" nillable="true">
                <xsd:simpleType>
                  <xsd:union memberTypes="dms:Text">
                    <xsd:simpleType>
                      <xsd:restriction base="dms:Choice">
                        <xsd:enumeration value="Company"/>
                      </xsd:restriction>
                    </xsd:simpleType>
                  </xsd:union>
                </xsd:simpleType>
              </xsd:element>
            </xsd:sequence>
          </xsd:extension>
        </xsd:complexContent>
      </xsd:complexType>
    </xsd:element>
    <xsd:element name="PublicationSectors" ma:index="15" nillable="true" ma:displayName="Sectors" ma:default="Sector" ma:internalName="PublicationSectors">
      <xsd:complexType>
        <xsd:complexContent>
          <xsd:extension base="dms:MultiChoiceFillIn">
            <xsd:sequence>
              <xsd:element name="Value" maxOccurs="unbounded" minOccurs="0" nillable="true">
                <xsd:simpleType>
                  <xsd:union memberTypes="dms:Text">
                    <xsd:simpleType>
                      <xsd:restriction base="dms:Choice">
                        <xsd:enumeration value="Sector"/>
                      </xsd:restriction>
                    </xsd:simpleType>
                  </xsd:union>
                </xsd:simpleType>
              </xsd:element>
            </xsd:sequence>
          </xsd:extension>
        </xsd:complexContent>
      </xsd:complexType>
    </xsd:element>
    <xsd:element name="PublicationAnalysts" ma:index="16" nillable="true" ma:displayName="Analysts" ma:default="Analyst" ma:internalName="PublicationAnalysts">
      <xsd:complexType>
        <xsd:complexContent>
          <xsd:extension base="dms:MultiChoiceFillIn">
            <xsd:sequence>
              <xsd:element name="Value" maxOccurs="unbounded" minOccurs="0" nillable="true">
                <xsd:simpleType>
                  <xsd:union memberTypes="dms:Text">
                    <xsd:simpleType>
                      <xsd:restriction base="dms:Choice">
                        <xsd:enumeration value="Analyst"/>
                      </xsd:restriction>
                    </xsd:simpleType>
                  </xsd:union>
                </xsd:simpleType>
              </xsd:element>
            </xsd:sequence>
          </xsd:extension>
        </xsd:complexContent>
      </xsd:complexType>
    </xsd:element>
    <xsd:element name="TaxKeywordTaxHTField" ma:index="17" nillable="true" ma:displayName="TaxKeywordTaxHTField" ma:hidden="true" ma:internalName="TaxKeywordTaxHTField">
      <xsd:simpleType>
        <xsd:restriction base="dms:Note"/>
      </xsd:simpleType>
    </xsd:element>
    <xsd:element name="TaxCatchAllLabel" ma:index="19" nillable="true" ma:displayName="Taxonomy Catch All Column1" ma:hidden="true" ma:list="{c2decc55-7aff-42d2-a1e9-e5c585d1daea}" ma:internalName="TaxCatchAllLabel" ma:readOnly="true" ma:showField="CatchAllDataLabel">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4d6bf70-1b1a-4864-9cb7-7677ce579647" elementFormDefault="qualified">
    <xsd:import namespace="http://schemas.microsoft.com/office/2006/documentManagement/types"/>
    <xsd:import namespace="http://schemas.microsoft.com/office/infopath/2007/PartnerControls"/>
    <xsd:element name="TaxCatchAll" ma:index="18" nillable="true" ma:displayName="Taxonomy Catch All Column" ma:description="" ma:hidden="true" ma:list="{c2decc55-7aff-42d2-a1e9-e5c585d1daea}" ma:internalName="TaxCatchAll" ma:showField="CatchAllData" ma:web="f62628f9-e0a0-44c9-a29b-533bbbd372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A7B306-C014-4161-814C-A9F500DC35DC}"/>
</file>

<file path=customXml/itemProps2.xml><?xml version="1.0" encoding="utf-8"?>
<ds:datastoreItem xmlns:ds="http://schemas.openxmlformats.org/officeDocument/2006/customXml" ds:itemID="{21C6693B-A273-440F-A6AE-CF0358863A23}">
  <ds:schemaRefs>
    <ds:schemaRef ds:uri="http://schemas.microsoft.com/office/2006/metadata/properties"/>
    <ds:schemaRef ds:uri="http://schemas.microsoft.com/office/infopath/2007/PartnerControls"/>
    <ds:schemaRef ds:uri="74d6bf70-1b1a-4864-9cb7-7677ce579647"/>
  </ds:schemaRefs>
</ds:datastoreItem>
</file>

<file path=customXml/itemProps3.xml><?xml version="1.0" encoding="utf-8"?>
<ds:datastoreItem xmlns:ds="http://schemas.openxmlformats.org/officeDocument/2006/customXml" ds:itemID="{1694ABB6-870F-4668-87A8-AE0488D54D4C}">
  <ds:schemaRefs>
    <ds:schemaRef ds:uri="http://schemas.microsoft.com/sharepoint/v3/contenttype/forms"/>
  </ds:schemaRefs>
</ds:datastoreItem>
</file>

<file path=customXml/itemProps4.xml><?xml version="1.0" encoding="utf-8"?>
<ds:datastoreItem xmlns:ds="http://schemas.openxmlformats.org/officeDocument/2006/customXml" ds:itemID="{F10DCDF2-B062-4541-B0EB-BA29D8F5D85C}">
  <ds:schemaRefs>
    <ds:schemaRef ds:uri="http://schemas.openxmlformats.org/officeDocument/2006/bibliography"/>
  </ds:schemaRefs>
</ds:datastoreItem>
</file>

<file path=customXml/itemProps5.xml><?xml version="1.0" encoding="utf-8"?>
<ds:datastoreItem xmlns:ds="http://schemas.openxmlformats.org/officeDocument/2006/customXml" ds:itemID="{2846A110-A90D-4CCF-AA0B-79A8ED6F52FB}"/>
</file>

<file path=docProps/app.xml><?xml version="1.0" encoding="utf-8"?>
<Properties xmlns="http://schemas.openxmlformats.org/officeDocument/2006/extended-properties" xmlns:vt="http://schemas.openxmlformats.org/officeDocument/2006/docPropsVTypes">
  <Template>RP A4 Email Blue</Template>
  <TotalTime>0</TotalTime>
  <Pages>46</Pages>
  <Words>17656</Words>
  <Characters>90755</Characters>
  <Application>Microsoft Office Word</Application>
  <DocSecurity>0</DocSecurity>
  <Lines>3241</Lines>
  <Paragraphs>2212</Paragraphs>
  <ScaleCrop>false</ScaleCrop>
  <HeadingPairs>
    <vt:vector size="2" baseType="variant">
      <vt:variant>
        <vt:lpstr>Title</vt:lpstr>
      </vt:variant>
      <vt:variant>
        <vt:i4>1</vt:i4>
      </vt:variant>
    </vt:vector>
  </HeadingPairs>
  <TitlesOfParts>
    <vt:vector size="1" baseType="lpstr">
      <vt:lpstr>Blue Top</vt:lpstr>
    </vt:vector>
  </TitlesOfParts>
  <Manager/>
  <Company>Mediasterling</Company>
  <LinksUpToDate>false</LinksUpToDate>
  <CharactersWithSpaces>106199</CharactersWithSpaces>
  <SharedDoc>false</SharedDoc>
  <HLinks>
    <vt:vector size="6" baseType="variant">
      <vt:variant>
        <vt:i4>2621540</vt:i4>
      </vt:variant>
      <vt:variant>
        <vt:i4>28</vt:i4>
      </vt:variant>
      <vt:variant>
        <vt:i4>0</vt:i4>
      </vt:variant>
      <vt:variant>
        <vt:i4>5</vt:i4>
      </vt:variant>
      <vt:variant>
        <vt:lpwstr>http://www.redburn.com/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 Top</dc:title>
  <dc:subject/>
  <dc:creator>Higgs, Charlie</dc:creator>
  <cp:keywords/>
  <dc:description/>
  <cp:lastModifiedBy>Sever, Jon</cp:lastModifiedBy>
  <cp:revision>3</cp:revision>
  <cp:lastPrinted>2011-10-31T10:21:00Z</cp:lastPrinted>
  <dcterms:created xsi:type="dcterms:W3CDTF">2025-11-20T16:32:00Z</dcterms:created>
  <dcterms:modified xsi:type="dcterms:W3CDTF">2025-11-20T16:35:00Z</dcterms:modified>
  <cp:category>Office 2016</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_PathToIniFile">
    <vt:lpwstr>RED_EmailBlue.ini</vt:lpwstr>
  </property>
  <property fmtid="{D5CDD505-2E9C-101B-9397-08002B2CF9AE}" pid="3" name="MS_Debugging">
    <vt:bool>false</vt:bool>
  </property>
  <property fmtid="{D5CDD505-2E9C-101B-9397-08002B2CF9AE}" pid="4" name="MS_Version">
    <vt:lpwstr>4.1.26</vt:lpwstr>
  </property>
  <property fmtid="{D5CDD505-2E9C-101B-9397-08002B2CF9AE}" pid="5" name="ClassificationContentMarkingFooterShapeIds">
    <vt:lpwstr>228069a7,e0f8f27,5654137f</vt:lpwstr>
  </property>
  <property fmtid="{D5CDD505-2E9C-101B-9397-08002B2CF9AE}" pid="6" name="ClassificationContentMarkingFooterFontProps">
    <vt:lpwstr>#7c7c80,9,Arial</vt:lpwstr>
  </property>
  <property fmtid="{D5CDD505-2E9C-101B-9397-08002B2CF9AE}" pid="7" name="ClassificationContentMarkingFooterText">
    <vt:lpwstr>Confidential</vt:lpwstr>
  </property>
  <property fmtid="{D5CDD505-2E9C-101B-9397-08002B2CF9AE}" pid="8" name="MSIP_Label_27f19db2-d867-48b1-bee5-621b02f2470f_Enabled">
    <vt:lpwstr>true</vt:lpwstr>
  </property>
  <property fmtid="{D5CDD505-2E9C-101B-9397-08002B2CF9AE}" pid="9" name="MSIP_Label_27f19db2-d867-48b1-bee5-621b02f2470f_SetDate">
    <vt:lpwstr>2025-10-29T08:00:45Z</vt:lpwstr>
  </property>
  <property fmtid="{D5CDD505-2E9C-101B-9397-08002B2CF9AE}" pid="10" name="MSIP_Label_27f19db2-d867-48b1-bee5-621b02f2470f_Method">
    <vt:lpwstr>Privileged</vt:lpwstr>
  </property>
  <property fmtid="{D5CDD505-2E9C-101B-9397-08002B2CF9AE}" pid="11" name="MSIP_Label_27f19db2-d867-48b1-bee5-621b02f2470f_Name">
    <vt:lpwstr>RAndCoConfidentialMarked</vt:lpwstr>
  </property>
  <property fmtid="{D5CDD505-2E9C-101B-9397-08002B2CF9AE}" pid="12" name="MSIP_Label_27f19db2-d867-48b1-bee5-621b02f2470f_SiteId">
    <vt:lpwstr>a3a61790-e8ca-448a-b1be-e046da74a581</vt:lpwstr>
  </property>
  <property fmtid="{D5CDD505-2E9C-101B-9397-08002B2CF9AE}" pid="13" name="MSIP_Label_27f19db2-d867-48b1-bee5-621b02f2470f_ActionId">
    <vt:lpwstr>749f6c4d-9e39-4694-9f14-43427db051bd</vt:lpwstr>
  </property>
  <property fmtid="{D5CDD505-2E9C-101B-9397-08002B2CF9AE}" pid="14" name="MSIP_Label_27f19db2-d867-48b1-bee5-621b02f2470f_ContentBits">
    <vt:lpwstr>2</vt:lpwstr>
  </property>
  <property fmtid="{D5CDD505-2E9C-101B-9397-08002B2CF9AE}" pid="15" name="MSIP_Label_27f19db2-d867-48b1-bee5-621b02f2470f_Tag">
    <vt:lpwstr>10, 0, 1, 1</vt:lpwstr>
  </property>
  <property fmtid="{D5CDD505-2E9C-101B-9397-08002B2CF9AE}" pid="16" name="ContentTypeId">
    <vt:lpwstr>0x010100B51EF15732CF6048B9FC28CEDA4388270015FFD1D49B9D084488E9F640AD0A18AC</vt:lpwstr>
  </property>
  <property fmtid="{D5CDD505-2E9C-101B-9397-08002B2CF9AE}" pid="17" name="TaxKeyword">
    <vt:lpwstr/>
  </property>
  <property fmtid="{D5CDD505-2E9C-101B-9397-08002B2CF9AE}" pid="18" name="_docset_NoMedatataSyncRequired">
    <vt:lpwstr>True</vt:lpwstr>
  </property>
</Properties>
</file>