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</w:rPr>
        <w:t>SAP S/4HANA API Requirements</w:t>
      </w:r>
    </w:p>
    <w:p>
      <w:r>
        <w:rPr>
          <w:i/>
          <w:color w:val="2E74B5"/>
          <w:sz w:val="22"/>
        </w:rPr>
        <w:t>Finance AI Chatbot (AHF) - read-only OData endpoints by finance use case</w:t>
      </w:r>
    </w:p>
    <w:p>
      <w:r>
        <w:rPr>
          <w:color w:val="707070"/>
          <w:sz w:val="18"/>
        </w:rPr>
        <w:t>Prepared 2026-08-28  |  Branch: testing  |  Draft for API-connection planning</w:t>
      </w:r>
    </w:p>
    <w:p>
      <w:pPr>
        <w:pStyle w:val="Heading1"/>
      </w:pPr>
      <w:r>
        <w:rPr>
          <w:color w:val="1F3B57"/>
        </w:rPr>
        <w:t>1. Overview</w:t>
      </w:r>
    </w:p>
    <w:p>
      <w:r>
        <w:t>This document maps ten finance use cases for the Finance AI Chatbot to the SAP S/4HANA ("S/4" / "S3 HANA" - same system) OData APIs the agent must read from. Every endpoint is used GET / read-only; no posting, patch, or delete APIs are in scope.</w:t>
      </w:r>
    </w:p>
    <w:p>
      <w:r>
        <w:rPr>
          <w:b/>
        </w:rPr>
        <w:t xml:space="preserve">Key insight: </w:t>
      </w:r>
      <w:r>
        <w:t>most use cases resolve to the SAME two line-item APIs filtered on different dimensions, plus one master-data API per domain. AP, AR, G/L postings, Cost Centers, Profit Centers, Tax, and Payments are all variations of a $filter on the two building blocks below.</w:t>
      </w:r>
    </w:p>
    <w:p>
      <w:pPr>
        <w:pStyle w:val="Heading2"/>
      </w:pPr>
      <w:r>
        <w:rPr>
          <w:color w:val="1F3B57"/>
        </w:rPr>
        <w:t>1.1 Building block A - Journal entry line items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OData service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API_JOURNALENTRYITEMBASIC_SRV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Entity set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A_JournalEntryItemBasic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Provides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Every G/L line: account, amount, cost center, profit center, functional area, tax code, document type, posting / document date.</w:t>
            </w:r>
          </w:p>
        </w:tc>
      </w:tr>
    </w:tbl>
    <w:p/>
    <w:p>
      <w:pPr>
        <w:pStyle w:val="Heading2"/>
      </w:pPr>
      <w:r>
        <w:rPr>
          <w:color w:val="1F3B57"/>
        </w:rPr>
        <w:t>1.2 Building block B - Open-item / clearing view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OData service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API_OPLACCTGDOCITEMCUBE_SRV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Entity set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A_OperationalAcctgDocItemCube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Provides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Same lines plus open / cleared status, clearing date, clearing document, due date, and dunning data. Used for AP, AR, and G/L open items.</w:t>
            </w:r>
          </w:p>
        </w:tc>
      </w:tr>
    </w:tbl>
    <w:p/>
    <w:p>
      <w:pPr>
        <w:pStyle w:val="Heading1"/>
      </w:pPr>
      <w:r>
        <w:rPr>
          <w:color w:val="1F3B57"/>
        </w:rPr>
        <w:t>2. Use-case to API mapping</w:t>
      </w:r>
    </w:p>
    <w:p>
      <w:r>
        <w:t>Confidence key:  OK = released, stable public S/4HANA Cloud API.   VERIFY = release-dependent or controlled availability; confirm on SAP Business Accelerator Hub (api.sap.com) for the tenant release.   KB = no dedicated read API; answer from the policy knowledge base or derive from journal-entry-item queries.</w:t>
      </w:r>
    </w:p>
    <w:p>
      <w:pPr>
        <w:pStyle w:val="Heading2"/>
      </w:pPr>
      <w:r>
        <w:rPr>
          <w:color w:val="1F3B57"/>
        </w:rPr>
        <w:t>2.1  Journal Entry / G/L postings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FI-GL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API_JOURNALENTRYITEMBASIC_SRV  (OK)</w:t>
            </w:r>
            <w:r>
              <w:rPr>
                <w:b w:val="0"/>
                <w:sz w:val="17"/>
              </w:rPr>
              <w:br/>
              <w:t>API_OPLACCTGDOCITEMCUBE_SRV  (OK)</w:t>
            </w:r>
            <w:r>
              <w:rPr>
                <w:b w:val="0"/>
                <w:sz w:val="17"/>
              </w:rPr>
              <w:br/>
              <w:t>API_JOURNALENTRY_SRV  (VERIFY - header read only)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A_JournalEntryItemBasic</w:t>
            </w:r>
            <w:r>
              <w:rPr>
                <w:b w:val="0"/>
                <w:sz w:val="17"/>
              </w:rPr>
              <w:br/>
              <w:t>A_OperationalAcctgDocItemCube</w:t>
            </w:r>
            <w:r>
              <w:rPr>
                <w:b w:val="0"/>
                <w:sz w:val="17"/>
              </w:rPr>
              <w:br/>
              <w:t>A_JournalEntry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First two are the core read APIs. API_JOURNALENTRY_SRV also exposes POST - use only its GET entity for header reads.</w:t>
            </w:r>
          </w:p>
        </w:tc>
      </w:tr>
    </w:tbl>
    <w:p/>
    <w:p>
      <w:pPr>
        <w:pStyle w:val="Heading2"/>
      </w:pPr>
      <w:r>
        <w:rPr>
          <w:color w:val="1F3B57"/>
        </w:rPr>
        <w:t>2.2  G/L Accounts &amp; Balances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FI-GL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API_GLACCOUNTINCHARTOFACCOUNTS_SRV  (OK - master)</w:t>
            </w:r>
            <w:r>
              <w:rPr>
                <w:b w:val="0"/>
                <w:sz w:val="17"/>
              </w:rPr>
              <w:br/>
              <w:t>API_TRIALBALANCE_SRV  (VERIFY - balances)</w:t>
            </w:r>
            <w:r>
              <w:rPr>
                <w:b w:val="0"/>
                <w:sz w:val="17"/>
              </w:rPr>
              <w:br/>
              <w:t>or aggregate A_JournalEntryItemBasic client-side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A_GLAccountInChartOfAccounts</w:t>
            </w:r>
            <w:r>
              <w:rPr>
                <w:b w:val="0"/>
                <w:sz w:val="17"/>
              </w:rPr>
              <w:br/>
              <w:t>A_GLAccountInCompanyCode</w:t>
            </w:r>
            <w:r>
              <w:rPr>
                <w:b w:val="0"/>
                <w:sz w:val="17"/>
              </w:rPr>
              <w:br/>
              <w:t>A_GLAccountText</w:t>
            </w:r>
            <w:r>
              <w:rPr>
                <w:b w:val="0"/>
                <w:sz w:val="17"/>
              </w:rPr>
              <w:br/>
              <w:t>A_TrialBalanceResult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No universally-released G/L balance API. Trial Balance API exists in newer releases; otherwise sum journal-entry items client-side.</w:t>
            </w:r>
          </w:p>
        </w:tc>
      </w:tr>
    </w:tbl>
    <w:p/>
    <w:p>
      <w:pPr>
        <w:pStyle w:val="Heading2"/>
      </w:pPr>
      <w:r>
        <w:rPr>
          <w:color w:val="1F3B57"/>
        </w:rPr>
        <w:t>2.3  AP (Accounts Payable)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FI-AP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API_SUPPLIERINVOICE_PROCESS_SRV  (OK)</w:t>
            </w:r>
            <w:r>
              <w:rPr>
                <w:b w:val="0"/>
                <w:sz w:val="17"/>
              </w:rPr>
              <w:br/>
              <w:t>API_OPLACCTGDOCITEMCUBE_SRV  (OK - filter AccountType = K)</w:t>
            </w:r>
            <w:r>
              <w:rPr>
                <w:b w:val="0"/>
                <w:sz w:val="17"/>
              </w:rPr>
              <w:br/>
              <w:t>API_BUSINESS_PARTNER  (OK)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A_SupplierInvoice</w:t>
            </w:r>
            <w:r>
              <w:rPr>
                <w:b w:val="0"/>
                <w:sz w:val="17"/>
              </w:rPr>
              <w:br/>
              <w:t>A_OperationalAcctgDocItemCube</w:t>
            </w:r>
            <w:r>
              <w:rPr>
                <w:b w:val="0"/>
                <w:sz w:val="17"/>
              </w:rPr>
              <w:br/>
              <w:t>A_Supplier, A_BusinessPartner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Invoice API already wired in the repo. Open payables and aging come from the cube filtered by Supplier / AccountType.</w:t>
            </w:r>
          </w:p>
        </w:tc>
      </w:tr>
    </w:tbl>
    <w:p/>
    <w:p>
      <w:pPr>
        <w:pStyle w:val="Heading2"/>
      </w:pPr>
      <w:r>
        <w:rPr>
          <w:color w:val="1F3B57"/>
        </w:rPr>
        <w:t>2.4  AR (Accounts Receivable)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FI-AR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API_OPLACCTGDOCITEMCUBE_SRV  (OK - filter AccountType = D)</w:t>
            </w:r>
            <w:r>
              <w:rPr>
                <w:b w:val="0"/>
                <w:sz w:val="17"/>
              </w:rPr>
              <w:br/>
              <w:t>API_BUSINESS_PARTNER  (OK)</w:t>
            </w:r>
            <w:r>
              <w:rPr>
                <w:b w:val="0"/>
                <w:sz w:val="17"/>
              </w:rPr>
              <w:br/>
              <w:t>API_BILLING_DOCUMENT_SRV  (OK - SD-originated invoices)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A_OperationalAcctgDocItemCube</w:t>
            </w:r>
            <w:r>
              <w:rPr>
                <w:b w:val="0"/>
                <w:sz w:val="17"/>
              </w:rPr>
              <w:br/>
              <w:t>A_Customer, A_BusinessPartner</w:t>
            </w:r>
            <w:r>
              <w:rPr>
                <w:b w:val="0"/>
                <w:sz w:val="17"/>
              </w:rPr>
              <w:br/>
              <w:t>A_BillingDocument, A_BillingDocumentItem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'API_CUSTOMER_INVOICE_SRV' in domains.py is a placeholder. FI-AR items via the cube; SD invoices via the billing API. Dunning / collections: KB only.</w:t>
            </w:r>
          </w:p>
        </w:tc>
      </w:tr>
    </w:tbl>
    <w:p/>
    <w:p>
      <w:pPr>
        <w:pStyle w:val="Heading2"/>
      </w:pPr>
      <w:r>
        <w:rPr>
          <w:color w:val="1F3B57"/>
        </w:rPr>
        <w:t>2.5  Cost Centers (CO-CCA)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CO-CCA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API_COSTCENTER_SRV  (OK - master)</w:t>
            </w:r>
            <w:r>
              <w:rPr>
                <w:b w:val="0"/>
                <w:sz w:val="17"/>
              </w:rPr>
              <w:br/>
              <w:t>API_JOURNALENTRYITEMBASIC_SRV  (OK - actuals, filter CostCenter)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A_CostCenter, A_CostCenterText</w:t>
            </w:r>
            <w:r>
              <w:rPr>
                <w:b w:val="0"/>
                <w:sz w:val="17"/>
              </w:rPr>
              <w:br/>
              <w:t>A_JournalEntryItemBasic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Master API released. Analytical 'Cost Centers - Actual/Plan' CDS queries are exposed as OData in newer releases - verify the name.</w:t>
            </w:r>
          </w:p>
        </w:tc>
      </w:tr>
    </w:tbl>
    <w:p/>
    <w:p>
      <w:pPr>
        <w:pStyle w:val="Heading2"/>
      </w:pPr>
      <w:r>
        <w:rPr>
          <w:color w:val="1F3B57"/>
        </w:rPr>
        <w:t>2.6  Profit Centers (CO-PCA)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CO-PCA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API_PROFITCENTER_SRV  (VERIFY - master)</w:t>
            </w:r>
            <w:r>
              <w:rPr>
                <w:b w:val="0"/>
                <w:sz w:val="17"/>
              </w:rPr>
              <w:br/>
              <w:t>API_JOURNALENTRYITEMBASIC_SRV  (OK - filter ProfitCenter)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A_ProfitCenter, A_ProfitCenterText</w:t>
            </w:r>
            <w:r>
              <w:rPr>
                <w:b w:val="0"/>
                <w:sz w:val="17"/>
              </w:rPr>
              <w:br/>
              <w:t>A_JournalEntryItemBasic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 standalone profit-center master OData API was added only in later releases. Profit-center reporting always works via the journal-entry-item API.</w:t>
            </w:r>
          </w:p>
        </w:tc>
      </w:tr>
    </w:tbl>
    <w:p/>
    <w:p>
      <w:pPr>
        <w:pStyle w:val="Heading2"/>
      </w:pPr>
      <w:r>
        <w:rPr>
          <w:color w:val="1F3B57"/>
        </w:rPr>
        <w:t>2.7  Fixed Assets (FI-AA)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FI-AA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API_FIXEDASSET_SRV  (OK)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A_FixedAsset, A_MasterFixedAsset</w:t>
            </w:r>
            <w:r>
              <w:rPr>
                <w:b w:val="0"/>
                <w:sz w:val="17"/>
              </w:rPr>
              <w:br/>
              <w:t>A_FixedAssetTimeBasedData</w:t>
            </w:r>
            <w:r>
              <w:rPr>
                <w:b w:val="0"/>
                <w:sz w:val="17"/>
              </w:rPr>
              <w:br/>
              <w:t>A_FixedAssetValuation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Released read (plus some write). Depreciation and asset balances also appear as G/L lines on asset recon accounts in A_JournalEntryItemBasic.</w:t>
            </w:r>
          </w:p>
        </w:tc>
      </w:tr>
    </w:tbl>
    <w:p/>
    <w:p>
      <w:pPr>
        <w:pStyle w:val="Heading2"/>
      </w:pPr>
      <w:r>
        <w:rPr>
          <w:color w:val="1F3B57"/>
        </w:rPr>
        <w:t>2.8  Bank &amp; Cash (TR-CM)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FIN-FSCM / TR-CM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API_BANKDETAIL_SRV  (OK - bank directory)</w:t>
            </w:r>
            <w:r>
              <w:rPr>
                <w:b w:val="0"/>
                <w:sz w:val="17"/>
              </w:rPr>
              <w:br/>
              <w:t>Bank Account Management APIs / FCLM_*  (VERIFY)</w:t>
            </w:r>
            <w:r>
              <w:rPr>
                <w:b w:val="0"/>
                <w:sz w:val="17"/>
              </w:rPr>
              <w:br/>
              <w:t>API_BANKSTATEMENT_SRV  (VERIFY)</w:t>
            </w:r>
            <w:r>
              <w:rPr>
                <w:b w:val="0"/>
                <w:sz w:val="17"/>
              </w:rPr>
              <w:br/>
              <w:t>API_ONE_EXPOSURE_FROM_OPERATIONS_SRV  (VERIFY - cash position)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A_BankDetail</w:t>
            </w:r>
            <w:r>
              <w:rPr>
                <w:b w:val="0"/>
                <w:sz w:val="17"/>
              </w:rPr>
              <w:br/>
              <w:t>bank account entities</w:t>
            </w:r>
            <w:r>
              <w:rPr>
                <w:b w:val="0"/>
                <w:sz w:val="17"/>
              </w:rPr>
              <w:br/>
              <w:t>bank statement entities</w:t>
            </w:r>
            <w:r>
              <w:rPr>
                <w:b w:val="0"/>
                <w:sz w:val="17"/>
              </w:rPr>
              <w:br/>
              <w:t>A_OneExposureFromOperations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Least standardized area; several APIs are release-gated or controlled availability. House-bank master and bank directory are reliable; 'today's cash position' and reconciliation status are verify-first.</w:t>
            </w:r>
          </w:p>
        </w:tc>
      </w:tr>
    </w:tbl>
    <w:p/>
    <w:p>
      <w:pPr>
        <w:pStyle w:val="Heading2"/>
      </w:pPr>
      <w:r>
        <w:rPr>
          <w:color w:val="1F3B57"/>
        </w:rPr>
        <w:t>2.9  Tax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FI-AP / AR (tax)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API_JOURNALENTRYITEMBASIC_SRV  (OK - posted tax amounts, TaxCode)</w:t>
            </w:r>
            <w:r>
              <w:rPr>
                <w:b w:val="0"/>
                <w:sz w:val="17"/>
              </w:rPr>
              <w:br/>
              <w:t>Advanced Compliance Reporting (ACR) APIs  (VERIFY - returns / filing)</w:t>
            </w:r>
            <w:r>
              <w:rPr>
                <w:b w:val="0"/>
                <w:sz w:val="17"/>
              </w:rPr>
              <w:br/>
              <w:t>Tax-code master: KB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A_JournalEntryItemBasic</w:t>
            </w:r>
            <w:r>
              <w:rPr>
                <w:b w:val="0"/>
                <w:sz w:val="17"/>
              </w:rPr>
              <w:br/>
              <w:t>ACR service entities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'API_TAXCODE_SRV' in domains.py is a placeholder and likely not real for the tenant release. Tax-code meaning and filing calendar stay in the KB; posted tax comes from journal-entry items.</w:t>
            </w:r>
          </w:p>
        </w:tc>
      </w:tr>
    </w:tbl>
    <w:p/>
    <w:p>
      <w:pPr>
        <w:pStyle w:val="Heading2"/>
      </w:pPr>
      <w:r>
        <w:rPr>
          <w:color w:val="1F3B57"/>
        </w:rPr>
        <w:t>2.10  Payments (cross AP / AR / TR)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160"/>
        <w:gridCol w:w="7056"/>
      </w:tblGrid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SAP area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FI / TR-CM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Primary OData service(s)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API_OPLACCTGDOCITEMCUBE_SRV  (OK - IsCleared, ClearingDate, ClearingAccountingDocument)</w:t>
            </w:r>
            <w:r>
              <w:rPr>
                <w:b w:val="0"/>
                <w:sz w:val="17"/>
              </w:rPr>
              <w:br/>
              <w:t>API_JOURNALENTRYITEMBASIC_SRV  (OK - payment document lines)</w:t>
            </w:r>
            <w:r>
              <w:rPr>
                <w:b w:val="0"/>
                <w:sz w:val="17"/>
              </w:rPr>
              <w:br/>
              <w:t>API_PAYMENTADVICE_SRV  (VERIFY)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Key entity set(s)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A_OperationalAcctgDocItemCube</w:t>
            </w:r>
            <w:r>
              <w:rPr>
                <w:b w:val="0"/>
                <w:sz w:val="17"/>
              </w:rPr>
              <w:br/>
              <w:t>A_JournalEntryItemBasic</w:t>
            </w:r>
            <w:r>
              <w:rPr>
                <w:b w:val="0"/>
                <w:sz w:val="17"/>
              </w:rPr>
              <w:br/>
              <w:t>payment advice entities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Notes</w:t>
            </w:r>
          </w:p>
        </w:tc>
        <w:tc>
          <w:tcPr>
            <w:tcW w:type="dxa" w:w="705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The repo currently infers clearing from a populated ClearingDate on the journal-entry API; the cube is the better source because it carries an explicit IsCleared flag. Payment-run schedule stays in KB.</w:t>
            </w:r>
          </w:p>
        </w:tc>
      </w:tr>
    </w:tbl>
    <w:p/>
    <w:p>
      <w:pPr>
        <w:pStyle w:val="Heading1"/>
      </w:pPr>
      <w:r>
        <w:rPr>
          <w:color w:val="1F3B57"/>
        </w:rPr>
        <w:t>3. Already wired vs. to connect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3024"/>
        <w:gridCol w:w="6192"/>
      </w:tblGrid>
      <w:tr>
        <w:trPr>
          <w:tblHeader w:val="true"/>
        </w:trPr>
        <w:tc>
          <w:tcPr>
            <w:tcW w:type="dxa" w:w="3024"/>
            <w:shd w:val="clear" w:color="auto" w:fill="1F3B5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6192"/>
            <w:shd w:val="clear" w:color="auto" w:fill="1F3B57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OData services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Already wired in repo</w:t>
            </w:r>
            <w:r>
              <w:rPr>
                <w:b w:val="0"/>
                <w:sz w:val="17"/>
              </w:rPr>
              <w:br/>
              <w:t>(src/ahf_finance_agent/s4hana.py)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API_SUPPLIERINVOICE_PROCESS_SRV, API_JOURNALENTRYITEMBASIC_SRV, API_PURCHASEORDER_PROCESS_SRV, API_PURCHASEREQ_PROCESS_SRV, API_BUSINESS_PARTNER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Highest-value addition</w:t>
            </w:r>
            <w:r>
              <w:rPr>
                <w:b w:val="0"/>
                <w:sz w:val="17"/>
              </w:rPr>
              <w:br/>
              <w:t>(unlocks AP open items, AR, payments / clearing, G/L open items)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API_OPLACCTGDOCITEMCUBE_SRV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Next additions</w:t>
            </w:r>
            <w:r>
              <w:rPr>
                <w:b w:val="0"/>
                <w:sz w:val="17"/>
              </w:rPr>
              <w:br/>
              <w:t>(master data per domain)</w:t>
            </w:r>
          </w:p>
        </w:tc>
        <w:tc>
          <w:tcPr>
            <w:tcW w:type="dxa" w:w="6192"/>
            <w:shd w:val="clear" w:color="auto" w:fill="EEF3F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API_GLACCOUNTINCHARTOFACCOUNTS_SRV, API_COSTCENTER_SRV, API_FIXEDASSET_SRV, API_BANKDETAIL_SRV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Release permitting</w:t>
            </w:r>
            <w:r>
              <w:rPr>
                <w:b w:val="0"/>
                <w:sz w:val="17"/>
              </w:rPr>
              <w:br/>
              <w:t>(verify on api.sap.com)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API_TRIALBALANCE_SRV, API_PROFITCENTER_SRV, API_BILLING_DOCUMENT_SRV, API_BANKSTATEMENT_SRV, API_ONE_EXPOSURE_FROM_OPERATIONS_SRV, API_PAYMENTADVICE_SRV</w:t>
            </w:r>
          </w:p>
        </w:tc>
      </w:tr>
    </w:tbl>
    <w:p/>
    <w:p>
      <w:pPr>
        <w:pStyle w:val="Heading1"/>
      </w:pPr>
      <w:r>
        <w:rPr>
          <w:color w:val="1F3B57"/>
        </w:rPr>
        <w:t>4. Caveats</w:t>
      </w:r>
    </w:p>
    <w:p>
      <w:pPr>
        <w:pStyle w:val="ListBullet"/>
      </w:pPr>
      <w:r>
        <w:t>Exact technical service names and entity sets vary by S/4HANA Cloud release and by Public vs. Private edition. Confirm each on SAP Business Accelerator Hub (api.sap.com) against the tenant release before wiring.</w:t>
      </w:r>
    </w:p>
    <w:p>
      <w:pPr>
        <w:pStyle w:val="ListBullet"/>
      </w:pPr>
      <w:r>
        <w:t>Each service must be activated in the tenant's Communication Arrangement (cloud) or via /IWFND/MAINT_SERVICE (on-premise) and be reachable through the S43 BTP destination.</w:t>
      </w:r>
    </w:p>
    <w:p>
      <w:pPr>
        <w:pStyle w:val="ListBullet"/>
      </w:pPr>
      <w:r>
        <w:t>Areas most likely to have no dedicated released API - keep KB-only or derive from journal-entry-item queries: G/L balances, tax codes, dunning, cash position.</w:t>
      </w:r>
    </w:p>
    <w:p>
      <w:pPr>
        <w:pStyle w:val="ListBullet"/>
      </w:pPr>
      <w:r>
        <w:t>All access stays structurally read-only (GET). No bank, tax-ID, or personal fields are requested in any $select, and responses are stripped of sensitive keys before leaving the S/4HANA client module.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