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8"/>
        </w:rPr>
        <w:t>A Multi-Agent Large Language Model Framework for Automated Swing Trading: Architecture, Signal Generation, and Empirical Evaluation</w:t>
      </w:r>
    </w:p>
    <w:p>
      <w:pPr>
        <w:spacing w:after="40"/>
        <w:jc w:val="center"/>
      </w:pPr>
      <w:r>
        <w:rPr>
          <w:rFonts w:ascii="Times New Roman" w:hAnsi="Times New Roman"/>
          <w:b w:val="0"/>
          <w:i w:val="0"/>
          <w:sz w:val="22"/>
        </w:rPr>
        <w:t>Pradeep Somasundaram</w:t>
      </w:r>
    </w:p>
    <w:p>
      <w:pPr>
        <w:spacing w:after="200"/>
        <w:jc w:val="center"/>
      </w:pPr>
      <w:r>
        <w:rPr>
          <w:rFonts w:ascii="Times New Roman" w:hAnsi="Times New Roman"/>
          <w:b w:val="0"/>
          <w:i/>
          <w:sz w:val="20"/>
        </w:rPr>
        <w:t>Independent Researcher  |  aadhi1501@gmail.com</w:t>
      </w:r>
    </w:p>
    <w:p/>
    <w:p>
      <w:pPr>
        <w:spacing w:after="80" w:before="0"/>
        <w:jc w:val="center"/>
      </w:pPr>
      <w:r>
        <w:rPr>
          <w:rFonts w:ascii="Times New Roman" w:hAnsi="Times New Roman"/>
          <w:b/>
          <w:i w:val="0"/>
          <w:sz w:val="24"/>
        </w:rPr>
        <w:t>ABSTRACT</w:t>
      </w:r>
    </w:p>
    <w:p>
      <w:pPr>
        <w:spacing w:after="160" w:before="0"/>
        <w:jc w:val="both"/>
      </w:pPr>
      <w:r>
        <w:rPr>
          <w:rFonts w:ascii="Times New Roman" w:hAnsi="Times New Roman"/>
          <w:b w:val="0"/>
          <w:i w:val="0"/>
          <w:sz w:val="20"/>
        </w:rPr>
        <w:t>This paper presents an automated swing trading system built on a multi-agent Large Language Model (LLM) pipeline orchestrated via LangGraph. The framework integrates six heterogeneous data sources—daily technical indicators, fundamental financial metrics, real-time news sentiment, Retrieval-Augmented Generation (RAG) context, sector performance, and broad market conditions—into a unified decision graph that autonomously generates BUY, SELL, or HOLD signals with associated price targets and stop-loss levels. Trades are executed on a paper account with rule-based risk management: 2% portfolio risk per trade, 10% profit target, 4% stop loss, and a maximum 10-day holding period. We evaluate the system against three baselines—RSI-only technical trading, buy-and-hold SPY, and random entry—across a 30-stock universe over the 2024 calendar year. Results demonstrate that multi-source LLM-driven signal generation achieves a higher risk-adjusted return and win rate compared to single-indicator baselines. The system is fully deployed on cloud infrastructure with automated scheduling and real-time Discord notifications.</w:t>
      </w:r>
    </w:p>
    <w:p>
      <w:pPr>
        <w:spacing w:after="200" w:before="0"/>
        <w:jc w:val="both"/>
      </w:pPr>
      <w:r>
        <w:rPr>
          <w:rFonts w:ascii="Times New Roman" w:hAnsi="Times New Roman"/>
          <w:b w:val="0"/>
          <w:i/>
          <w:sz w:val="18"/>
        </w:rPr>
        <w:t>Index Terms—Large Language Model, Automated Trading, Swing Trading, Multi-Agent System, LangGraph, Technical Analysis, Sentiment Analysis, Risk Management.</w:t>
      </w:r>
    </w:p>
    <w:p>
      <w:pPr>
        <w:spacing w:after="80" w:before="0"/>
        <w:jc w:val="left"/>
      </w:pPr>
      <w:r>
        <w:rPr>
          <w:rFonts w:ascii="Times New Roman" w:hAnsi="Times New Roman"/>
          <w:b/>
          <w:i w:val="0"/>
          <w:sz w:val="22"/>
        </w:rPr>
        <w:t>I. Introduction</w:t>
      </w:r>
    </w:p>
    <w:p>
      <w:pPr>
        <w:spacing w:after="120" w:before="0"/>
        <w:jc w:val="both"/>
      </w:pPr>
      <w:r>
        <w:rPr>
          <w:rFonts w:ascii="Times New Roman" w:hAnsi="Times New Roman"/>
          <w:b w:val="0"/>
          <w:i w:val="0"/>
          <w:sz w:val="20"/>
        </w:rPr>
        <w:t>Algorithmic trading has evolved significantly with the advent of deep learning and, more recently, Large Language Models (LLMs). Traditional rule-based systems rely on a single signal source—typically price-derived technical indicators—which limits their adaptability to changing market regimes. LLMs offer the ability to synthesize heterogeneous, natural-language information (news, analyst reports, earnings calls) alongside quantitative signals, enabling richer market understanding.</w:t>
      </w:r>
    </w:p>
    <w:p>
      <w:pPr>
        <w:spacing w:after="120" w:before="0"/>
        <w:jc w:val="both"/>
      </w:pPr>
      <w:r>
        <w:rPr>
          <w:rFonts w:ascii="Times New Roman" w:hAnsi="Times New Roman"/>
          <w:b w:val="0"/>
          <w:i w:val="0"/>
          <w:sz w:val="20"/>
        </w:rPr>
        <w:t>Swing trading occupies a middle ground between day trading and long-term investing, targeting 8–15% price moves over 5–10 calendar days. This time horizon is well-suited to AI-driven analysis: it is long enough for fundamental and news catalysts to manifest in price, yet short enough for technical setups to remain valid.</w:t>
      </w:r>
    </w:p>
    <w:p>
      <w:pPr>
        <w:spacing w:after="200" w:before="0"/>
        <w:jc w:val="both"/>
      </w:pPr>
      <w:r>
        <w:rPr>
          <w:rFonts w:ascii="Times New Roman" w:hAnsi="Times New Roman"/>
          <w:b w:val="0"/>
          <w:i w:val="0"/>
          <w:sz w:val="20"/>
        </w:rPr>
        <w:t>We make the following contributions: (1) a production-grade multi-agent LLM pipeline for swing trade signal generation using LangGraph; (2) integration of six data sources within a single inference pass; (3) an automated paper trading engine with rule-based risk management; and (4) empirical comparison against three baselines on 30 S&amp;P 500 stocks over a 12-month backtest window.</w:t>
      </w:r>
    </w:p>
    <w:p>
      <w:pPr>
        <w:spacing w:after="80" w:before="0"/>
        <w:jc w:val="left"/>
      </w:pPr>
      <w:r>
        <w:rPr>
          <w:rFonts w:ascii="Times New Roman" w:hAnsi="Times New Roman"/>
          <w:b/>
          <w:i w:val="0"/>
          <w:sz w:val="22"/>
        </w:rPr>
        <w:t>II. Related Work</w:t>
      </w:r>
    </w:p>
    <w:p>
      <w:pPr>
        <w:spacing w:after="120" w:before="0"/>
        <w:jc w:val="both"/>
      </w:pPr>
      <w:r>
        <w:rPr>
          <w:rFonts w:ascii="Times New Roman" w:hAnsi="Times New Roman"/>
          <w:b w:val="0"/>
          <w:i w:val="0"/>
          <w:sz w:val="20"/>
        </w:rPr>
        <w:t>Early algorithmic trading systems used rule-based technical analysis—moving averages, RSI, MACD—without machine learning [1]. Supervised ML approaches (SVM, random forests, LSTM) improved prediction accuracy by learning from historical price patterns [2][3].</w:t>
      </w:r>
    </w:p>
    <w:p>
      <w:pPr>
        <w:spacing w:after="120" w:before="0"/>
        <w:jc w:val="both"/>
      </w:pPr>
      <w:r>
        <w:rPr>
          <w:rFonts w:ascii="Times New Roman" w:hAnsi="Times New Roman"/>
          <w:b w:val="0"/>
          <w:i w:val="0"/>
          <w:sz w:val="20"/>
        </w:rPr>
        <w:t>The release of GPT-3 and subsequent LLMs opened new possibilities for financial NLP. BloombergGPT [4] demonstrated domain-specific LLM fine-tuning for finance. FinGPT [5] introduced open-source LLMs for sentiment-driven trading. Generative agents [6] showed that LLM-based multi-agent frameworks can reason collaboratively.</w:t>
      </w:r>
    </w:p>
    <w:p>
      <w:pPr>
        <w:spacing w:after="200" w:before="0"/>
        <w:jc w:val="both"/>
      </w:pPr>
      <w:r>
        <w:rPr>
          <w:rFonts w:ascii="Times New Roman" w:hAnsi="Times New Roman"/>
          <w:b w:val="0"/>
          <w:i w:val="0"/>
          <w:sz w:val="20"/>
        </w:rPr>
        <w:t>Multi-agent trading frameworks have been explored in [7][8], but most focus on intraday horizons and lack integration of RAG-based memory. Our system specifically targets swing trading with a multi-source, multi-agent architecture deployed at production scale.</w:t>
      </w:r>
    </w:p>
    <w:p>
      <w:pPr>
        <w:spacing w:after="80" w:before="0"/>
        <w:jc w:val="left"/>
      </w:pPr>
      <w:r>
        <w:rPr>
          <w:rFonts w:ascii="Times New Roman" w:hAnsi="Times New Roman"/>
          <w:b/>
          <w:i w:val="0"/>
          <w:sz w:val="22"/>
        </w:rPr>
        <w:t>III. System Architecture</w:t>
      </w:r>
    </w:p>
    <w:p>
      <w:pPr>
        <w:spacing w:after="80" w:before="0"/>
        <w:jc w:val="left"/>
      </w:pPr>
      <w:r>
        <w:rPr>
          <w:rFonts w:ascii="Times New Roman" w:hAnsi="Times New Roman"/>
          <w:b/>
          <w:i w:val="0"/>
          <w:sz w:val="20"/>
        </w:rPr>
        <w:t>A. Overview</w:t>
      </w:r>
    </w:p>
    <w:p>
      <w:pPr>
        <w:spacing w:after="120" w:before="0"/>
        <w:jc w:val="both"/>
      </w:pPr>
      <w:r>
        <w:rPr>
          <w:rFonts w:ascii="Times New Roman" w:hAnsi="Times New Roman"/>
          <w:b w:val="0"/>
          <w:i w:val="0"/>
          <w:sz w:val="20"/>
        </w:rPr>
        <w:t>The system is implemented as a directed acyclic graph (DAG) using LangGraph, a library for building stateful LLM workflows. Seven nodes execute sequentially for each ticker: (1) Data Fetch, (2) Feature Extraction, (3) Fundamental Analysis, (4) News Analysis, (5) Market Context, (6) RAG Retrieval, and (7) Autonomous Reasoning. The final node synthesizes all upstream outputs into a structured JSON decision.</w:t>
      </w:r>
    </w:p>
    <w:p>
      <w:pPr>
        <w:spacing w:after="80" w:before="0"/>
        <w:jc w:val="left"/>
      </w:pPr>
      <w:r>
        <w:rPr>
          <w:rFonts w:ascii="Times New Roman" w:hAnsi="Times New Roman"/>
          <w:b/>
          <w:i w:val="0"/>
          <w:sz w:val="20"/>
        </w:rPr>
        <w:t>B. Data Sources</w:t>
      </w:r>
    </w:p>
    <w:p>
      <w:pPr>
        <w:spacing w:after="120" w:before="0"/>
        <w:jc w:val="both"/>
      </w:pPr>
      <w:r>
        <w:rPr>
          <w:rFonts w:ascii="Times New Roman" w:hAnsi="Times New Roman"/>
          <w:b w:val="0"/>
          <w:i w:val="0"/>
          <w:sz w:val="20"/>
        </w:rPr>
        <w:t>Six data streams feed the reasoning node: (i) Daily OHLCV price data via Yahoo Finance (yfinance), from which RSI-14, ATR-14, SMA-20, MACD, Bollinger Bands, and volume z-scores are computed; (ii) Fundamental metrics including P/E ratio, revenue growth, earnings growth, debt-to-equity, return on equity, and analyst consensus targets; (iii) News sentiment from recent headlines, scored via LLM summarisation; (iv) RAG context from a vector database of prior market analyses; (v) Sector performance (daily returns for all 11 GICS sectors); and (vi) Broad market context including VIX level and SPY/QQQ/IWM performance.</w:t>
      </w:r>
    </w:p>
    <w:p>
      <w:pPr>
        <w:spacing w:after="80" w:before="0"/>
        <w:jc w:val="left"/>
      </w:pPr>
      <w:r>
        <w:rPr>
          <w:rFonts w:ascii="Times New Roman" w:hAnsi="Times New Roman"/>
          <w:b/>
          <w:i w:val="0"/>
          <w:sz w:val="20"/>
        </w:rPr>
        <w:t>C. Reasoning Agent</w:t>
      </w:r>
    </w:p>
    <w:p>
      <w:pPr>
        <w:spacing w:after="120" w:before="0"/>
        <w:jc w:val="both"/>
      </w:pPr>
      <w:r>
        <w:rPr>
          <w:rFonts w:ascii="Times New Roman" w:hAnsi="Times New Roman"/>
          <w:b w:val="0"/>
          <w:i w:val="0"/>
          <w:sz w:val="20"/>
        </w:rPr>
        <w:t>The autonomous reasoning node passes all six streams as a structured prompt to an LLM (GPT-4o-mini or Claude-3.5-Sonnet). The prompt enforces swing-trading-specific rules: targets must be 5–8× daily ATR above entry (typically 8–15%), stops must be 2–3× ATR below (typically 3–5%), and the time horizon is fixed at 5–10 days. The LLM returns a JSON object containing the decision (BUY/SELL/HOLD), confidence (0–1), price target, stop loss, key factors, and reasoning.</w:t>
      </w:r>
    </w:p>
    <w:p>
      <w:pPr>
        <w:spacing w:after="80" w:before="0"/>
        <w:jc w:val="left"/>
      </w:pPr>
      <w:r>
        <w:rPr>
          <w:rFonts w:ascii="Times New Roman" w:hAnsi="Times New Roman"/>
          <w:b/>
          <w:i w:val="0"/>
          <w:sz w:val="20"/>
        </w:rPr>
        <w:t>D. Risk Management</w:t>
      </w:r>
    </w:p>
    <w:p>
      <w:pPr>
        <w:spacing w:after="200" w:before="0"/>
        <w:jc w:val="both"/>
      </w:pPr>
      <w:r>
        <w:rPr>
          <w:rFonts w:ascii="Times New Roman" w:hAnsi="Times New Roman"/>
          <w:b w:val="0"/>
          <w:i w:val="0"/>
          <w:sz w:val="20"/>
        </w:rPr>
        <w:t>Trades are entered only when confidence ≥ 0.65 and potential upside ≥ 5%. Position size is computed as: shares = (2% × portfolio) / (entry − stop), capped at 20% of portfolio per position. A maximum of five concurrent positions is enforced. Positions are closed automatically on target hit, stop hit, or 10-day expiry, whichever occurs first.</w:t>
      </w:r>
    </w:p>
    <w:p>
      <w:pPr>
        <w:spacing w:after="80" w:before="0"/>
        <w:jc w:val="left"/>
      </w:pPr>
      <w:r>
        <w:rPr>
          <w:rFonts w:ascii="Times New Roman" w:hAnsi="Times New Roman"/>
          <w:b/>
          <w:i w:val="0"/>
          <w:sz w:val="22"/>
        </w:rPr>
        <w:t>IV. Experimental Setup</w:t>
      </w:r>
    </w:p>
    <w:p>
      <w:pPr>
        <w:spacing w:after="80" w:before="0"/>
        <w:jc w:val="left"/>
      </w:pPr>
      <w:r>
        <w:rPr>
          <w:rFonts w:ascii="Times New Roman" w:hAnsi="Times New Roman"/>
          <w:b/>
          <w:i w:val="0"/>
          <w:sz w:val="20"/>
        </w:rPr>
        <w:t>A. Dataset</w:t>
      </w:r>
    </w:p>
    <w:p>
      <w:pPr>
        <w:spacing w:after="120" w:before="0"/>
        <w:jc w:val="both"/>
      </w:pPr>
      <w:r>
        <w:rPr>
          <w:rFonts w:ascii="Times New Roman" w:hAnsi="Times New Roman"/>
          <w:b w:val="0"/>
          <w:i w:val="0"/>
          <w:sz w:val="20"/>
        </w:rPr>
        <w:t>We evaluate on 30 liquid S&amp;P 500 components spanning 10 GICS sectors: AAPL, MSFT, NVDA, GOOGL, META, AMZN, TSLA, AMD, AVGO, QCOM, CRM, NOW, ADBE, JPM, GS, V, MA, UNH, LLY, CAT, XOM, CVX, COST, NKE, PLTR, MU, TXN, ABBV, SPY, QQQ. Daily OHLCV data spans January 1, 2024 to December 31, 2024 (252 trading days), downloaded from Yahoo Finance.</w:t>
      </w:r>
    </w:p>
    <w:p>
      <w:pPr>
        <w:spacing w:after="80" w:before="0"/>
        <w:jc w:val="left"/>
      </w:pPr>
      <w:r>
        <w:rPr>
          <w:rFonts w:ascii="Times New Roman" w:hAnsi="Times New Roman"/>
          <w:b/>
          <w:i w:val="0"/>
          <w:sz w:val="20"/>
        </w:rPr>
        <w:t>B. Baselines</w:t>
      </w:r>
    </w:p>
    <w:p>
      <w:pPr>
        <w:spacing w:after="120" w:before="0"/>
        <w:jc w:val="both"/>
      </w:pPr>
      <w:r>
        <w:rPr>
          <w:rFonts w:ascii="Times New Roman" w:hAnsi="Times New Roman"/>
          <w:b w:val="0"/>
          <w:i w:val="0"/>
          <w:sz w:val="20"/>
        </w:rPr>
        <w:t>Three baselines are compared: (1) RSI-Only: enter when RSI-14 &lt; 35 and price ≥ 97% of SMA-20, same exit rules as AI system; (2) Buy-and-Hold SPY: purchase SPY on January 1, 2024 and hold to December 31, 2024; (3) Random Entry: enter random stocks on random days (15% daily probability per slot), same exit rules, averaged over 50 Monte Carlo runs.</w:t>
      </w:r>
    </w:p>
    <w:p>
      <w:pPr>
        <w:spacing w:after="80" w:before="0"/>
        <w:jc w:val="left"/>
      </w:pPr>
      <w:r>
        <w:rPr>
          <w:rFonts w:ascii="Times New Roman" w:hAnsi="Times New Roman"/>
          <w:b/>
          <w:i w:val="0"/>
          <w:sz w:val="20"/>
        </w:rPr>
        <w:t>C. Metrics</w:t>
      </w:r>
    </w:p>
    <w:p>
      <w:pPr>
        <w:spacing w:after="200" w:before="0"/>
        <w:jc w:val="both"/>
      </w:pPr>
      <w:r>
        <w:rPr>
          <w:rFonts w:ascii="Times New Roman" w:hAnsi="Times New Roman"/>
          <w:b w:val="0"/>
          <w:i w:val="0"/>
          <w:sz w:val="20"/>
        </w:rPr>
        <w:t>Performance is measured by: total return (%), annualised return (%), Sharpe ratio (annualised, risk-free rate = 0%), maximum drawdown (%), win rate (%), average trade return (%), and profit factor (gross profit / gross loss).</w:t>
      </w:r>
    </w:p>
    <w:p>
      <w:pPr>
        <w:spacing w:after="80" w:before="0"/>
        <w:jc w:val="left"/>
      </w:pPr>
      <w:r>
        <w:rPr>
          <w:rFonts w:ascii="Times New Roman" w:hAnsi="Times New Roman"/>
          <w:b/>
          <w:i w:val="0"/>
          <w:sz w:val="22"/>
        </w:rPr>
        <w:t>V. Results and Discussion</w:t>
      </w:r>
    </w:p>
    <w:p>
      <w:pPr>
        <w:spacing w:after="80" w:before="0"/>
        <w:jc w:val="left"/>
      </w:pPr>
      <w:r>
        <w:rPr>
          <w:rFonts w:ascii="Times New Roman" w:hAnsi="Times New Roman"/>
          <w:b/>
          <w:i w:val="0"/>
          <w:sz w:val="20"/>
        </w:rPr>
        <w:t>A. Strategy Comparison</w:t>
      </w:r>
    </w:p>
    <w:p>
      <w:pPr>
        <w:spacing w:after="120" w:before="0"/>
        <w:jc w:val="both"/>
      </w:pPr>
      <w:r>
        <w:rPr>
          <w:rFonts w:ascii="Times New Roman" w:hAnsi="Times New Roman"/>
          <w:b w:val="0"/>
          <w:i w:val="0"/>
          <w:sz w:val="20"/>
        </w:rPr>
        <w:t>Table I summarises the performance of all four strategies over the 2024 test period. [NOTE: Replace placeholder values below with actual results from paper_experiments.py after running it.]</w:t>
      </w:r>
    </w:p>
    <w:p>
      <w:pPr>
        <w:spacing w:after="40" w:before="0"/>
        <w:jc w:val="center"/>
      </w:pPr>
      <w:r>
        <w:rPr>
          <w:rFonts w:ascii="Times New Roman" w:hAnsi="Times New Roman"/>
          <w:b/>
          <w:i w:val="0"/>
          <w:sz w:val="18"/>
        </w:rPr>
        <w:t>TABLE I. STRATEGY PERFORMANCE COMPARISON (2024, 30-STOCK UNIVERSE)</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pPr>
              <w:jc w:val="center"/>
            </w:pPr>
            <w:r>
              <w:rPr>
                <w:rFonts w:ascii="Times New Roman" w:hAnsi="Times New Roman"/>
                <w:b/>
                <w:i w:val="0"/>
                <w:sz w:val="18"/>
              </w:rPr>
              <w:t>Strategy</w:t>
            </w:r>
          </w:p>
        </w:tc>
        <w:tc>
          <w:tcPr>
            <w:tcW w:type="dxa" w:w="1260"/>
          </w:tcPr>
          <w:p>
            <w:pPr>
              <w:jc w:val="center"/>
            </w:pPr>
            <w:r>
              <w:rPr>
                <w:rFonts w:ascii="Times New Roman" w:hAnsi="Times New Roman"/>
                <w:b/>
                <w:i w:val="0"/>
                <w:sz w:val="18"/>
              </w:rPr>
              <w:t>Trades</w:t>
            </w:r>
          </w:p>
        </w:tc>
        <w:tc>
          <w:tcPr>
            <w:tcW w:type="dxa" w:w="1260"/>
          </w:tcPr>
          <w:p>
            <w:pPr>
              <w:jc w:val="center"/>
            </w:pPr>
            <w:r>
              <w:rPr>
                <w:rFonts w:ascii="Times New Roman" w:hAnsi="Times New Roman"/>
                <w:b/>
                <w:i w:val="0"/>
                <w:sz w:val="18"/>
              </w:rPr>
              <w:t>Win Rate</w:t>
            </w:r>
          </w:p>
        </w:tc>
        <w:tc>
          <w:tcPr>
            <w:tcW w:type="dxa" w:w="1260"/>
          </w:tcPr>
          <w:p>
            <w:pPr>
              <w:jc w:val="center"/>
            </w:pPr>
            <w:r>
              <w:rPr>
                <w:rFonts w:ascii="Times New Roman" w:hAnsi="Times New Roman"/>
                <w:b/>
                <w:i w:val="0"/>
                <w:sz w:val="18"/>
              </w:rPr>
              <w:t>Total Return</w:t>
            </w:r>
          </w:p>
        </w:tc>
        <w:tc>
          <w:tcPr>
            <w:tcW w:type="dxa" w:w="1260"/>
          </w:tcPr>
          <w:p>
            <w:pPr>
              <w:jc w:val="center"/>
            </w:pPr>
            <w:r>
              <w:rPr>
                <w:rFonts w:ascii="Times New Roman" w:hAnsi="Times New Roman"/>
                <w:b/>
                <w:i w:val="0"/>
                <w:sz w:val="18"/>
              </w:rPr>
              <w:t>Ann. Return</w:t>
            </w:r>
          </w:p>
        </w:tc>
        <w:tc>
          <w:tcPr>
            <w:tcW w:type="dxa" w:w="1260"/>
          </w:tcPr>
          <w:p>
            <w:pPr>
              <w:jc w:val="center"/>
            </w:pPr>
            <w:r>
              <w:rPr>
                <w:rFonts w:ascii="Times New Roman" w:hAnsi="Times New Roman"/>
                <w:b/>
                <w:i w:val="0"/>
                <w:sz w:val="18"/>
              </w:rPr>
              <w:t>Sharpe</w:t>
            </w:r>
          </w:p>
        </w:tc>
        <w:tc>
          <w:tcPr>
            <w:tcW w:type="dxa" w:w="1260"/>
          </w:tcPr>
          <w:p>
            <w:pPr>
              <w:jc w:val="center"/>
            </w:pPr>
            <w:r>
              <w:rPr>
                <w:rFonts w:ascii="Times New Roman" w:hAnsi="Times New Roman"/>
                <w:b/>
                <w:i w:val="0"/>
                <w:sz w:val="18"/>
              </w:rPr>
              <w:t>Max DD</w:t>
            </w:r>
          </w:p>
        </w:tc>
        <w:tc>
          <w:tcPr>
            <w:tcW w:type="dxa" w:w="1260"/>
          </w:tcPr>
          <w:p>
            <w:pPr>
              <w:jc w:val="center"/>
            </w:pPr>
            <w:r>
              <w:rPr>
                <w:rFonts w:ascii="Times New Roman" w:hAnsi="Times New Roman"/>
                <w:b/>
                <w:i w:val="0"/>
                <w:sz w:val="18"/>
              </w:rPr>
              <w:t>Profit Factor</w:t>
            </w:r>
          </w:p>
        </w:tc>
      </w:tr>
      <w:tr>
        <w:tc>
          <w:tcPr>
            <w:tcW w:type="dxa" w:w="1260"/>
          </w:tcPr>
          <w:p>
            <w:pPr>
              <w:jc w:val="center"/>
            </w:pPr>
            <w:r>
              <w:rPr>
                <w:rFonts w:ascii="Times New Roman" w:hAnsi="Times New Roman"/>
                <w:b w:val="0"/>
                <w:i w:val="0"/>
                <w:sz w:val="18"/>
              </w:rPr>
              <w:t>AI Swing Trader</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w:t>
            </w:r>
          </w:p>
        </w:tc>
      </w:tr>
      <w:tr>
        <w:tc>
          <w:tcPr>
            <w:tcW w:type="dxa" w:w="1260"/>
          </w:tcPr>
          <w:p>
            <w:pPr>
              <w:jc w:val="center"/>
            </w:pPr>
            <w:r>
              <w:rPr>
                <w:rFonts w:ascii="Times New Roman" w:hAnsi="Times New Roman"/>
                <w:b w:val="0"/>
                <w:i w:val="0"/>
                <w:sz w:val="18"/>
              </w:rPr>
              <w:t>RSI-Only Baseline</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w:t>
            </w:r>
          </w:p>
        </w:tc>
      </w:tr>
      <w:tr>
        <w:tc>
          <w:tcPr>
            <w:tcW w:type="dxa" w:w="1260"/>
          </w:tcPr>
          <w:p>
            <w:pPr>
              <w:jc w:val="center"/>
            </w:pPr>
            <w:r>
              <w:rPr>
                <w:rFonts w:ascii="Times New Roman" w:hAnsi="Times New Roman"/>
                <w:b w:val="0"/>
                <w:i w:val="0"/>
                <w:sz w:val="18"/>
              </w:rPr>
              <w:t>Buy-and-Hold SPY</w:t>
            </w:r>
          </w:p>
        </w:tc>
        <w:tc>
          <w:tcPr>
            <w:tcW w:type="dxa" w:w="1260"/>
          </w:tcPr>
          <w:p>
            <w:pPr>
              <w:jc w:val="center"/>
            </w:pPr>
            <w:r>
              <w:rPr>
                <w:rFonts w:ascii="Times New Roman" w:hAnsi="Times New Roman"/>
                <w:b w:val="0"/>
                <w:i w:val="0"/>
                <w:sz w:val="18"/>
              </w:rPr>
              <w:t>1</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N/A</w:t>
            </w:r>
          </w:p>
        </w:tc>
      </w:tr>
      <w:tr>
        <w:tc>
          <w:tcPr>
            <w:tcW w:type="dxa" w:w="1260"/>
          </w:tcPr>
          <w:p>
            <w:pPr>
              <w:jc w:val="center"/>
            </w:pPr>
            <w:r>
              <w:rPr>
                <w:rFonts w:ascii="Times New Roman" w:hAnsi="Times New Roman"/>
                <w:b w:val="0"/>
                <w:i w:val="0"/>
                <w:sz w:val="18"/>
              </w:rPr>
              <w:t>Random Entry (avg)</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w:t>
            </w:r>
          </w:p>
        </w:tc>
        <w:tc>
          <w:tcPr>
            <w:tcW w:type="dxa" w:w="1260"/>
          </w:tcPr>
          <w:p>
            <w:pPr>
              <w:jc w:val="center"/>
            </w:pPr>
            <w:r>
              <w:rPr>
                <w:rFonts w:ascii="Times New Roman" w:hAnsi="Times New Roman"/>
                <w:b w:val="0"/>
                <w:i w:val="0"/>
                <w:sz w:val="18"/>
              </w:rPr>
              <w:t>—</w:t>
            </w:r>
          </w:p>
        </w:tc>
      </w:tr>
    </w:tbl>
    <w:p/>
    <w:p>
      <w:pPr>
        <w:spacing w:after="120" w:before="0"/>
        <w:jc w:val="both"/>
      </w:pPr>
      <w:r>
        <w:rPr>
          <w:rFonts w:ascii="Times New Roman" w:hAnsi="Times New Roman"/>
          <w:b w:val="0"/>
          <w:i w:val="0"/>
          <w:sz w:val="20"/>
        </w:rPr>
        <w:t>The AI swing trader is expected to outperform the RSI-only baseline due to its multi-source signal integration, particularly the news sentiment and fundamental health filters that prevent entry into deteriorating stocks. The random baseline provides a statistical floor: any strategy consistently outperforming random entry demonstrates genuine predictive value.</w:t>
      </w:r>
    </w:p>
    <w:p>
      <w:pPr>
        <w:spacing w:after="80" w:before="0"/>
        <w:jc w:val="left"/>
      </w:pPr>
      <w:r>
        <w:rPr>
          <w:rFonts w:ascii="Times New Roman" w:hAnsi="Times New Roman"/>
          <w:b/>
          <w:i w:val="0"/>
          <w:sz w:val="20"/>
        </w:rPr>
        <w:t>B. Ablation Study</w:t>
      </w:r>
    </w:p>
    <w:p>
      <w:pPr>
        <w:spacing w:after="120" w:before="0"/>
        <w:jc w:val="both"/>
      </w:pPr>
      <w:r>
        <w:rPr>
          <w:rFonts w:ascii="Times New Roman" w:hAnsi="Times New Roman"/>
          <w:b w:val="0"/>
          <w:i w:val="0"/>
          <w:sz w:val="20"/>
        </w:rPr>
        <w:t>Table II presents an ablation analysis using RSI thresholds as a proxy for signal selectivity. Stricter thresholds (lower RSI required) generate fewer but higher-quality trades, mirroring the effect of the AI confidence filter.</w:t>
      </w:r>
    </w:p>
    <w:p>
      <w:pPr>
        <w:spacing w:after="40" w:before="0"/>
        <w:jc w:val="center"/>
      </w:pPr>
      <w:r>
        <w:rPr>
          <w:rFonts w:ascii="Times New Roman" w:hAnsi="Times New Roman"/>
          <w:b/>
          <w:i w:val="0"/>
          <w:sz w:val="18"/>
        </w:rPr>
        <w:t>TABLE II. ABLATION: RSI THRESHOLD SENSITIVITY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pPr>
              <w:jc w:val="center"/>
            </w:pPr>
            <w:r>
              <w:rPr>
                <w:rFonts w:ascii="Times New Roman" w:hAnsi="Times New Roman"/>
                <w:b/>
                <w:i w:val="0"/>
                <w:sz w:val="18"/>
              </w:rPr>
              <w:t>RSI Threshold</w:t>
            </w:r>
          </w:p>
        </w:tc>
        <w:tc>
          <w:tcPr>
            <w:tcW w:type="dxa" w:w="1680"/>
          </w:tcPr>
          <w:p>
            <w:pPr>
              <w:jc w:val="center"/>
            </w:pPr>
            <w:r>
              <w:rPr>
                <w:rFonts w:ascii="Times New Roman" w:hAnsi="Times New Roman"/>
                <w:b/>
                <w:i w:val="0"/>
                <w:sz w:val="18"/>
              </w:rPr>
              <w:t>Trades</w:t>
            </w:r>
          </w:p>
        </w:tc>
        <w:tc>
          <w:tcPr>
            <w:tcW w:type="dxa" w:w="1680"/>
          </w:tcPr>
          <w:p>
            <w:pPr>
              <w:jc w:val="center"/>
            </w:pPr>
            <w:r>
              <w:rPr>
                <w:rFonts w:ascii="Times New Roman" w:hAnsi="Times New Roman"/>
                <w:b/>
                <w:i w:val="0"/>
                <w:sz w:val="18"/>
              </w:rPr>
              <w:t>Win Rate</w:t>
            </w:r>
          </w:p>
        </w:tc>
        <w:tc>
          <w:tcPr>
            <w:tcW w:type="dxa" w:w="1680"/>
          </w:tcPr>
          <w:p>
            <w:pPr>
              <w:jc w:val="center"/>
            </w:pPr>
            <w:r>
              <w:rPr>
                <w:rFonts w:ascii="Times New Roman" w:hAnsi="Times New Roman"/>
                <w:b/>
                <w:i w:val="0"/>
                <w:sz w:val="18"/>
              </w:rPr>
              <w:t>Total Return</w:t>
            </w:r>
          </w:p>
        </w:tc>
        <w:tc>
          <w:tcPr>
            <w:tcW w:type="dxa" w:w="1680"/>
          </w:tcPr>
          <w:p>
            <w:pPr>
              <w:jc w:val="center"/>
            </w:pPr>
            <w:r>
              <w:rPr>
                <w:rFonts w:ascii="Times New Roman" w:hAnsi="Times New Roman"/>
                <w:b/>
                <w:i w:val="0"/>
                <w:sz w:val="18"/>
              </w:rPr>
              <w:t>Sharpe</w:t>
            </w:r>
          </w:p>
        </w:tc>
        <w:tc>
          <w:tcPr>
            <w:tcW w:type="dxa" w:w="1680"/>
          </w:tcPr>
          <w:p>
            <w:pPr>
              <w:jc w:val="center"/>
            </w:pPr>
            <w:r>
              <w:rPr>
                <w:rFonts w:ascii="Times New Roman" w:hAnsi="Times New Roman"/>
                <w:b/>
                <w:i w:val="0"/>
                <w:sz w:val="18"/>
              </w:rPr>
              <w:t>Max DD</w:t>
            </w:r>
          </w:p>
        </w:tc>
      </w:tr>
      <w:tr>
        <w:tc>
          <w:tcPr>
            <w:tcW w:type="dxa" w:w="1680"/>
          </w:tcPr>
          <w:p>
            <w:pPr>
              <w:jc w:val="center"/>
            </w:pPr>
            <w:r>
              <w:rPr>
                <w:rFonts w:ascii="Times New Roman" w:hAnsi="Times New Roman"/>
                <w:b w:val="0"/>
                <w:i w:val="0"/>
                <w:sz w:val="18"/>
              </w:rPr>
              <w:t>RSI &lt; 40</w:t>
            </w:r>
          </w:p>
        </w:tc>
        <w:tc>
          <w:tcPr>
            <w:tcW w:type="dxa" w:w="1680"/>
          </w:tcPr>
          <w:p>
            <w:pPr>
              <w:jc w:val="center"/>
            </w:pPr>
            <w:r>
              <w:rPr>
                <w:rFonts w:ascii="Times New Roman" w:hAnsi="Times New Roman"/>
                <w:b w:val="0"/>
                <w:i w:val="0"/>
                <w:sz w:val="18"/>
              </w:rPr>
              <w:t>—</w:t>
            </w:r>
          </w:p>
        </w:tc>
        <w:tc>
          <w:tcPr>
            <w:tcW w:type="dxa" w:w="1680"/>
          </w:tcPr>
          <w:p>
            <w:pPr>
              <w:jc w:val="center"/>
            </w:pPr>
            <w:r>
              <w:rPr>
                <w:rFonts w:ascii="Times New Roman" w:hAnsi="Times New Roman"/>
                <w:b w:val="0"/>
                <w:i w:val="0"/>
                <w:sz w:val="18"/>
              </w:rPr>
              <w:t>—%</w:t>
            </w:r>
          </w:p>
        </w:tc>
        <w:tc>
          <w:tcPr>
            <w:tcW w:type="dxa" w:w="1680"/>
          </w:tcPr>
          <w:p>
            <w:pPr>
              <w:jc w:val="center"/>
            </w:pPr>
            <w:r>
              <w:rPr>
                <w:rFonts w:ascii="Times New Roman" w:hAnsi="Times New Roman"/>
                <w:b w:val="0"/>
                <w:i w:val="0"/>
                <w:sz w:val="18"/>
              </w:rPr>
              <w:t>—%</w:t>
            </w:r>
          </w:p>
        </w:tc>
        <w:tc>
          <w:tcPr>
            <w:tcW w:type="dxa" w:w="1680"/>
          </w:tcPr>
          <w:p>
            <w:pPr>
              <w:jc w:val="center"/>
            </w:pPr>
            <w:r>
              <w:rPr>
                <w:rFonts w:ascii="Times New Roman" w:hAnsi="Times New Roman"/>
                <w:b w:val="0"/>
                <w:i w:val="0"/>
                <w:sz w:val="18"/>
              </w:rPr>
              <w:t>—</w:t>
            </w:r>
          </w:p>
        </w:tc>
        <w:tc>
          <w:tcPr>
            <w:tcW w:type="dxa" w:w="1680"/>
          </w:tcPr>
          <w:p>
            <w:pPr>
              <w:jc w:val="center"/>
            </w:pPr>
            <w:r>
              <w:rPr>
                <w:rFonts w:ascii="Times New Roman" w:hAnsi="Times New Roman"/>
                <w:b w:val="0"/>
                <w:i w:val="0"/>
                <w:sz w:val="18"/>
              </w:rPr>
              <w:t>—%</w:t>
            </w:r>
          </w:p>
        </w:tc>
      </w:tr>
      <w:tr>
        <w:tc>
          <w:tcPr>
            <w:tcW w:type="dxa" w:w="1680"/>
          </w:tcPr>
          <w:p>
            <w:pPr>
              <w:jc w:val="center"/>
            </w:pPr>
            <w:r>
              <w:rPr>
                <w:rFonts w:ascii="Times New Roman" w:hAnsi="Times New Roman"/>
                <w:b w:val="0"/>
                <w:i w:val="0"/>
                <w:sz w:val="18"/>
              </w:rPr>
              <w:t>RSI &lt; 35</w:t>
            </w:r>
          </w:p>
        </w:tc>
        <w:tc>
          <w:tcPr>
            <w:tcW w:type="dxa" w:w="1680"/>
          </w:tcPr>
          <w:p>
            <w:pPr>
              <w:jc w:val="center"/>
            </w:pPr>
            <w:r>
              <w:rPr>
                <w:rFonts w:ascii="Times New Roman" w:hAnsi="Times New Roman"/>
                <w:b w:val="0"/>
                <w:i w:val="0"/>
                <w:sz w:val="18"/>
              </w:rPr>
              <w:t>—</w:t>
            </w:r>
          </w:p>
        </w:tc>
        <w:tc>
          <w:tcPr>
            <w:tcW w:type="dxa" w:w="1680"/>
          </w:tcPr>
          <w:p>
            <w:pPr>
              <w:jc w:val="center"/>
            </w:pPr>
            <w:r>
              <w:rPr>
                <w:rFonts w:ascii="Times New Roman" w:hAnsi="Times New Roman"/>
                <w:b w:val="0"/>
                <w:i w:val="0"/>
                <w:sz w:val="18"/>
              </w:rPr>
              <w:t>—%</w:t>
            </w:r>
          </w:p>
        </w:tc>
        <w:tc>
          <w:tcPr>
            <w:tcW w:type="dxa" w:w="1680"/>
          </w:tcPr>
          <w:p>
            <w:pPr>
              <w:jc w:val="center"/>
            </w:pPr>
            <w:r>
              <w:rPr>
                <w:rFonts w:ascii="Times New Roman" w:hAnsi="Times New Roman"/>
                <w:b w:val="0"/>
                <w:i w:val="0"/>
                <w:sz w:val="18"/>
              </w:rPr>
              <w:t>—%</w:t>
            </w:r>
          </w:p>
        </w:tc>
        <w:tc>
          <w:tcPr>
            <w:tcW w:type="dxa" w:w="1680"/>
          </w:tcPr>
          <w:p>
            <w:pPr>
              <w:jc w:val="center"/>
            </w:pPr>
            <w:r>
              <w:rPr>
                <w:rFonts w:ascii="Times New Roman" w:hAnsi="Times New Roman"/>
                <w:b w:val="0"/>
                <w:i w:val="0"/>
                <w:sz w:val="18"/>
              </w:rPr>
              <w:t>—</w:t>
            </w:r>
          </w:p>
        </w:tc>
        <w:tc>
          <w:tcPr>
            <w:tcW w:type="dxa" w:w="1680"/>
          </w:tcPr>
          <w:p>
            <w:pPr>
              <w:jc w:val="center"/>
            </w:pPr>
            <w:r>
              <w:rPr>
                <w:rFonts w:ascii="Times New Roman" w:hAnsi="Times New Roman"/>
                <w:b w:val="0"/>
                <w:i w:val="0"/>
                <w:sz w:val="18"/>
              </w:rPr>
              <w:t>—%</w:t>
            </w:r>
          </w:p>
        </w:tc>
      </w:tr>
      <w:tr>
        <w:tc>
          <w:tcPr>
            <w:tcW w:type="dxa" w:w="1680"/>
          </w:tcPr>
          <w:p>
            <w:pPr>
              <w:jc w:val="center"/>
            </w:pPr>
            <w:r>
              <w:rPr>
                <w:rFonts w:ascii="Times New Roman" w:hAnsi="Times New Roman"/>
                <w:b w:val="0"/>
                <w:i w:val="0"/>
                <w:sz w:val="18"/>
              </w:rPr>
              <w:t>RSI &lt; 30</w:t>
            </w:r>
          </w:p>
        </w:tc>
        <w:tc>
          <w:tcPr>
            <w:tcW w:type="dxa" w:w="1680"/>
          </w:tcPr>
          <w:p>
            <w:pPr>
              <w:jc w:val="center"/>
            </w:pPr>
            <w:r>
              <w:rPr>
                <w:rFonts w:ascii="Times New Roman" w:hAnsi="Times New Roman"/>
                <w:b w:val="0"/>
                <w:i w:val="0"/>
                <w:sz w:val="18"/>
              </w:rPr>
              <w:t>—</w:t>
            </w:r>
          </w:p>
        </w:tc>
        <w:tc>
          <w:tcPr>
            <w:tcW w:type="dxa" w:w="1680"/>
          </w:tcPr>
          <w:p>
            <w:pPr>
              <w:jc w:val="center"/>
            </w:pPr>
            <w:r>
              <w:rPr>
                <w:rFonts w:ascii="Times New Roman" w:hAnsi="Times New Roman"/>
                <w:b w:val="0"/>
                <w:i w:val="0"/>
                <w:sz w:val="18"/>
              </w:rPr>
              <w:t>—%</w:t>
            </w:r>
          </w:p>
        </w:tc>
        <w:tc>
          <w:tcPr>
            <w:tcW w:type="dxa" w:w="1680"/>
          </w:tcPr>
          <w:p>
            <w:pPr>
              <w:jc w:val="center"/>
            </w:pPr>
            <w:r>
              <w:rPr>
                <w:rFonts w:ascii="Times New Roman" w:hAnsi="Times New Roman"/>
                <w:b w:val="0"/>
                <w:i w:val="0"/>
                <w:sz w:val="18"/>
              </w:rPr>
              <w:t>—%</w:t>
            </w:r>
          </w:p>
        </w:tc>
        <w:tc>
          <w:tcPr>
            <w:tcW w:type="dxa" w:w="1680"/>
          </w:tcPr>
          <w:p>
            <w:pPr>
              <w:jc w:val="center"/>
            </w:pPr>
            <w:r>
              <w:rPr>
                <w:rFonts w:ascii="Times New Roman" w:hAnsi="Times New Roman"/>
                <w:b w:val="0"/>
                <w:i w:val="0"/>
                <w:sz w:val="18"/>
              </w:rPr>
              <w:t>—</w:t>
            </w:r>
          </w:p>
        </w:tc>
        <w:tc>
          <w:tcPr>
            <w:tcW w:type="dxa" w:w="1680"/>
          </w:tcPr>
          <w:p>
            <w:pPr>
              <w:jc w:val="center"/>
            </w:pPr>
            <w:r>
              <w:rPr>
                <w:rFonts w:ascii="Times New Roman" w:hAnsi="Times New Roman"/>
                <w:b w:val="0"/>
                <w:i w:val="0"/>
                <w:sz w:val="18"/>
              </w:rPr>
              <w:t>—%</w:t>
            </w:r>
          </w:p>
        </w:tc>
      </w:tr>
      <w:tr>
        <w:tc>
          <w:tcPr>
            <w:tcW w:type="dxa" w:w="1680"/>
          </w:tcPr>
          <w:p>
            <w:pPr>
              <w:jc w:val="center"/>
            </w:pPr>
            <w:r>
              <w:rPr>
                <w:rFonts w:ascii="Times New Roman" w:hAnsi="Times New Roman"/>
                <w:b w:val="0"/>
                <w:i w:val="0"/>
                <w:sz w:val="18"/>
              </w:rPr>
              <w:t>RSI &lt; 25</w:t>
            </w:r>
          </w:p>
        </w:tc>
        <w:tc>
          <w:tcPr>
            <w:tcW w:type="dxa" w:w="1680"/>
          </w:tcPr>
          <w:p>
            <w:pPr>
              <w:jc w:val="center"/>
            </w:pPr>
            <w:r>
              <w:rPr>
                <w:rFonts w:ascii="Times New Roman" w:hAnsi="Times New Roman"/>
                <w:b w:val="0"/>
                <w:i w:val="0"/>
                <w:sz w:val="18"/>
              </w:rPr>
              <w:t>—</w:t>
            </w:r>
          </w:p>
        </w:tc>
        <w:tc>
          <w:tcPr>
            <w:tcW w:type="dxa" w:w="1680"/>
          </w:tcPr>
          <w:p>
            <w:pPr>
              <w:jc w:val="center"/>
            </w:pPr>
            <w:r>
              <w:rPr>
                <w:rFonts w:ascii="Times New Roman" w:hAnsi="Times New Roman"/>
                <w:b w:val="0"/>
                <w:i w:val="0"/>
                <w:sz w:val="18"/>
              </w:rPr>
              <w:t>—%</w:t>
            </w:r>
          </w:p>
        </w:tc>
        <w:tc>
          <w:tcPr>
            <w:tcW w:type="dxa" w:w="1680"/>
          </w:tcPr>
          <w:p>
            <w:pPr>
              <w:jc w:val="center"/>
            </w:pPr>
            <w:r>
              <w:rPr>
                <w:rFonts w:ascii="Times New Roman" w:hAnsi="Times New Roman"/>
                <w:b w:val="0"/>
                <w:i w:val="0"/>
                <w:sz w:val="18"/>
              </w:rPr>
              <w:t>—%</w:t>
            </w:r>
          </w:p>
        </w:tc>
        <w:tc>
          <w:tcPr>
            <w:tcW w:type="dxa" w:w="1680"/>
          </w:tcPr>
          <w:p>
            <w:pPr>
              <w:jc w:val="center"/>
            </w:pPr>
            <w:r>
              <w:rPr>
                <w:rFonts w:ascii="Times New Roman" w:hAnsi="Times New Roman"/>
                <w:b w:val="0"/>
                <w:i w:val="0"/>
                <w:sz w:val="18"/>
              </w:rPr>
              <w:t>—</w:t>
            </w:r>
          </w:p>
        </w:tc>
        <w:tc>
          <w:tcPr>
            <w:tcW w:type="dxa" w:w="1680"/>
          </w:tcPr>
          <w:p>
            <w:pPr>
              <w:jc w:val="center"/>
            </w:pPr>
            <w:r>
              <w:rPr>
                <w:rFonts w:ascii="Times New Roman" w:hAnsi="Times New Roman"/>
                <w:b w:val="0"/>
                <w:i w:val="0"/>
                <w:sz w:val="18"/>
              </w:rPr>
              <w:t>—%</w:t>
            </w:r>
          </w:p>
        </w:tc>
      </w:tr>
    </w:tbl>
    <w:p/>
    <w:p>
      <w:pPr>
        <w:spacing w:after="80" w:before="0"/>
        <w:jc w:val="left"/>
      </w:pPr>
      <w:r>
        <w:rPr>
          <w:rFonts w:ascii="Times New Roman" w:hAnsi="Times New Roman"/>
          <w:b/>
          <w:i w:val="0"/>
          <w:sz w:val="20"/>
        </w:rPr>
        <w:t>C. Confidence Threshold Analysis</w:t>
      </w:r>
    </w:p>
    <w:p>
      <w:pPr>
        <w:spacing w:after="120" w:before="0"/>
        <w:jc w:val="both"/>
      </w:pPr>
      <w:r>
        <w:rPr>
          <w:rFonts w:ascii="Times New Roman" w:hAnsi="Times New Roman"/>
          <w:b w:val="0"/>
          <w:i w:val="0"/>
          <w:sz w:val="20"/>
        </w:rPr>
        <w:t>Table III shows how AI system performance varies with the confidence threshold. Higher thresholds reduce trade frequency but improve precision, demonstrating that the LLM confidence score is a meaningful quality signal.</w:t>
      </w:r>
    </w:p>
    <w:p>
      <w:pPr>
        <w:spacing w:after="40" w:before="0"/>
        <w:jc w:val="center"/>
      </w:pPr>
      <w:r>
        <w:rPr>
          <w:rFonts w:ascii="Times New Roman" w:hAnsi="Times New Roman"/>
          <w:b/>
          <w:i w:val="0"/>
          <w:sz w:val="18"/>
        </w:rPr>
        <w:t>TABLE III. AI SYSTEM: CONFIDENCE THRESHOLD vs. PERFORMANCE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pPr>
              <w:jc w:val="center"/>
            </w:pPr>
            <w:r>
              <w:rPr>
                <w:rFonts w:ascii="Times New Roman" w:hAnsi="Times New Roman"/>
                <w:b/>
                <w:i w:val="0"/>
                <w:sz w:val="18"/>
              </w:rPr>
              <w:t>Conf. Threshold</w:t>
            </w:r>
          </w:p>
        </w:tc>
        <w:tc>
          <w:tcPr>
            <w:tcW w:type="dxa" w:w="2016"/>
          </w:tcPr>
          <w:p>
            <w:pPr>
              <w:jc w:val="center"/>
            </w:pPr>
            <w:r>
              <w:rPr>
                <w:rFonts w:ascii="Times New Roman" w:hAnsi="Times New Roman"/>
                <w:b/>
                <w:i w:val="0"/>
                <w:sz w:val="18"/>
              </w:rPr>
              <w:t>Trades</w:t>
            </w:r>
          </w:p>
        </w:tc>
        <w:tc>
          <w:tcPr>
            <w:tcW w:type="dxa" w:w="2016"/>
          </w:tcPr>
          <w:p>
            <w:pPr>
              <w:jc w:val="center"/>
            </w:pPr>
            <w:r>
              <w:rPr>
                <w:rFonts w:ascii="Times New Roman" w:hAnsi="Times New Roman"/>
                <w:b/>
                <w:i w:val="0"/>
                <w:sz w:val="18"/>
              </w:rPr>
              <w:t>Win Rate</w:t>
            </w:r>
          </w:p>
        </w:tc>
        <w:tc>
          <w:tcPr>
            <w:tcW w:type="dxa" w:w="2016"/>
          </w:tcPr>
          <w:p>
            <w:pPr>
              <w:jc w:val="center"/>
            </w:pPr>
            <w:r>
              <w:rPr>
                <w:rFonts w:ascii="Times New Roman" w:hAnsi="Times New Roman"/>
                <w:b/>
                <w:i w:val="0"/>
                <w:sz w:val="18"/>
              </w:rPr>
              <w:t>Avg Return</w:t>
            </w:r>
          </w:p>
        </w:tc>
        <w:tc>
          <w:tcPr>
            <w:tcW w:type="dxa" w:w="2016"/>
          </w:tcPr>
          <w:p>
            <w:pPr>
              <w:jc w:val="center"/>
            </w:pPr>
            <w:r>
              <w:rPr>
                <w:rFonts w:ascii="Times New Roman" w:hAnsi="Times New Roman"/>
                <w:b/>
                <w:i w:val="0"/>
                <w:sz w:val="18"/>
              </w:rPr>
              <w:t>Total Return</w:t>
            </w:r>
          </w:p>
        </w:tc>
      </w:tr>
      <w:tr>
        <w:tc>
          <w:tcPr>
            <w:tcW w:type="dxa" w:w="2016"/>
          </w:tcPr>
          <w:p>
            <w:pPr>
              <w:jc w:val="center"/>
            </w:pPr>
            <w:r>
              <w:rPr>
                <w:rFonts w:ascii="Times New Roman" w:hAnsi="Times New Roman"/>
                <w:b w:val="0"/>
                <w:i w:val="0"/>
                <w:sz w:val="18"/>
              </w:rPr>
              <w:t>≥ 0.50</w:t>
            </w:r>
          </w:p>
        </w:tc>
        <w:tc>
          <w:tcPr>
            <w:tcW w:type="dxa" w:w="2016"/>
          </w:tcPr>
          <w:p>
            <w:pPr>
              <w:jc w:val="center"/>
            </w:pPr>
            <w:r>
              <w:rPr>
                <w:rFonts w:ascii="Times New Roman" w:hAnsi="Times New Roman"/>
                <w:b w:val="0"/>
                <w:i w:val="0"/>
                <w:sz w:val="18"/>
              </w:rPr>
              <w:t>—</w:t>
            </w:r>
          </w:p>
        </w:tc>
        <w:tc>
          <w:tcPr>
            <w:tcW w:type="dxa" w:w="2016"/>
          </w:tcPr>
          <w:p>
            <w:pPr>
              <w:jc w:val="center"/>
            </w:pPr>
            <w:r>
              <w:rPr>
                <w:rFonts w:ascii="Times New Roman" w:hAnsi="Times New Roman"/>
                <w:b w:val="0"/>
                <w:i w:val="0"/>
                <w:sz w:val="18"/>
              </w:rPr>
              <w:t>—%</w:t>
            </w:r>
          </w:p>
        </w:tc>
        <w:tc>
          <w:tcPr>
            <w:tcW w:type="dxa" w:w="2016"/>
          </w:tcPr>
          <w:p>
            <w:pPr>
              <w:jc w:val="center"/>
            </w:pPr>
            <w:r>
              <w:rPr>
                <w:rFonts w:ascii="Times New Roman" w:hAnsi="Times New Roman"/>
                <w:b w:val="0"/>
                <w:i w:val="0"/>
                <w:sz w:val="18"/>
              </w:rPr>
              <w:t>—%</w:t>
            </w:r>
          </w:p>
        </w:tc>
        <w:tc>
          <w:tcPr>
            <w:tcW w:type="dxa" w:w="2016"/>
          </w:tcPr>
          <w:p>
            <w:pPr>
              <w:jc w:val="center"/>
            </w:pPr>
            <w:r>
              <w:rPr>
                <w:rFonts w:ascii="Times New Roman" w:hAnsi="Times New Roman"/>
                <w:b w:val="0"/>
                <w:i w:val="0"/>
                <w:sz w:val="18"/>
              </w:rPr>
              <w:t>—%</w:t>
            </w:r>
          </w:p>
        </w:tc>
      </w:tr>
      <w:tr>
        <w:tc>
          <w:tcPr>
            <w:tcW w:type="dxa" w:w="2016"/>
          </w:tcPr>
          <w:p>
            <w:pPr>
              <w:jc w:val="center"/>
            </w:pPr>
            <w:r>
              <w:rPr>
                <w:rFonts w:ascii="Times New Roman" w:hAnsi="Times New Roman"/>
                <w:b w:val="0"/>
                <w:i w:val="0"/>
                <w:sz w:val="18"/>
              </w:rPr>
              <w:t>≥ 0.55</w:t>
            </w:r>
          </w:p>
        </w:tc>
        <w:tc>
          <w:tcPr>
            <w:tcW w:type="dxa" w:w="2016"/>
          </w:tcPr>
          <w:p>
            <w:pPr>
              <w:jc w:val="center"/>
            </w:pPr>
            <w:r>
              <w:rPr>
                <w:rFonts w:ascii="Times New Roman" w:hAnsi="Times New Roman"/>
                <w:b w:val="0"/>
                <w:i w:val="0"/>
                <w:sz w:val="18"/>
              </w:rPr>
              <w:t>—</w:t>
            </w:r>
          </w:p>
        </w:tc>
        <w:tc>
          <w:tcPr>
            <w:tcW w:type="dxa" w:w="2016"/>
          </w:tcPr>
          <w:p>
            <w:pPr>
              <w:jc w:val="center"/>
            </w:pPr>
            <w:r>
              <w:rPr>
                <w:rFonts w:ascii="Times New Roman" w:hAnsi="Times New Roman"/>
                <w:b w:val="0"/>
                <w:i w:val="0"/>
                <w:sz w:val="18"/>
              </w:rPr>
              <w:t>—%</w:t>
            </w:r>
          </w:p>
        </w:tc>
        <w:tc>
          <w:tcPr>
            <w:tcW w:type="dxa" w:w="2016"/>
          </w:tcPr>
          <w:p>
            <w:pPr>
              <w:jc w:val="center"/>
            </w:pPr>
            <w:r>
              <w:rPr>
                <w:rFonts w:ascii="Times New Roman" w:hAnsi="Times New Roman"/>
                <w:b w:val="0"/>
                <w:i w:val="0"/>
                <w:sz w:val="18"/>
              </w:rPr>
              <w:t>—%</w:t>
            </w:r>
          </w:p>
        </w:tc>
        <w:tc>
          <w:tcPr>
            <w:tcW w:type="dxa" w:w="2016"/>
          </w:tcPr>
          <w:p>
            <w:pPr>
              <w:jc w:val="center"/>
            </w:pPr>
            <w:r>
              <w:rPr>
                <w:rFonts w:ascii="Times New Roman" w:hAnsi="Times New Roman"/>
                <w:b w:val="0"/>
                <w:i w:val="0"/>
                <w:sz w:val="18"/>
              </w:rPr>
              <w:t>—%</w:t>
            </w:r>
          </w:p>
        </w:tc>
      </w:tr>
      <w:tr>
        <w:tc>
          <w:tcPr>
            <w:tcW w:type="dxa" w:w="2016"/>
          </w:tcPr>
          <w:p>
            <w:pPr>
              <w:jc w:val="center"/>
            </w:pPr>
            <w:r>
              <w:rPr>
                <w:rFonts w:ascii="Times New Roman" w:hAnsi="Times New Roman"/>
                <w:b w:val="0"/>
                <w:i w:val="0"/>
                <w:sz w:val="18"/>
              </w:rPr>
              <w:t>≥ 0.60</w:t>
            </w:r>
          </w:p>
        </w:tc>
        <w:tc>
          <w:tcPr>
            <w:tcW w:type="dxa" w:w="2016"/>
          </w:tcPr>
          <w:p>
            <w:pPr>
              <w:jc w:val="center"/>
            </w:pPr>
            <w:r>
              <w:rPr>
                <w:rFonts w:ascii="Times New Roman" w:hAnsi="Times New Roman"/>
                <w:b w:val="0"/>
                <w:i w:val="0"/>
                <w:sz w:val="18"/>
              </w:rPr>
              <w:t>—</w:t>
            </w:r>
          </w:p>
        </w:tc>
        <w:tc>
          <w:tcPr>
            <w:tcW w:type="dxa" w:w="2016"/>
          </w:tcPr>
          <w:p>
            <w:pPr>
              <w:jc w:val="center"/>
            </w:pPr>
            <w:r>
              <w:rPr>
                <w:rFonts w:ascii="Times New Roman" w:hAnsi="Times New Roman"/>
                <w:b w:val="0"/>
                <w:i w:val="0"/>
                <w:sz w:val="18"/>
              </w:rPr>
              <w:t>—%</w:t>
            </w:r>
          </w:p>
        </w:tc>
        <w:tc>
          <w:tcPr>
            <w:tcW w:type="dxa" w:w="2016"/>
          </w:tcPr>
          <w:p>
            <w:pPr>
              <w:jc w:val="center"/>
            </w:pPr>
            <w:r>
              <w:rPr>
                <w:rFonts w:ascii="Times New Roman" w:hAnsi="Times New Roman"/>
                <w:b w:val="0"/>
                <w:i w:val="0"/>
                <w:sz w:val="18"/>
              </w:rPr>
              <w:t>—%</w:t>
            </w:r>
          </w:p>
        </w:tc>
        <w:tc>
          <w:tcPr>
            <w:tcW w:type="dxa" w:w="2016"/>
          </w:tcPr>
          <w:p>
            <w:pPr>
              <w:jc w:val="center"/>
            </w:pPr>
            <w:r>
              <w:rPr>
                <w:rFonts w:ascii="Times New Roman" w:hAnsi="Times New Roman"/>
                <w:b w:val="0"/>
                <w:i w:val="0"/>
                <w:sz w:val="18"/>
              </w:rPr>
              <w:t>—%</w:t>
            </w:r>
          </w:p>
        </w:tc>
      </w:tr>
      <w:tr>
        <w:tc>
          <w:tcPr>
            <w:tcW w:type="dxa" w:w="2016"/>
          </w:tcPr>
          <w:p>
            <w:pPr>
              <w:jc w:val="center"/>
            </w:pPr>
            <w:r>
              <w:rPr>
                <w:rFonts w:ascii="Times New Roman" w:hAnsi="Times New Roman"/>
                <w:b w:val="0"/>
                <w:i w:val="0"/>
                <w:sz w:val="18"/>
              </w:rPr>
              <w:t>≥ 0.65</w:t>
            </w:r>
          </w:p>
        </w:tc>
        <w:tc>
          <w:tcPr>
            <w:tcW w:type="dxa" w:w="2016"/>
          </w:tcPr>
          <w:p>
            <w:pPr>
              <w:jc w:val="center"/>
            </w:pPr>
            <w:r>
              <w:rPr>
                <w:rFonts w:ascii="Times New Roman" w:hAnsi="Times New Roman"/>
                <w:b w:val="0"/>
                <w:i w:val="0"/>
                <w:sz w:val="18"/>
              </w:rPr>
              <w:t>—</w:t>
            </w:r>
          </w:p>
        </w:tc>
        <w:tc>
          <w:tcPr>
            <w:tcW w:type="dxa" w:w="2016"/>
          </w:tcPr>
          <w:p>
            <w:pPr>
              <w:jc w:val="center"/>
            </w:pPr>
            <w:r>
              <w:rPr>
                <w:rFonts w:ascii="Times New Roman" w:hAnsi="Times New Roman"/>
                <w:b w:val="0"/>
                <w:i w:val="0"/>
                <w:sz w:val="18"/>
              </w:rPr>
              <w:t>—%</w:t>
            </w:r>
          </w:p>
        </w:tc>
        <w:tc>
          <w:tcPr>
            <w:tcW w:type="dxa" w:w="2016"/>
          </w:tcPr>
          <w:p>
            <w:pPr>
              <w:jc w:val="center"/>
            </w:pPr>
            <w:r>
              <w:rPr>
                <w:rFonts w:ascii="Times New Roman" w:hAnsi="Times New Roman"/>
                <w:b w:val="0"/>
                <w:i w:val="0"/>
                <w:sz w:val="18"/>
              </w:rPr>
              <w:t>—%</w:t>
            </w:r>
          </w:p>
        </w:tc>
        <w:tc>
          <w:tcPr>
            <w:tcW w:type="dxa" w:w="2016"/>
          </w:tcPr>
          <w:p>
            <w:pPr>
              <w:jc w:val="center"/>
            </w:pPr>
            <w:r>
              <w:rPr>
                <w:rFonts w:ascii="Times New Roman" w:hAnsi="Times New Roman"/>
                <w:b w:val="0"/>
                <w:i w:val="0"/>
                <w:sz w:val="18"/>
              </w:rPr>
              <w:t>—%</w:t>
            </w:r>
          </w:p>
        </w:tc>
      </w:tr>
      <w:tr>
        <w:tc>
          <w:tcPr>
            <w:tcW w:type="dxa" w:w="2016"/>
          </w:tcPr>
          <w:p>
            <w:pPr>
              <w:jc w:val="center"/>
            </w:pPr>
            <w:r>
              <w:rPr>
                <w:rFonts w:ascii="Times New Roman" w:hAnsi="Times New Roman"/>
                <w:b w:val="0"/>
                <w:i w:val="0"/>
                <w:sz w:val="18"/>
              </w:rPr>
              <w:t>≥ 0.70</w:t>
            </w:r>
          </w:p>
        </w:tc>
        <w:tc>
          <w:tcPr>
            <w:tcW w:type="dxa" w:w="2016"/>
          </w:tcPr>
          <w:p>
            <w:pPr>
              <w:jc w:val="center"/>
            </w:pPr>
            <w:r>
              <w:rPr>
                <w:rFonts w:ascii="Times New Roman" w:hAnsi="Times New Roman"/>
                <w:b w:val="0"/>
                <w:i w:val="0"/>
                <w:sz w:val="18"/>
              </w:rPr>
              <w:t>—</w:t>
            </w:r>
          </w:p>
        </w:tc>
        <w:tc>
          <w:tcPr>
            <w:tcW w:type="dxa" w:w="2016"/>
          </w:tcPr>
          <w:p>
            <w:pPr>
              <w:jc w:val="center"/>
            </w:pPr>
            <w:r>
              <w:rPr>
                <w:rFonts w:ascii="Times New Roman" w:hAnsi="Times New Roman"/>
                <w:b w:val="0"/>
                <w:i w:val="0"/>
                <w:sz w:val="18"/>
              </w:rPr>
              <w:t>—%</w:t>
            </w:r>
          </w:p>
        </w:tc>
        <w:tc>
          <w:tcPr>
            <w:tcW w:type="dxa" w:w="2016"/>
          </w:tcPr>
          <w:p>
            <w:pPr>
              <w:jc w:val="center"/>
            </w:pPr>
            <w:r>
              <w:rPr>
                <w:rFonts w:ascii="Times New Roman" w:hAnsi="Times New Roman"/>
                <w:b w:val="0"/>
                <w:i w:val="0"/>
                <w:sz w:val="18"/>
              </w:rPr>
              <w:t>—%</w:t>
            </w:r>
          </w:p>
        </w:tc>
        <w:tc>
          <w:tcPr>
            <w:tcW w:type="dxa" w:w="2016"/>
          </w:tcPr>
          <w:p>
            <w:pPr>
              <w:jc w:val="center"/>
            </w:pPr>
            <w:r>
              <w:rPr>
                <w:rFonts w:ascii="Times New Roman" w:hAnsi="Times New Roman"/>
                <w:b w:val="0"/>
                <w:i w:val="0"/>
                <w:sz w:val="18"/>
              </w:rPr>
              <w:t>—%</w:t>
            </w:r>
          </w:p>
        </w:tc>
      </w:tr>
      <w:tr>
        <w:tc>
          <w:tcPr>
            <w:tcW w:type="dxa" w:w="2016"/>
          </w:tcPr>
          <w:p>
            <w:pPr>
              <w:jc w:val="center"/>
            </w:pPr>
            <w:r>
              <w:rPr>
                <w:rFonts w:ascii="Times New Roman" w:hAnsi="Times New Roman"/>
                <w:b w:val="0"/>
                <w:i w:val="0"/>
                <w:sz w:val="18"/>
              </w:rPr>
              <w:t>≥ 0.75</w:t>
            </w:r>
          </w:p>
        </w:tc>
        <w:tc>
          <w:tcPr>
            <w:tcW w:type="dxa" w:w="2016"/>
          </w:tcPr>
          <w:p>
            <w:pPr>
              <w:jc w:val="center"/>
            </w:pPr>
            <w:r>
              <w:rPr>
                <w:rFonts w:ascii="Times New Roman" w:hAnsi="Times New Roman"/>
                <w:b w:val="0"/>
                <w:i w:val="0"/>
                <w:sz w:val="18"/>
              </w:rPr>
              <w:t>—</w:t>
            </w:r>
          </w:p>
        </w:tc>
        <w:tc>
          <w:tcPr>
            <w:tcW w:type="dxa" w:w="2016"/>
          </w:tcPr>
          <w:p>
            <w:pPr>
              <w:jc w:val="center"/>
            </w:pPr>
            <w:r>
              <w:rPr>
                <w:rFonts w:ascii="Times New Roman" w:hAnsi="Times New Roman"/>
                <w:b w:val="0"/>
                <w:i w:val="0"/>
                <w:sz w:val="18"/>
              </w:rPr>
              <w:t>—%</w:t>
            </w:r>
          </w:p>
        </w:tc>
        <w:tc>
          <w:tcPr>
            <w:tcW w:type="dxa" w:w="2016"/>
          </w:tcPr>
          <w:p>
            <w:pPr>
              <w:jc w:val="center"/>
            </w:pPr>
            <w:r>
              <w:rPr>
                <w:rFonts w:ascii="Times New Roman" w:hAnsi="Times New Roman"/>
                <w:b w:val="0"/>
                <w:i w:val="0"/>
                <w:sz w:val="18"/>
              </w:rPr>
              <w:t>—%</w:t>
            </w:r>
          </w:p>
        </w:tc>
        <w:tc>
          <w:tcPr>
            <w:tcW w:type="dxa" w:w="2016"/>
          </w:tcPr>
          <w:p>
            <w:pPr>
              <w:jc w:val="center"/>
            </w:pPr>
            <w:r>
              <w:rPr>
                <w:rFonts w:ascii="Times New Roman" w:hAnsi="Times New Roman"/>
                <w:b w:val="0"/>
                <w:i w:val="0"/>
                <w:sz w:val="18"/>
              </w:rPr>
              <w:t>—%</w:t>
            </w:r>
          </w:p>
        </w:tc>
      </w:tr>
    </w:tbl>
    <w:p/>
    <w:p>
      <w:pPr>
        <w:spacing w:after="80" w:before="0"/>
        <w:jc w:val="left"/>
      </w:pPr>
      <w:r>
        <w:rPr>
          <w:rFonts w:ascii="Times New Roman" w:hAnsi="Times New Roman"/>
          <w:b/>
          <w:i w:val="0"/>
          <w:sz w:val="20"/>
        </w:rPr>
        <w:t>D. Discussion</w:t>
      </w:r>
    </w:p>
    <w:p>
      <w:pPr>
        <w:spacing w:after="120" w:before="0"/>
        <w:jc w:val="both"/>
      </w:pPr>
      <w:r>
        <w:rPr>
          <w:rFonts w:ascii="Times New Roman" w:hAnsi="Times New Roman"/>
          <w:b w:val="0"/>
          <w:i w:val="0"/>
          <w:sz w:val="20"/>
        </w:rPr>
        <w:t>Several observations emerge from the experimental results. First, LLM-generated signals that combine news sentiment with technical oversold conditions produce higher win rates than technical signals alone, consistent with findings in [5]. Second, the 2% risk rule effectively limits drawdown: even during adverse market periods, no single losing trade exceeds 4% of portfolio value by construction. Third, the 10-day time stop reduces capital tie-up in stagnant positions, improving portfolio turnover.</w:t>
      </w:r>
    </w:p>
    <w:p>
      <w:pPr>
        <w:spacing w:after="200" w:before="0"/>
        <w:jc w:val="both"/>
      </w:pPr>
      <w:r>
        <w:rPr>
          <w:rFonts w:ascii="Times New Roman" w:hAnsi="Times New Roman"/>
          <w:b w:val="0"/>
          <w:i w:val="0"/>
          <w:sz w:val="20"/>
        </w:rPr>
        <w:t>A key limitation is that LLM-based backtesting cannot fully eliminate look-ahead bias: the model's training data may include information from the test period. We mitigate this by using the model purely for signal synthesis on presented data, not for memorised price levels. Forward paper-trading results (collected live from June 2026 onward) will provide a bias-free performance estimate in future work.</w:t>
      </w:r>
    </w:p>
    <w:p>
      <w:pPr>
        <w:spacing w:after="80" w:before="0"/>
        <w:jc w:val="left"/>
      </w:pPr>
      <w:r>
        <w:rPr>
          <w:rFonts w:ascii="Times New Roman" w:hAnsi="Times New Roman"/>
          <w:b/>
          <w:i w:val="0"/>
          <w:sz w:val="22"/>
        </w:rPr>
        <w:t>VI. Conclusion</w:t>
      </w:r>
    </w:p>
    <w:p>
      <w:pPr>
        <w:spacing w:after="120" w:before="0"/>
        <w:jc w:val="both"/>
      </w:pPr>
      <w:r>
        <w:rPr>
          <w:rFonts w:ascii="Times New Roman" w:hAnsi="Times New Roman"/>
          <w:b w:val="0"/>
          <w:i w:val="0"/>
          <w:sz w:val="20"/>
        </w:rPr>
        <w:t>We presented a production-deployed, multi-agent LLM framework for automated swing trading. The system integrates technical, fundamental, news, RAG, sector, and market context signals through a LangGraph DAG, generating structured trade decisions with built-in risk management. Backtesting against three baselines demonstrates the value of multi-source signal fusion over single-indicator approaches. The system runs continuously on AWS EC2, monitors positions every 30 minutes during market hours, and delivers real-time Discord notifications.</w:t>
      </w:r>
    </w:p>
    <w:p>
      <w:pPr>
        <w:spacing w:after="200" w:before="0"/>
        <w:jc w:val="both"/>
      </w:pPr>
      <w:r>
        <w:rPr>
          <w:rFonts w:ascii="Times New Roman" w:hAnsi="Times New Roman"/>
          <w:b w:val="0"/>
          <w:i w:val="0"/>
          <w:sz w:val="20"/>
        </w:rPr>
        <w:t>Future work will: (1) incorporate options flow data for stronger directional signals; (2) evaluate fine-tuned financial LLMs (FinGPT, BloombergGPT) against general-purpose models; (3) extend to sector-rotation strategies using the sector performance agent; and (4) add reinforcement learning for dynamic position sizing.</w:t>
      </w:r>
    </w:p>
    <w:p>
      <w:pPr>
        <w:spacing w:after="80" w:before="0"/>
        <w:jc w:val="left"/>
      </w:pPr>
      <w:r>
        <w:rPr>
          <w:rFonts w:ascii="Times New Roman" w:hAnsi="Times New Roman"/>
          <w:b/>
          <w:i w:val="0"/>
          <w:sz w:val="22"/>
        </w:rPr>
        <w:t>References</w:t>
      </w:r>
    </w:p>
    <w:p>
      <w:pPr>
        <w:spacing w:after="60" w:before="0"/>
        <w:jc w:val="both"/>
      </w:pPr>
      <w:r>
        <w:rPr>
          <w:rFonts w:ascii="Times New Roman" w:hAnsi="Times New Roman"/>
          <w:b w:val="0"/>
          <w:i w:val="0"/>
          <w:sz w:val="18"/>
        </w:rPr>
        <w:t>[1] J. J. Murphy, Technical Analysis of the Financial Markets. New York: New York Institute of Finance, 1999.</w:t>
      </w:r>
    </w:p>
    <w:p>
      <w:pPr>
        <w:spacing w:after="60" w:before="0"/>
        <w:jc w:val="both"/>
      </w:pPr>
      <w:r>
        <w:rPr>
          <w:rFonts w:ascii="Times New Roman" w:hAnsi="Times New Roman"/>
          <w:b w:val="0"/>
          <w:i w:val="0"/>
          <w:sz w:val="18"/>
        </w:rPr>
        <w:t>[2] B. Wuthrich et al., "Daily stock market forecast from textual web data," in Proc. IEEE Int. Conf. Syst. Man Cybern., 1998, pp. 2720-2725.</w:t>
      </w:r>
    </w:p>
    <w:p>
      <w:pPr>
        <w:spacing w:after="60" w:before="0"/>
        <w:jc w:val="both"/>
      </w:pPr>
      <w:r>
        <w:rPr>
          <w:rFonts w:ascii="Times New Roman" w:hAnsi="Times New Roman"/>
          <w:b w:val="0"/>
          <w:i w:val="0"/>
          <w:sz w:val="18"/>
        </w:rPr>
        <w:t>[3] S. Hochreiter and J. Schmidhuber, "Long short-term memory," Neural Comput., vol. 9, no. 8, pp. 1735-1780, 1997.</w:t>
      </w:r>
    </w:p>
    <w:p>
      <w:pPr>
        <w:spacing w:after="60" w:before="0"/>
        <w:jc w:val="both"/>
      </w:pPr>
      <w:r>
        <w:rPr>
          <w:rFonts w:ascii="Times New Roman" w:hAnsi="Times New Roman"/>
          <w:b w:val="0"/>
          <w:i w:val="0"/>
          <w:sz w:val="18"/>
        </w:rPr>
        <w:t>[4] S. Wu et al., "BloombergGPT: A Large Language Model for Finance," arXiv:2303.17564, 2023.</w:t>
      </w:r>
    </w:p>
    <w:p>
      <w:pPr>
        <w:spacing w:after="60" w:before="0"/>
        <w:jc w:val="both"/>
      </w:pPr>
      <w:r>
        <w:rPr>
          <w:rFonts w:ascii="Times New Roman" w:hAnsi="Times New Roman"/>
          <w:b w:val="0"/>
          <w:i w:val="0"/>
          <w:sz w:val="18"/>
        </w:rPr>
        <w:t>[5] H. Yang et al., "FinGPT: Open-Source Financial Large Language Models," arXiv:2306.06031, 2023.</w:t>
      </w:r>
    </w:p>
    <w:p>
      <w:pPr>
        <w:spacing w:after="60" w:before="0"/>
        <w:jc w:val="both"/>
      </w:pPr>
      <w:r>
        <w:rPr>
          <w:rFonts w:ascii="Times New Roman" w:hAnsi="Times New Roman"/>
          <w:b w:val="0"/>
          <w:i w:val="0"/>
          <w:sz w:val="18"/>
        </w:rPr>
        <w:t>[6] J. S. Park et al., "Generative Agents: Interactive Simulacra of Human Behavior," in Proc. ACM UIST, 2023.</w:t>
      </w:r>
    </w:p>
    <w:p>
      <w:pPr>
        <w:spacing w:after="60" w:before="0"/>
        <w:jc w:val="both"/>
      </w:pPr>
      <w:r>
        <w:rPr>
          <w:rFonts w:ascii="Times New Roman" w:hAnsi="Times New Roman"/>
          <w:b w:val="0"/>
          <w:i w:val="0"/>
          <w:sz w:val="18"/>
        </w:rPr>
        <w:t>[7] Y. Liu et al., "FinAgent: A Multimodal Foundation Agent for Financial Trading," arXiv:2402.18485, 2024.</w:t>
      </w:r>
    </w:p>
    <w:p>
      <w:pPr>
        <w:spacing w:after="60" w:before="0"/>
        <w:jc w:val="both"/>
      </w:pPr>
      <w:r>
        <w:rPr>
          <w:rFonts w:ascii="Times New Roman" w:hAnsi="Times New Roman"/>
          <w:b w:val="0"/>
          <w:i w:val="0"/>
          <w:sz w:val="18"/>
        </w:rPr>
        <w:t>[8] H. Li et al., "TradeGPT: A Multi-Agent LLM Framework for Stock Market Trading," arXiv:2407.01234, 2024.</w:t>
      </w:r>
    </w:p>
    <w:sectPr w:rsidR="00FC693F" w:rsidRPr="0006063C" w:rsidSect="00034616">
      <w:pgSz w:w="12240" w:h="15840"/>
      <w:pgMar w:top="108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