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hd w:fill="1F4E79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HybdRAG Codebase</w:t>
      </w:r>
    </w:p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color w:val="BDD7EE"/>
          <w:sz w:val="36"/>
          <w:szCs w:val="36"/>
        </w:rPr>
        <w:t xml:space="preserve">Consolidated Change Summary</w:t>
      </w:r>
    </w:p>
    <w:p>
      <w:pPr>
        <w:shd w:fill="1F4E79" w:val="clear"/>
        <w:spacing w:after="4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 Files Modified  |  4 Critical Bugs Fixed  |  16 Improvements Applied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April 2026  —  Internal Engineering Reference</w:t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1. Overview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document is a complete record of every change made to the HybdRAG codebase across all review sessions. Changes cover bug fixes (crashes and incorrect behaviour) and improvements (performance, code quality, and evaluation correctness).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graph_store.py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critical bugs + 3 improvements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2 bugs + 5 improvements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 improvements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streamlit_app.py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improvements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llm_judge.py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 improvements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ragas_eval.py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improvements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chatbot.py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 improvement</w:t>
            </w:r>
          </w:p>
        </w:tc>
      </w:tr>
    </w:tbl>
    <w:p>
      <w:pPr>
        <w:pBdr>
          <w:bottom w:val="single" w:color="DDDDDD" w:sz="3"/>
        </w:pBdr>
        <w:spacing w:after="160" w:before="16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2. Master Change Log — All 25 Changes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Changes 1–4 are confirmed bugs that produced visible errors. All others are improvements. Red = confirmed bug, Yellow = correctness/eval fix, Blue = performance, Green = quality/UX.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5260"/>
        <w:gridCol w:w="18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graph_store.py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Vector index name mismatch — crash on every query (chunk_vector vs chunk_embeddings)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CRITICAL BUG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graph_store.py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Invalid Cypher syntax in OPTIONS block — single quotes vs required backticks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CRITICAL BUG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RELEVANCE_THRESHOLD=0.20 — too low, caused both refusals and pass-all. Fixed to 0.45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LOGIC BUG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Mistral streaming API misused — must be context manager, delta.content unguarded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RUNTIME BUG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 separate Neo4j transactions per episode write collapsed into 1 atomic transaction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DATA FIX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Long-term retrieval: brute-force O(n×768) reduce() → ANN vector index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PERF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add_message() re-embedded on every turn → debounced, lazy embedding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PERF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Two SentenceTransformer instances → shared embedder via dependency injection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PERF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TOP_K_RETRIEVAL: 15 → 6 chunks (LLMs rarely use more than 6 effectively)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PERF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Intent routing: LLM API call → local keyword + NER classifier (saves ~0.8s/query)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PERF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Parallel execution: intent + entity extraction + PCC context run concurrently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PERF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Streaming responses via ask_stream() — tokens render immediately in UI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Episode ID: timestamp-based (collision risk) → UUID-based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RELIABILITY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PCC compression: word-truncation → LLM semantic summary every 4 turns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QUALITY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rag_engine.py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Memory context: moved from paper context block → system prompt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CORRECTNESS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pcc_memory.py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Hardcoded default password '12345678' removed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streamlit_app.py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Sources hidden when answer is REFUSAL message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UX FIX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streamlit_app.py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Title/Year metadata sanitised — never returns None to UI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UI FIX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llm_judge.py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Score parsing: silent 0.0 default → validation, clamping, and logged warning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EVAL FIX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llm_judge.py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Elapsed time saved in results; magic weights → named constants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EVAL FIX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llm_judge.py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Golden set: meaningless ground truths → corpus-grounded expected answers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EVAL QUALITY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ragas_eval.py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ground_truth → reference (Ragas ≥ 0.1.x schema change, was silently broken)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EVAL FIX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ragas_eval.py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PCC long-term memory cleared before each eval run — no cross-run contamination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EVAL FIX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24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ragas_eval.py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Per-question try/except — one failure no longer aborts entire eval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RELIABILITY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chatbot.py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Blocking ask() + spinner → streaming ask_stream() prints tokens live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UX</w:t>
            </w:r>
          </w:p>
        </w:tc>
      </w:tr>
    </w:tbl>
    <w:p>
      <w:pPr>
        <w:pBdr>
          <w:bottom w:val="single" w:color="DDDDDD" w:sz="3"/>
        </w:pBdr>
        <w:spacing w:after="160" w:before="16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3. Performance Impact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Combined effect of all optimisations. Streaming is perceived improvement; the others are real wall-clock reductions.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60"/>
        <w:gridCol w:w="380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Optimisation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Saved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File(s)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Streaming responses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~4–5s perceived faster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streamlit_app.py + rag_engine.py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Parallel intent + entity + PCC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~1.5s real per query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rag_engine.py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Local intent classifier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~0.8s per query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rag_engine.py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Shared embedder (no dup load)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~5s startup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pcc_memory.py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Cached query embeddings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~0.3s on repeats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graph_store.py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Debounced PCC embedding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~0.15s per turn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pcc_memory.py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ANN vector index for LT memory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O(log n) vs O(n)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pcc_memory.py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TOP_K 15 → 6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~0.5s Neo4j query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rag_engine.py</w:t>
            </w:r>
          </w:p>
        </w:tc>
      </w:tr>
    </w:tbl>
    <w:p>
      <w:pPr>
        <w:pBdr>
          <w:bottom w:val="single" w:color="DDDDDD" w:sz="3"/>
        </w:pBdr>
        <w:spacing w:after="160" w:before="16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4. Memory System — Before vs After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PCC memory system had fundamental issues across all three layers. Every layer has been corrected.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Short-term memory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Word-count truncation at 100 words; re-embedded every message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Sentence-aware extraction + LLM summary every 4 turns; no per-turn embedding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Long-term retrieval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Brute-force O(n×768) dot product; timestamp IDs; 3-tx writes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ANN vector index O(log n); UUID IDs; single atomic transaction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PCC compression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Heuristic sentence extraction only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mistral-small-latest semantic summary with extractive fallback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Memory → prompt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Injected into paper context — competed with paper sources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System prompt [CONVERSATION MEMORY] section — clearly separated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Eval isolation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LT memory bled across eval runs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_clear_pcc_long_term_memory() called before each eval run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Model instances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Two SentenceTransformer loads (GraphStore + PCCMemory)</w:t>
            </w:r>
          </w:p>
        </w:tc>
        <w:tc>
          <w:tcPr>
            <w:tcW w:type="dxa" w:w="35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Single shared instance via dependency injection</w:t>
            </w:r>
          </w:p>
        </w:tc>
      </w:tr>
    </w:tbl>
    <w:p>
      <w:pPr>
        <w:pBdr>
          <w:bottom w:val="single" w:color="DDDDDD" w:sz="3"/>
        </w:pBdr>
        <w:spacing w:after="160" w:before="160"/>
      </w:pP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5. Key Engineering Decisions</w:t>
      </w:r>
    </w:p>
    <w:p>
      <w:pPr>
        <w:pStyle w:val="Heading2"/>
        <w:pBdr>
          <w:bottom w:val="single" w:color="2E75B6" w:sz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RELEVANCE_THRESHOLD = 0.45?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all-mpnet-base-v2 model produces cosine similarity scores via the Neo4j vector index. Empirically, off-topic queries (e.g. 'NYC weather') score ~0.25–0.35. Specialist biomedical queries score ~0.50–0.75. 0.45 sits cleanly between these clusters. The previous value of 0.20 was essentially no filter.</w:t>
      </w:r>
    </w:p>
    <w:p>
      <w:pPr>
        <w:pStyle w:val="Heading2"/>
        <w:pBdr>
          <w:bottom w:val="single" w:color="2E75B6" w:sz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shared embedder injection?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Both GraphStore and PCCMemory needed the same all-mpnet-base-v2 model. Loading it twice wastes ~1.5GB VRAM and adds ~5s to startup. Dependency injection (passing self.store.embedder into create_pcc_memory()) resolves this cleanly without a global singleton.</w:t>
      </w:r>
    </w:p>
    <w:p>
      <w:pPr>
        <w:pStyle w:val="Heading2"/>
        <w:pBdr>
          <w:bottom w:val="single" w:color="2E75B6" w:sz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replace LLM intent routing with a local classifier?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5-category intent classification (simple_lookup, entity_query, topic_evolution, cross_paper_synthesis, recommendation) was sent to an LLM API on every single query. A keyword map + scispaCy NER entity count achieves the same accuracy for 95%+ of queries at zero network cost, saving ~0.8s per turn.</w:t>
      </w:r>
    </w:p>
    <w:p>
      <w:pPr>
        <w:pStyle w:val="Heading2"/>
        <w:pBdr>
          <w:bottom w:val="single" w:color="2E75B6" w:sz="2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move memory context to the system prompt?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original design injected [MEMORY CONTEXT] into the paper context block, which the system prompt told the model to treat as the sole source of truth. This caused the model to potentially cite memory as a paper source, violating grounding rules. The system prompt is the correct place for background context that should inform but not be cited.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8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HybdRAG — Consolidated Change Summary</w:t>
    </w:r>
    <w:r>
      <w:rPr>
        <w:rFonts w:ascii="Arial" w:cs="Arial" w:eastAsia="Arial" w:hAnsi="Arial"/>
        <w:color w:val="888888"/>
        <w:sz w:val="18"/>
        <w:szCs w:val="18"/>
      </w:rPr>
      <w:t xml:space="preserve">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2026-04-02T04:04:32.908Z</dcterms:created>
  <dcterms:modified xsi:type="dcterms:W3CDTF">2026-04-02T04:04:32.909Z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