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left"/>
      </w:pPr>
      <w:r>
        <w:rPr>
          <w:rFonts w:ascii="Calibri" w:cs="Calibri" w:eastAsia="Calibri" w:hAnsi="Calibri"/>
          <w:b/>
          <w:bCs/>
          <w:color w:val="00A896"/>
          <w:sz w:val="20"/>
          <w:szCs w:val="20"/>
        </w:rPr>
        <w:t xml:space="preserve">CLIENT PROJECT  ·  CUSTOMER DATA ANALYSIS</w:t>
      </w:r>
    </w:p>
    <w:p>
      <w:pPr>
        <w:spacing w:after="120"/>
        <w:jc w:val="left"/>
      </w:pPr>
      <w:r>
        <w:rPr>
          <w:rFonts w:ascii="Cambria" w:cs="Cambria" w:eastAsia="Cambria" w:hAnsi="Cambria"/>
          <w:b/>
          <w:bCs/>
          <w:color w:val="013A40"/>
          <w:sz w:val="56"/>
          <w:szCs w:val="56"/>
        </w:rPr>
        <w:t xml:space="preserve">Customer Segmentation &amp;</w:t>
      </w:r>
    </w:p>
    <w:p>
      <w:pPr>
        <w:spacing w:after="360"/>
        <w:jc w:val="left"/>
      </w:pPr>
      <w:r>
        <w:rPr>
          <w:rFonts w:ascii="Cambria" w:cs="Cambria" w:eastAsia="Cambria" w:hAnsi="Cambria"/>
          <w:b/>
          <w:bCs/>
          <w:color w:val="013A40"/>
          <w:sz w:val="56"/>
          <w:szCs w:val="56"/>
        </w:rPr>
        <w:t xml:space="preserve">Purchase Behavior Analysis</w:t>
      </w:r>
    </w:p>
    <w:p>
      <w:pPr>
        <w:pBdr>
          <w:bottom w:val="single" w:color="028090" w:sz="18" w:space="1"/>
        </w:pBdr>
        <w:spacing w:after="360"/>
        <w:ind w:right="7000"/>
      </w:pPr>
      <w:r>
        <w:rPr>
          <w:sz w:val="2"/>
          <w:szCs w:val="2"/>
        </w:rPr>
        <w:t xml:space="preserve">        </w:t>
      </w:r>
    </w:p>
    <w:p>
      <w:pPr>
        <w:spacing w:after="80"/>
      </w:pPr>
      <w:r>
        <w:rPr>
          <w:rFonts w:ascii="Calibri" w:cs="Calibri" w:eastAsia="Calibri" w:hAnsi="Calibri"/>
          <w:color w:val="5B7480"/>
          <w:sz w:val="26"/>
          <w:szCs w:val="26"/>
        </w:rPr>
        <w:t xml:space="preserve">Analytics Report</w:t>
      </w:r>
    </w:p>
    <w:p>
      <w:pPr>
        <w:spacing w:after="80"/>
      </w:pPr>
      <w:r>
        <w:rPr>
          <w:rFonts w:ascii="Calibri" w:cs="Calibri" w:eastAsia="Calibri" w:hAnsi="Calibri"/>
          <w:color w:val="5B7480"/>
          <w:sz w:val="22"/>
          <w:szCs w:val="22"/>
        </w:rPr>
        <w:t xml:space="preserve">Prepared using MySQL / phpMyAdmin and Microsoft Power BI</w:t>
      </w:r>
    </w:p>
    <w:p>
      <w:r>
        <w:br w:type="page"/>
      </w:r>
    </w:p>
    <w:p>
      <w:pPr>
        <w:sectPr>
          <w:headerReference w:type="default" r:id="rId7"/>
          <w:footerReference w:type="default" r:id="rId8"/>
          <w:pgSz w:w="12240" w:h="15840" w:orient="portrait"/>
          <w:pgMar w:top="1440" w:right="1440" w:bottom="1440" w:left="1440" w:header="708" w:footer="708" w:gutter="0"/>
          <w:pgNumType/>
          <w:titlePg/>
          <w:docGrid w:linePitch="360"/>
        </w:sectPr>
      </w:pPr>
    </w:p>
    <w:p>
      <w:pPr>
        <w:pStyle w:val="Heading1"/>
        <w:spacing w:after="160" w:before="320"/>
      </w:pPr>
      <w:r>
        <w:rPr>
          <w:rFonts w:ascii="Cambria" w:cs="Cambria" w:eastAsia="Cambria" w:hAnsi="Cambria"/>
          <w:b/>
          <w:bCs/>
          <w:color w:val="013A40"/>
          <w:sz w:val="30"/>
          <w:szCs w:val="30"/>
        </w:rPr>
        <w:t xml:space="preserve">Executive Summary</w:t>
      </w:r>
    </w:p>
    <w:p>
      <w:pPr>
        <w:spacing w:after="160" w:line="280"/>
      </w:pPr>
      <w:r>
        <w:rPr>
          <w:rFonts w:ascii="Calibri" w:cs="Calibri" w:eastAsia="Calibri" w:hAnsi="Calibri"/>
          <w:color w:val="1E293B"/>
          <w:sz w:val="22"/>
          <w:szCs w:val="22"/>
        </w:rPr>
        <w:t xml:space="preserve">This report analyzes customer purchase behavior using a shopping dataset processed through MySQL/phpMyAdmin and visualized in Microsoft Power BI. The dashboard evaluates revenue, customer count, average purchase value, ratings, product categories, demographics, payment methods, seasons, locations and customer value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FE3E3" w:sz="4"/>
              <w:left w:val="single" w:color="CFE3E3" w:sz="4"/>
              <w:bottom w:val="single" w:color="CFE3E3" w:sz="4"/>
              <w:right w:val="single" w:color="CFE3E3" w:sz="4"/>
            </w:tcBorders>
            <w:shd w:fill="F2F8F8" w:val="clear"/>
            <w:tcMar>
              <w:top w:type="dxa" w:w="160"/>
              <w:left w:type="dxa" w:w="160"/>
              <w:bottom w:type="dxa" w:w="160"/>
              <w:right w:type="dxa" w:w="160"/>
            </w:tcMar>
            <w:vAlign w:val="center"/>
          </w:tcPr>
          <w:p>
            <w:pPr>
              <w:spacing w:after="40"/>
              <w:jc w:val="center"/>
            </w:pPr>
            <w:r>
              <w:rPr>
                <w:rFonts w:ascii="Cambria" w:cs="Cambria" w:eastAsia="Cambria" w:hAnsi="Cambria"/>
                <w:b/>
                <w:bCs/>
                <w:color w:val="028090"/>
                <w:sz w:val="30"/>
                <w:szCs w:val="30"/>
              </w:rPr>
              <w:t xml:space="preserve">$233K</w:t>
            </w:r>
          </w:p>
          <w:p>
            <w:pPr>
              <w:jc w:val="center"/>
            </w:pPr>
            <w:r>
              <w:rPr>
                <w:rFonts w:ascii="Calibri" w:cs="Calibri" w:eastAsia="Calibri" w:hAnsi="Calibri"/>
                <w:color w:val="5B7480"/>
                <w:sz w:val="18"/>
                <w:szCs w:val="18"/>
              </w:rPr>
              <w:t xml:space="preserve">Total Revenue</w:t>
            </w:r>
          </w:p>
        </w:tc>
        <w:tc>
          <w:tcPr>
            <w:tcW w:type="dxa" w:w="2340"/>
            <w:tcBorders>
              <w:top w:val="single" w:color="CFE3E3" w:sz="4"/>
              <w:left w:val="single" w:color="CFE3E3" w:sz="4"/>
              <w:bottom w:val="single" w:color="CFE3E3" w:sz="4"/>
              <w:right w:val="single" w:color="CFE3E3" w:sz="4"/>
            </w:tcBorders>
            <w:shd w:fill="F2F8F8" w:val="clear"/>
            <w:tcMar>
              <w:top w:type="dxa" w:w="160"/>
              <w:left w:type="dxa" w:w="160"/>
              <w:bottom w:type="dxa" w:w="160"/>
              <w:right w:type="dxa" w:w="160"/>
            </w:tcMar>
            <w:vAlign w:val="center"/>
          </w:tcPr>
          <w:p>
            <w:pPr>
              <w:spacing w:after="40"/>
              <w:jc w:val="center"/>
            </w:pPr>
            <w:r>
              <w:rPr>
                <w:rFonts w:ascii="Cambria" w:cs="Cambria" w:eastAsia="Cambria" w:hAnsi="Cambria"/>
                <w:b/>
                <w:bCs/>
                <w:color w:val="028090"/>
                <w:sz w:val="30"/>
                <w:szCs w:val="30"/>
              </w:rPr>
              <w:t xml:space="preserve">3.9K</w:t>
            </w:r>
          </w:p>
          <w:p>
            <w:pPr>
              <w:jc w:val="center"/>
            </w:pPr>
            <w:r>
              <w:rPr>
                <w:rFonts w:ascii="Calibri" w:cs="Calibri" w:eastAsia="Calibri" w:hAnsi="Calibri"/>
                <w:color w:val="5B7480"/>
                <w:sz w:val="18"/>
                <w:szCs w:val="18"/>
              </w:rPr>
              <w:t xml:space="preserve">Total Customers</w:t>
            </w:r>
          </w:p>
        </w:tc>
        <w:tc>
          <w:tcPr>
            <w:tcW w:type="dxa" w:w="2340"/>
            <w:tcBorders>
              <w:top w:val="single" w:color="CFE3E3" w:sz="4"/>
              <w:left w:val="single" w:color="CFE3E3" w:sz="4"/>
              <w:bottom w:val="single" w:color="CFE3E3" w:sz="4"/>
              <w:right w:val="single" w:color="CFE3E3" w:sz="4"/>
            </w:tcBorders>
            <w:shd w:fill="F2F8F8" w:val="clear"/>
            <w:tcMar>
              <w:top w:type="dxa" w:w="160"/>
              <w:left w:type="dxa" w:w="160"/>
              <w:bottom w:type="dxa" w:w="160"/>
              <w:right w:type="dxa" w:w="160"/>
            </w:tcMar>
            <w:vAlign w:val="center"/>
          </w:tcPr>
          <w:p>
            <w:pPr>
              <w:spacing w:after="40"/>
              <w:jc w:val="center"/>
            </w:pPr>
            <w:r>
              <w:rPr>
                <w:rFonts w:ascii="Cambria" w:cs="Cambria" w:eastAsia="Cambria" w:hAnsi="Cambria"/>
                <w:b/>
                <w:bCs/>
                <w:color w:val="028090"/>
                <w:sz w:val="30"/>
                <w:szCs w:val="30"/>
              </w:rPr>
              <w:t xml:space="preserve">$59.76</w:t>
            </w:r>
          </w:p>
          <w:p>
            <w:pPr>
              <w:jc w:val="center"/>
            </w:pPr>
            <w:r>
              <w:rPr>
                <w:rFonts w:ascii="Calibri" w:cs="Calibri" w:eastAsia="Calibri" w:hAnsi="Calibri"/>
                <w:color w:val="5B7480"/>
                <w:sz w:val="18"/>
                <w:szCs w:val="18"/>
              </w:rPr>
              <w:t xml:space="preserve">Avg. Purchase</w:t>
            </w:r>
          </w:p>
        </w:tc>
        <w:tc>
          <w:tcPr>
            <w:tcW w:type="dxa" w:w="2340"/>
            <w:tcBorders>
              <w:top w:val="single" w:color="CFE3E3" w:sz="4"/>
              <w:left w:val="single" w:color="CFE3E3" w:sz="4"/>
              <w:bottom w:val="single" w:color="CFE3E3" w:sz="4"/>
              <w:right w:val="single" w:color="CFE3E3" w:sz="4"/>
            </w:tcBorders>
            <w:shd w:fill="F2F8F8" w:val="clear"/>
            <w:tcMar>
              <w:top w:type="dxa" w:w="160"/>
              <w:left w:type="dxa" w:w="160"/>
              <w:bottom w:type="dxa" w:w="160"/>
              <w:right w:type="dxa" w:w="160"/>
            </w:tcMar>
            <w:vAlign w:val="center"/>
          </w:tcPr>
          <w:p>
            <w:pPr>
              <w:spacing w:after="40"/>
              <w:jc w:val="center"/>
            </w:pPr>
            <w:r>
              <w:rPr>
                <w:rFonts w:ascii="Cambria" w:cs="Cambria" w:eastAsia="Cambria" w:hAnsi="Cambria"/>
                <w:b/>
                <w:bCs/>
                <w:color w:val="028090"/>
                <w:sz w:val="30"/>
                <w:szCs w:val="30"/>
              </w:rPr>
              <w:t xml:space="preserve">3.75 / 5</w:t>
            </w:r>
          </w:p>
          <w:p>
            <w:pPr>
              <w:jc w:val="center"/>
            </w:pPr>
            <w:r>
              <w:rPr>
                <w:rFonts w:ascii="Calibri" w:cs="Calibri" w:eastAsia="Calibri" w:hAnsi="Calibri"/>
                <w:color w:val="5B7480"/>
                <w:sz w:val="18"/>
                <w:szCs w:val="18"/>
              </w:rPr>
              <w:t xml:space="preserve">Avg. Rating</w:t>
            </w:r>
          </w:p>
        </w:tc>
      </w:tr>
    </w:tbl>
    <w:p>
      <w:pPr>
        <w:pStyle w:val="Heading1"/>
        <w:spacing w:after="160" w:before="320"/>
      </w:pPr>
      <w:r>
        <w:rPr>
          <w:rFonts w:ascii="Cambria" w:cs="Cambria" w:eastAsia="Cambria" w:hAnsi="Cambria"/>
          <w:b/>
          <w:bCs/>
          <w:color w:val="013A40"/>
          <w:sz w:val="30"/>
          <w:szCs w:val="30"/>
        </w:rPr>
        <w:t xml:space="preserve">Objectives</w:t>
      </w:r>
    </w:p>
    <w:p>
      <w:pPr>
        <w:pStyle w:val="ListParagraph"/>
        <w:numPr>
          <w:ilvl w:val="0"/>
          <w:numId w:val="2"/>
        </w:numPr>
        <w:spacing w:after="120"/>
      </w:pPr>
      <w:r>
        <w:rPr>
          <w:rFonts w:ascii="Calibri" w:cs="Calibri" w:eastAsia="Calibri" w:hAnsi="Calibri"/>
          <w:color w:val="1E293B"/>
          <w:sz w:val="22"/>
          <w:szCs w:val="22"/>
        </w:rPr>
        <w:t xml:space="preserve">Measure core business performance using revenue, customer count, average purchase and rating.</w:t>
      </w:r>
    </w:p>
    <w:p>
      <w:pPr>
        <w:pStyle w:val="ListParagraph"/>
        <w:numPr>
          <w:ilvl w:val="0"/>
          <w:numId w:val="2"/>
        </w:numPr>
        <w:spacing w:after="120"/>
      </w:pPr>
      <w:r>
        <w:rPr>
          <w:rFonts w:ascii="Calibri" w:cs="Calibri" w:eastAsia="Calibri" w:hAnsi="Calibri"/>
          <w:color w:val="1E293B"/>
          <w:sz w:val="22"/>
          <w:szCs w:val="22"/>
        </w:rPr>
        <w:t xml:space="preserve">Identify category, demographic, seasonal, payment and location-level patterns.</w:t>
      </w:r>
    </w:p>
    <w:p>
      <w:pPr>
        <w:pStyle w:val="ListParagraph"/>
        <w:numPr>
          <w:ilvl w:val="0"/>
          <w:numId w:val="2"/>
        </w:numPr>
        <w:spacing w:after="120"/>
      </w:pPr>
      <w:r>
        <w:rPr>
          <w:rFonts w:ascii="Calibri" w:cs="Calibri" w:eastAsia="Calibri" w:hAnsi="Calibri"/>
          <w:color w:val="1E293B"/>
          <w:sz w:val="22"/>
          <w:szCs w:val="22"/>
        </w:rPr>
        <w:t xml:space="preserve">Segment customers into Low Value, Medium Value and High Value groups.</w:t>
      </w:r>
    </w:p>
    <w:p>
      <w:pPr>
        <w:pStyle w:val="ListParagraph"/>
        <w:numPr>
          <w:ilvl w:val="0"/>
          <w:numId w:val="2"/>
        </w:numPr>
        <w:spacing w:after="120"/>
      </w:pPr>
      <w:r>
        <w:rPr>
          <w:rFonts w:ascii="Calibri" w:cs="Calibri" w:eastAsia="Calibri" w:hAnsi="Calibri"/>
          <w:color w:val="1E293B"/>
          <w:sz w:val="22"/>
          <w:szCs w:val="22"/>
        </w:rPr>
        <w:t xml:space="preserve">Develop actionable recommendations for marketing, retention and inventory planning.</w:t>
      </w:r>
    </w:p>
    <w:p>
      <w:pPr>
        <w:pStyle w:val="Heading1"/>
        <w:spacing w:after="160" w:before="320"/>
      </w:pPr>
      <w:r>
        <w:rPr>
          <w:rFonts w:ascii="Cambria" w:cs="Cambria" w:eastAsia="Cambria" w:hAnsi="Cambria"/>
          <w:b/>
          <w:bCs/>
          <w:color w:val="013A40"/>
          <w:sz w:val="30"/>
          <w:szCs w:val="30"/>
        </w:rPr>
        <w:t xml:space="preserve">Methodology</w:t>
      </w:r>
    </w:p>
    <w:p>
      <w:pPr>
        <w:spacing w:after="160" w:line="280"/>
      </w:pPr>
      <w:r>
        <w:rPr>
          <w:rFonts w:ascii="Calibri" w:cs="Calibri" w:eastAsia="Calibri" w:hAnsi="Calibri"/>
          <w:color w:val="1E293B"/>
          <w:sz w:val="22"/>
          <w:szCs w:val="22"/>
        </w:rPr>
        <w:t xml:space="preserve">The dataset was reviewed in MySQL/phpMyAdmin, exported as CSV and loaded into Power BI. Calculated fields were used to group customers by age and customer value. The final report contains three dashboard pages with interactive filters for gender, product category and season.</w:t>
      </w:r>
    </w:p>
    <w:p>
      <w:pPr>
        <w:pStyle w:val="ListParagraph"/>
        <w:numPr>
          <w:ilvl w:val="0"/>
          <w:numId w:val="3"/>
        </w:numPr>
        <w:spacing w:after="100"/>
      </w:pPr>
      <w:r>
        <w:rPr>
          <w:rFonts w:ascii="Calibri" w:cs="Calibri" w:eastAsia="Calibri" w:hAnsi="Calibri"/>
          <w:color w:val="1E293B"/>
          <w:sz w:val="22"/>
          <w:szCs w:val="22"/>
        </w:rPr>
        <w:t xml:space="preserve">Validate — review the shopping dataset in MySQL/phpMyAdmin for fields, records and structure.</w:t>
      </w:r>
    </w:p>
    <w:p>
      <w:pPr>
        <w:pStyle w:val="ListParagraph"/>
        <w:numPr>
          <w:ilvl w:val="0"/>
          <w:numId w:val="3"/>
        </w:numPr>
        <w:spacing w:after="100"/>
      </w:pPr>
      <w:r>
        <w:rPr>
          <w:rFonts w:ascii="Calibri" w:cs="Calibri" w:eastAsia="Calibri" w:hAnsi="Calibri"/>
          <w:color w:val="1E293B"/>
          <w:sz w:val="22"/>
          <w:szCs w:val="22"/>
        </w:rPr>
        <w:t xml:space="preserve">Export &amp; load — export the validated dataset as CSV and load it into Power BI.</w:t>
      </w:r>
    </w:p>
    <w:p>
      <w:pPr>
        <w:pStyle w:val="ListParagraph"/>
        <w:numPr>
          <w:ilvl w:val="0"/>
          <w:numId w:val="3"/>
        </w:numPr>
        <w:spacing w:after="100"/>
      </w:pPr>
      <w:r>
        <w:rPr>
          <w:rFonts w:ascii="Calibri" w:cs="Calibri" w:eastAsia="Calibri" w:hAnsi="Calibri"/>
          <w:color w:val="1E293B"/>
          <w:sz w:val="22"/>
          <w:szCs w:val="22"/>
        </w:rPr>
        <w:t xml:space="preserve">Model fields — create analytical fields including Age Group and Customer Segment.</w:t>
      </w:r>
    </w:p>
    <w:p>
      <w:pPr>
        <w:pStyle w:val="ListParagraph"/>
        <w:numPr>
          <w:ilvl w:val="0"/>
          <w:numId w:val="3"/>
        </w:numPr>
        <w:spacing w:after="100"/>
      </w:pPr>
      <w:r>
        <w:rPr>
          <w:rFonts w:ascii="Calibri" w:cs="Calibri" w:eastAsia="Calibri" w:hAnsi="Calibri"/>
          <w:color w:val="1E293B"/>
          <w:sz w:val="22"/>
          <w:szCs w:val="22"/>
        </w:rPr>
        <w:t xml:space="preserve">Build dashboard — build a three-page interactive dashboard with filters for Gender, Product Category and Season.</w:t>
      </w:r>
    </w:p>
    <w:p>
      <w:pPr>
        <w:pStyle w:val="ListParagraph"/>
        <w:numPr>
          <w:ilvl w:val="0"/>
          <w:numId w:val="3"/>
        </w:numPr>
        <w:spacing w:after="160"/>
      </w:pPr>
      <w:r>
        <w:rPr>
          <w:rFonts w:ascii="Calibri" w:cs="Calibri" w:eastAsia="Calibri" w:hAnsi="Calibri"/>
          <w:color w:val="1E293B"/>
          <w:sz w:val="22"/>
          <w:szCs w:val="22"/>
        </w:rPr>
        <w:t xml:space="preserve">Interpret — interpret results using both purchase volume and revenue contribution.</w:t>
      </w:r>
    </w:p>
    <w:p>
      <w:pPr>
        <w:pStyle w:val="Heading1"/>
        <w:spacing w:after="160" w:before="320"/>
      </w:pPr>
      <w:r>
        <w:rPr>
          <w:rFonts w:ascii="Cambria" w:cs="Cambria" w:eastAsia="Cambria" w:hAnsi="Cambria"/>
          <w:b/>
          <w:bCs/>
          <w:color w:val="013A40"/>
          <w:sz w:val="30"/>
          <w:szCs w:val="30"/>
        </w:rPr>
        <w:t xml:space="preserve">Key Findings</w:t>
      </w:r>
    </w:p>
    <w:p>
      <w:pPr>
        <w:pStyle w:val="ListParagraph"/>
        <w:numPr>
          <w:ilvl w:val="0"/>
          <w:numId w:val="2"/>
        </w:numPr>
        <w:spacing w:after="120"/>
      </w:pPr>
      <w:r>
        <w:rPr>
          <w:rFonts w:ascii="Calibri" w:cs="Calibri" w:eastAsia="Calibri" w:hAnsi="Calibri"/>
          <w:color w:val="1E293B"/>
          <w:sz w:val="22"/>
          <w:szCs w:val="22"/>
        </w:rPr>
        <w:t xml:space="preserve">Total revenue is approximately USD 233K and the dataset contains approximately 3.9K customers.</w:t>
      </w:r>
    </w:p>
    <w:p>
      <w:pPr>
        <w:pStyle w:val="ListParagraph"/>
        <w:numPr>
          <w:ilvl w:val="0"/>
          <w:numId w:val="2"/>
        </w:numPr>
        <w:spacing w:after="120"/>
      </w:pPr>
      <w:r>
        <w:rPr>
          <w:rFonts w:ascii="Calibri" w:cs="Calibri" w:eastAsia="Calibri" w:hAnsi="Calibri"/>
          <w:color w:val="1E293B"/>
          <w:sz w:val="22"/>
          <w:szCs w:val="22"/>
        </w:rPr>
        <w:t xml:space="preserve">Clothing is the leading revenue-generating category; Accessories and Footwear also contribute meaningfully.</w:t>
      </w:r>
    </w:p>
    <w:p>
      <w:pPr>
        <w:pStyle w:val="ListParagraph"/>
        <w:numPr>
          <w:ilvl w:val="0"/>
          <w:numId w:val="2"/>
        </w:numPr>
        <w:spacing w:after="120"/>
      </w:pPr>
      <w:r>
        <w:rPr>
          <w:rFonts w:ascii="Calibri" w:cs="Calibri" w:eastAsia="Calibri" w:hAnsi="Calibri"/>
          <w:color w:val="1E293B"/>
          <w:sz w:val="22"/>
          <w:szCs w:val="22"/>
        </w:rPr>
        <w:t xml:space="preserve">The 55+ age group contributes the highest revenue, indicating strong purchasing power in this segment.</w:t>
      </w:r>
    </w:p>
    <w:p>
      <w:pPr>
        <w:pStyle w:val="ListParagraph"/>
        <w:numPr>
          <w:ilvl w:val="0"/>
          <w:numId w:val="2"/>
        </w:numPr>
        <w:spacing w:after="120"/>
      </w:pPr>
      <w:r>
        <w:rPr>
          <w:rFonts w:ascii="Calibri" w:cs="Calibri" w:eastAsia="Calibri" w:hAnsi="Calibri"/>
          <w:color w:val="1E293B"/>
          <w:sz w:val="22"/>
          <w:szCs w:val="22"/>
        </w:rPr>
        <w:t xml:space="preserve">High Value and Medium Value segments account for a substantial share of revenue.</w:t>
      </w:r>
    </w:p>
    <w:p>
      <w:pPr>
        <w:pStyle w:val="ListParagraph"/>
        <w:numPr>
          <w:ilvl w:val="0"/>
          <w:numId w:val="2"/>
        </w:numPr>
        <w:spacing w:after="120"/>
      </w:pPr>
      <w:r>
        <w:rPr>
          <w:rFonts w:ascii="Calibri" w:cs="Calibri" w:eastAsia="Calibri" w:hAnsi="Calibri"/>
          <w:color w:val="1E293B"/>
          <w:sz w:val="22"/>
          <w:szCs w:val="22"/>
        </w:rPr>
        <w:t xml:space="preserve">Revenue is relatively consistent across seasons, while payment preferences vary across age groups.</w:t>
      </w:r>
    </w:p>
    <w:p>
      <w:pPr>
        <w:pStyle w:val="ListParagraph"/>
        <w:numPr>
          <w:ilvl w:val="0"/>
          <w:numId w:val="2"/>
        </w:numPr>
        <w:spacing w:after="120"/>
      </w:pPr>
      <w:r>
        <w:rPr>
          <w:rFonts w:ascii="Calibri" w:cs="Calibri" w:eastAsia="Calibri" w:hAnsi="Calibri"/>
          <w:color w:val="1E293B"/>
          <w:sz w:val="22"/>
          <w:szCs w:val="22"/>
        </w:rPr>
        <w:t xml:space="preserve">Revenue varies by location, providing a basis for market prioritization.</w:t>
      </w:r>
    </w:p>
    <w:p>
      <w:pPr>
        <w:pStyle w:val="Heading1"/>
        <w:spacing w:after="160" w:before="320"/>
      </w:pPr>
      <w:r>
        <w:rPr>
          <w:rFonts w:ascii="Cambria" w:cs="Cambria" w:eastAsia="Cambria" w:hAnsi="Cambria"/>
          <w:b/>
          <w:bCs/>
          <w:color w:val="013A40"/>
          <w:sz w:val="30"/>
          <w:szCs w:val="30"/>
        </w:rPr>
        <w:t xml:space="preserve">Business Recommendations</w:t>
      </w:r>
    </w:p>
    <w:p>
      <w:pPr>
        <w:pStyle w:val="ListParagraph"/>
        <w:numPr>
          <w:ilvl w:val="0"/>
          <w:numId w:val="2"/>
        </w:numPr>
        <w:spacing w:after="120"/>
      </w:pPr>
      <w:r>
        <w:rPr>
          <w:rFonts w:ascii="Calibri" w:cs="Calibri" w:eastAsia="Calibri" w:hAnsi="Calibri"/>
          <w:color w:val="1E293B"/>
          <w:sz w:val="22"/>
          <w:szCs w:val="22"/>
        </w:rPr>
        <w:t xml:space="preserve">Introduce loyalty rewards and personalized offers for High Value customers.</w:t>
      </w:r>
    </w:p>
    <w:p>
      <w:pPr>
        <w:pStyle w:val="ListParagraph"/>
        <w:numPr>
          <w:ilvl w:val="0"/>
          <w:numId w:val="2"/>
        </w:numPr>
        <w:spacing w:after="120"/>
      </w:pPr>
      <w:r>
        <w:rPr>
          <w:rFonts w:ascii="Calibri" w:cs="Calibri" w:eastAsia="Calibri" w:hAnsi="Calibri"/>
          <w:color w:val="1E293B"/>
          <w:sz w:val="22"/>
          <w:szCs w:val="22"/>
        </w:rPr>
        <w:t xml:space="preserve">Use bundles and cross-selling to convert Medium Value customers into High Value customers.</w:t>
      </w:r>
    </w:p>
    <w:p>
      <w:pPr>
        <w:pStyle w:val="ListParagraph"/>
        <w:numPr>
          <w:ilvl w:val="0"/>
          <w:numId w:val="2"/>
        </w:numPr>
        <w:spacing w:after="120"/>
      </w:pPr>
      <w:r>
        <w:rPr>
          <w:rFonts w:ascii="Calibri" w:cs="Calibri" w:eastAsia="Calibri" w:hAnsi="Calibri"/>
          <w:color w:val="1E293B"/>
          <w:sz w:val="22"/>
          <w:szCs w:val="22"/>
        </w:rPr>
        <w:t xml:space="preserve">Apply targeted coupons to Low Value customers to improve conversion without reducing margins broadly.</w:t>
      </w:r>
    </w:p>
    <w:p>
      <w:pPr>
        <w:pStyle w:val="ListParagraph"/>
        <w:numPr>
          <w:ilvl w:val="0"/>
          <w:numId w:val="2"/>
        </w:numPr>
        <w:spacing w:after="120"/>
      </w:pPr>
      <w:r>
        <w:rPr>
          <w:rFonts w:ascii="Calibri" w:cs="Calibri" w:eastAsia="Calibri" w:hAnsi="Calibri"/>
          <w:color w:val="1E293B"/>
          <w:sz w:val="22"/>
          <w:szCs w:val="22"/>
        </w:rPr>
        <w:t xml:space="preserve">Prioritize high-performing categories and locations for inventory allocation and promotional planning.</w:t>
      </w:r>
    </w:p>
    <w:p>
      <w:pPr>
        <w:pStyle w:val="ListParagraph"/>
        <w:numPr>
          <w:ilvl w:val="0"/>
          <w:numId w:val="2"/>
        </w:numPr>
        <w:spacing w:after="120"/>
      </w:pPr>
      <w:r>
        <w:rPr>
          <w:rFonts w:ascii="Calibri" w:cs="Calibri" w:eastAsia="Calibri" w:hAnsi="Calibri"/>
          <w:color w:val="1E293B"/>
          <w:sz w:val="22"/>
          <w:szCs w:val="22"/>
        </w:rPr>
        <w:t xml:space="preserve">Create age-specific campaigns and payment-method offers based on observed customer behavior.</w:t>
      </w:r>
    </w:p>
    <w:p>
      <w:pPr>
        <w:pStyle w:val="Heading1"/>
        <w:spacing w:after="160" w:before="320"/>
      </w:pPr>
      <w:r>
        <w:rPr>
          <w:rFonts w:ascii="Cambria" w:cs="Cambria" w:eastAsia="Cambria" w:hAnsi="Cambria"/>
          <w:b/>
          <w:bCs/>
          <w:color w:val="013A40"/>
          <w:sz w:val="30"/>
          <w:szCs w:val="30"/>
        </w:rPr>
        <w:t xml:space="preserve">Dashboard Screenshots</w:t>
      </w:r>
    </w:p>
    <w:p>
      <w:pPr>
        <w:spacing w:after="160" w:line="280"/>
      </w:pPr>
      <w:r>
        <w:rPr>
          <w:rFonts w:ascii="Calibri" w:cs="Calibri" w:eastAsia="Calibri" w:hAnsi="Calibri"/>
          <w:color w:val="1E293B"/>
          <w:sz w:val="22"/>
          <w:szCs w:val="22"/>
        </w:rPr>
        <w:t xml:space="preserve">The three dashboard pages below summarize the executive overview, customer behavior analysis, and customer segmentation with recommendations.</w:t>
      </w:r>
    </w:p>
    <w:p>
      <w:pPr>
        <w:pStyle w:val="Heading2"/>
        <w:spacing w:after="120" w:before="200"/>
      </w:pPr>
      <w:r>
        <w:rPr>
          <w:rFonts w:ascii="Cambria" w:cs="Cambria" w:eastAsia="Cambria" w:hAnsi="Cambria"/>
          <w:b/>
          <w:bCs/>
          <w:color w:val="028090"/>
          <w:sz w:val="24"/>
          <w:szCs w:val="24"/>
        </w:rPr>
        <w:t xml:space="preserve">Dashboard Page 1 — Executive Business Overview</w:t>
      </w:r>
    </w:p>
    <w:p>
      <w:pPr>
        <w:spacing w:after="80"/>
        <w:jc w:val="center"/>
      </w:pPr>
      <w:r>
        <w:drawing>
          <wp:inline distT="0" distB="0" distL="0" distR="0">
            <wp:extent cx="5905500" cy="3257550"/>
            <wp:effectExtent t="0" r="0" b="0" l="0"/>
            <wp:docPr id="1" name="Dashboard_Page_1.png" descr="Dashboard_Page_1.png" title="Dashboard_Pag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57550"/>
                    </a:xfrm>
                    <a:prstGeom prst="rect">
                      <a:avLst/>
                    </a:prstGeom>
                  </pic:spPr>
                </pic:pic>
              </a:graphicData>
            </a:graphic>
          </wp:inline>
        </w:drawing>
      </w:r>
    </w:p>
    <w:p>
      <w:pPr>
        <w:spacing w:after="280"/>
        <w:jc w:val="center"/>
      </w:pPr>
      <w:r>
        <w:rPr>
          <w:rFonts w:ascii="Calibri" w:cs="Calibri" w:eastAsia="Calibri" w:hAnsi="Calibri"/>
          <w:color w:val="5B7480"/>
          <w:sz w:val="18"/>
          <w:szCs w:val="18"/>
        </w:rPr>
        <w:t xml:space="preserve">Core KPIs and revenue contribution by category, payment method and gender.</w:t>
      </w:r>
    </w:p>
    <w:p>
      <w:pPr>
        <w:pStyle w:val="Heading2"/>
        <w:spacing w:after="120" w:before="200"/>
      </w:pPr>
      <w:r>
        <w:rPr>
          <w:rFonts w:ascii="Cambria" w:cs="Cambria" w:eastAsia="Cambria" w:hAnsi="Cambria"/>
          <w:b/>
          <w:bCs/>
          <w:color w:val="028090"/>
          <w:sz w:val="24"/>
          <w:szCs w:val="24"/>
        </w:rPr>
        <w:t xml:space="preserve">Dashboard Page 2 — Customer Behavior Analysis</w:t>
      </w:r>
    </w:p>
    <w:p>
      <w:pPr>
        <w:spacing w:after="80"/>
        <w:jc w:val="center"/>
      </w:pPr>
      <w:r>
        <w:drawing>
          <wp:inline distT="0" distB="0" distL="0" distR="0">
            <wp:extent cx="5905500" cy="3267075"/>
            <wp:effectExtent t="0" r="0" b="0" l="0"/>
            <wp:docPr id="1" name="Dashboard_Page_2.png" descr="Dashboard_Page_2.png" title="Dashboard_Pag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67075"/>
                    </a:xfrm>
                    <a:prstGeom prst="rect">
                      <a:avLst/>
                    </a:prstGeom>
                  </pic:spPr>
                </pic:pic>
              </a:graphicData>
            </a:graphic>
          </wp:inline>
        </w:drawing>
      </w:r>
    </w:p>
    <w:p>
      <w:pPr>
        <w:spacing w:after="280"/>
        <w:jc w:val="center"/>
      </w:pPr>
      <w:r>
        <w:rPr>
          <w:rFonts w:ascii="Calibri" w:cs="Calibri" w:eastAsia="Calibri" w:hAnsi="Calibri"/>
          <w:color w:val="5B7480"/>
          <w:sz w:val="18"/>
          <w:szCs w:val="18"/>
        </w:rPr>
        <w:t xml:space="preserve">Spending by age group, revenue by location, category and season.</w:t>
      </w:r>
    </w:p>
    <w:p>
      <w:pPr>
        <w:pStyle w:val="Heading2"/>
        <w:spacing w:after="120" w:before="200"/>
      </w:pPr>
      <w:r>
        <w:rPr>
          <w:rFonts w:ascii="Cambria" w:cs="Cambria" w:eastAsia="Cambria" w:hAnsi="Cambria"/>
          <w:b/>
          <w:bCs/>
          <w:color w:val="028090"/>
          <w:sz w:val="24"/>
          <w:szCs w:val="24"/>
        </w:rPr>
        <w:t xml:space="preserve">Dashboard Page 3 — Customer Segmentation &amp; Recommendations</w:t>
      </w:r>
    </w:p>
    <w:p>
      <w:pPr>
        <w:spacing w:after="80"/>
        <w:jc w:val="center"/>
      </w:pPr>
      <w:r>
        <w:drawing>
          <wp:inline distT="0" distB="0" distL="0" distR="0">
            <wp:extent cx="5905500" cy="3276600"/>
            <wp:effectExtent t="0" r="0" b="0" l="0"/>
            <wp:docPr id="1" name="Dashboard_Page_3.png" descr="Dashboard_Page_3.png" title="Dashboard_Pag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276600"/>
                    </a:xfrm>
                    <a:prstGeom prst="rect">
                      <a:avLst/>
                    </a:prstGeom>
                  </pic:spPr>
                </pic:pic>
              </a:graphicData>
            </a:graphic>
          </wp:inline>
        </w:drawing>
      </w:r>
    </w:p>
    <w:p>
      <w:pPr>
        <w:spacing w:after="160"/>
        <w:jc w:val="center"/>
      </w:pPr>
      <w:r>
        <w:rPr>
          <w:rFonts w:ascii="Calibri" w:cs="Calibri" w:eastAsia="Calibri" w:hAnsi="Calibri"/>
          <w:color w:val="5B7480"/>
          <w:sz w:val="18"/>
          <w:szCs w:val="18"/>
        </w:rPr>
        <w:t xml:space="preserve">Segment distribution, revenue share by segment and top revenue-generating locations.</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E3" w:sz="4" w:space="4"/>
      </w:pBdr>
      <w:jc w:val="center"/>
    </w:pPr>
    <w:r>
      <w:rPr>
        <w:rFonts w:ascii="Calibri" w:cs="Calibri" w:eastAsia="Calibri" w:hAnsi="Calibri"/>
        <w:color w:val="5B7480"/>
        <w:sz w:val="16"/>
        <w:szCs w:val="16"/>
      </w:rPr>
      <w:t xml:space="preserve">Page </w:t>
    </w:r>
    <w:r>
      <w:rPr>
        <w:rFonts w:ascii="Calibri" w:cs="Calibri" w:eastAsia="Calibri" w:hAnsi="Calibri"/>
        <w:color w:val="5B7480"/>
        <w:sz w:val="16"/>
        <w:szCs w:val="16"/>
      </w:rPr>
      <w:fldChar w:fldCharType="begin"/>
      <w:instrText xml:space="preserve">PAGE</w:instrText>
      <w:fldChar w:fldCharType="separate"/>
      <w:fldChar w:fldCharType="end"/>
    </w:r>
    <w:r>
      <w:rPr>
        <w:rFonts w:ascii="Calibri" w:cs="Calibri" w:eastAsia="Calibri" w:hAnsi="Calibri"/>
        <w:color w:val="5B7480"/>
        <w:sz w:val="16"/>
        <w:szCs w:val="16"/>
      </w:rPr>
      <w:t xml:space="preserve"> of </w:t>
    </w:r>
    <w:r>
      <w:rPr>
        <w:rFonts w:ascii="Calibri" w:cs="Calibri" w:eastAsia="Calibri" w:hAnsi="Calibri"/>
        <w:color w:val="5B74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3E3" w:sz="4" w:space="4"/>
      </w:pBdr>
      <w:tabs>
        <w:tab w:val="right" w:pos="9026"/>
      </w:tabs>
    </w:pPr>
    <w:r>
      <w:rPr>
        <w:rFonts w:ascii="Calibri" w:cs="Calibri" w:eastAsia="Calibri" w:hAnsi="Calibri"/>
        <w:color w:val="5B7480"/>
        <w:sz w:val="16"/>
        <w:szCs w:val="16"/>
      </w:rPr>
      <w:t xml:space="preserve">Customer Segmentation &amp; Purchase Behavior Analysis</w:t>
    </w:r>
    <w:r>
      <w:rPr>
        <w:rFonts w:ascii="Calibri" w:cs="Calibri" w:eastAsia="Calibri" w:hAnsi="Calibri"/>
        <w:color w:val="5B7480"/>
        <w:sz w:val="16"/>
        <w:szCs w:val="16"/>
      </w:rPr>
      <w:t xml:space="preserve">	Client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028090"/>
      </w:r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mbria" w:cs="Cambria" w:eastAsia="Cambria" w:hAnsi="Cambria"/>
      <w:b/>
      <w:bCs/>
      <w:color w:val="013A40"/>
      <w:sz w:val="30"/>
      <w:szCs w:val="30"/>
    </w:rPr>
  </w:style>
  <w:style w:type="paragraph" w:styleId="Heading2">
    <w:name w:val="Heading 2"/>
    <w:basedOn w:val="Normal"/>
    <w:next w:val="Normal"/>
    <w:qFormat/>
    <w:pPr>
      <w:spacing w:after="120" w:before="200"/>
      <w:outlineLvl w:val="1"/>
    </w:pPr>
    <w:rPr>
      <w:rFonts w:ascii="Cambria" w:cs="Cambria" w:eastAsia="Cambria" w:hAnsi="Cambria"/>
      <w:b/>
      <w:bCs/>
      <w:color w:val="02809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aefafef5de1ff12d7f6097ba477d8900dca3d113.png"/><Relationship Id="rId12" Type="http://schemas.openxmlformats.org/officeDocument/2006/relationships/image" Target="media/b1ca7d9cdb73d74561a5acbea39b7d8fcbd1f1e0.png"/><Relationship Id="rId13" Type="http://schemas.openxmlformats.org/officeDocument/2006/relationships/image" Target="media/ce8f2ec1d6567f8c3eac679ababaf20eb8645f0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Segmentation &amp; Purchase Behavior Analysis</dc:title>
  <dc:creator>Client Project</dc:creator>
  <cp:lastModifiedBy>Un-named</cp:lastModifiedBy>
  <cp:revision>1</cp:revision>
  <dcterms:created xsi:type="dcterms:W3CDTF">2026-06-27T04:49:00.595Z</dcterms:created>
  <dcterms:modified xsi:type="dcterms:W3CDTF">2026-06-27T04:49:00.595Z</dcterms:modified>
</cp:coreProperties>
</file>

<file path=docProps/custom.xml><?xml version="1.0" encoding="utf-8"?>
<Properties xmlns="http://schemas.openxmlformats.org/officeDocument/2006/custom-properties" xmlns:vt="http://schemas.openxmlformats.org/officeDocument/2006/docPropsVTypes"/>
</file>