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1C86" w14:textId="77777777" w:rsidR="00AB6390" w:rsidRDefault="00000000">
      <w:pPr>
        <w:jc w:val="center"/>
      </w:pPr>
      <w:r>
        <w:rPr>
          <w:b/>
          <w:color w:val="2F356B"/>
          <w:sz w:val="52"/>
        </w:rPr>
        <w:t>RAG-Powered Enterprise Policy Q&amp;A System</w:t>
      </w:r>
    </w:p>
    <w:p w14:paraId="2B21E6E5" w14:textId="77777777" w:rsidR="00AB6390" w:rsidRDefault="00000000">
      <w:pPr>
        <w:jc w:val="center"/>
      </w:pPr>
      <w:r>
        <w:rPr>
          <w:color w:val="555555"/>
          <w:sz w:val="28"/>
        </w:rPr>
        <w:t>Build Report &amp; Stress-Test Evaluation — EnterPrise TLDR</w:t>
      </w:r>
    </w:p>
    <w:p w14:paraId="4EA3AB18" w14:textId="77777777" w:rsidR="00AB6390" w:rsidRDefault="00AB6390"/>
    <w:p w14:paraId="77E7A004" w14:textId="77777777" w:rsidR="00AB6390" w:rsidRDefault="00000000">
      <w:pPr>
        <w:jc w:val="center"/>
      </w:pPr>
      <w:r>
        <w:rPr>
          <w:color w:val="555555"/>
          <w:sz w:val="20"/>
        </w:rPr>
        <w:t>Pipeline: LangChain + Pinecone + OpenAI</w:t>
      </w:r>
      <w:r>
        <w:rPr>
          <w:color w:val="555555"/>
          <w:sz w:val="20"/>
        </w:rPr>
        <w:br/>
        <w:t>Knowledge base: 51 enterprise policy documents (154 chunks)</w:t>
      </w:r>
      <w:r>
        <w:rPr>
          <w:color w:val="555555"/>
          <w:sz w:val="20"/>
        </w:rPr>
        <w:br/>
        <w:t>Generation model: gpt-4.1-mini  |  Embedding model: text-embedding-3-small (512-dim)</w:t>
      </w:r>
    </w:p>
    <w:p w14:paraId="0BF2B3AA" w14:textId="77777777" w:rsidR="00AB6390" w:rsidRDefault="00000000">
      <w:r>
        <w:br w:type="page"/>
      </w:r>
    </w:p>
    <w:p w14:paraId="78E33E1F" w14:textId="77777777" w:rsidR="00AB6390" w:rsidRDefault="00000000">
      <w:pPr>
        <w:pStyle w:val="Heading1"/>
      </w:pPr>
      <w:r>
        <w:rPr>
          <w:color w:val="2F356B"/>
        </w:rPr>
        <w:t>1. Overview</w:t>
      </w:r>
    </w:p>
    <w:p w14:paraId="40D32266" w14:textId="77777777" w:rsidR="00AB6390" w:rsidRDefault="00000000">
      <w:r>
        <w:t>EnterPrise TLDR is a Retrieval-Augmented Generation (RAG) Q&amp;A system that lets employees ask natural-language questions about internal company policies (HR, IT, Finance, Legal, Facilities, Marketing, and Sales operations) and receive concise, policy-grounded answers with cited sources.</w:t>
      </w:r>
    </w:p>
    <w:p w14:paraId="7EDB758C" w14:textId="77777777" w:rsidR="00AB6390" w:rsidRDefault="00000000">
      <w:r>
        <w:t>The system was built end-to-end with a guided RAG starter pattern (Pinecone vector database + LangChain orchestration + OpenAI models), and is exposed through both a Jupyter notebook (Policy_RAG_pipeline.ipynb, used for indexing and pipeline development) and a Streamlit web application (app.py, the end-user chat interface).</w:t>
      </w:r>
    </w:p>
    <w:p w14:paraId="44397B8A" w14:textId="77777777" w:rsidR="00AB6390" w:rsidRDefault="00000000">
      <w:r>
        <w:t>This document describes the pipeline architecture, the indexing/retrieval/reranking strategy, and the results of a 15-question stress test covering straightforward questions, multi-document questions, ambiguous queries, and questions the knowledge base cannot answer.</w:t>
      </w:r>
    </w:p>
    <w:p w14:paraId="6C452463" w14:textId="77777777" w:rsidR="00AB6390" w:rsidRDefault="00000000">
      <w:pPr>
        <w:pStyle w:val="Heading1"/>
      </w:pPr>
      <w:r>
        <w:rPr>
          <w:color w:val="2F356B"/>
        </w:rPr>
        <w:t>2. Source Documents &amp; Ingestion</w:t>
      </w:r>
    </w:p>
    <w:p w14:paraId="3391E034" w14:textId="77777777" w:rsidR="00AB6390" w:rsidRDefault="00000000">
      <w:pPr>
        <w:pStyle w:val="Heading2"/>
      </w:pPr>
      <w:r>
        <w:rPr>
          <w:color w:val="2F356B"/>
        </w:rPr>
        <w:t>2.1 Knowledge Base</w:t>
      </w:r>
    </w:p>
    <w:p w14:paraId="7E52F67D" w14:textId="77777777" w:rsidR="00AB6390" w:rsidRDefault="00000000">
      <w:r>
        <w:t>The knowledge base (policies.json) contains 51 enterprise policy documents spanning seven department areas:</w:t>
      </w:r>
    </w:p>
    <w:p w14:paraId="4FC7242D" w14:textId="77777777" w:rsidR="00AB6390" w:rsidRDefault="00000000">
      <w:pPr>
        <w:pStyle w:val="ListBullet"/>
      </w:pPr>
      <w:r>
        <w:t>Human Resources (leave, onboarding, performance, compensation, termination, anti-harassment, diversity &amp; inclusion, training)</w:t>
      </w:r>
    </w:p>
    <w:p w14:paraId="25C3BB79" w14:textId="77777777" w:rsidR="00AB6390" w:rsidRDefault="00000000">
      <w:pPr>
        <w:pStyle w:val="ListBullet"/>
      </w:pPr>
      <w:r>
        <w:t>Information Technology (security, passwords, BYOD, cloud usage, software licensing, network access, data backup, asset management)</w:t>
      </w:r>
    </w:p>
    <w:p w14:paraId="60FBE4BA" w14:textId="77777777" w:rsidR="00AB6390" w:rsidRDefault="00000000">
      <w:pPr>
        <w:pStyle w:val="ListBullet"/>
      </w:pPr>
      <w:r>
        <w:t>Finance (expenses, procurement, invoicing, budgets, corporate cards, financial reporting)</w:t>
      </w:r>
    </w:p>
    <w:p w14:paraId="3A829042" w14:textId="77777777" w:rsidR="00AB6390" w:rsidRDefault="00000000">
      <w:pPr>
        <w:pStyle w:val="ListBullet"/>
      </w:pPr>
      <w:r>
        <w:t>Legal &amp; Compliance (data privacy, intellectual property, whistleblower, anti-bribery, export control, records retention)</w:t>
      </w:r>
    </w:p>
    <w:p w14:paraId="3DE501E7" w14:textId="77777777" w:rsidR="00AB6390" w:rsidRDefault="00000000">
      <w:pPr>
        <w:pStyle w:val="ListBullet"/>
      </w:pPr>
      <w:r>
        <w:t>Facilities (health &amp; safety, visitor access, emergency preparedness, physical security, dress code, workspace, sustainability)</w:t>
      </w:r>
    </w:p>
    <w:p w14:paraId="1586D12A" w14:textId="77777777" w:rsidR="00AB6390" w:rsidRDefault="00000000">
      <w:pPr>
        <w:pStyle w:val="ListBullet"/>
      </w:pPr>
      <w:r>
        <w:t>Marketing (social media, brand/trademark, customer data handling)</w:t>
      </w:r>
    </w:p>
    <w:p w14:paraId="7012EE5A" w14:textId="77777777" w:rsidR="00AB6390" w:rsidRDefault="00000000">
      <w:pPr>
        <w:pStyle w:val="ListBullet"/>
      </w:pPr>
      <w:r>
        <w:t>Sales (commission policy, vendor management)</w:t>
      </w:r>
    </w:p>
    <w:p w14:paraId="214EF872" w14:textId="77777777" w:rsidR="00AB6390" w:rsidRDefault="00000000">
      <w:r>
        <w:t>Each policy document carries structured metadata used for filtering and display:</w:t>
      </w:r>
    </w:p>
    <w:p w14:paraId="6D9DE9BB" w14:textId="77777777" w:rsidR="00AB6390" w:rsidRDefault="00000000">
      <w:pPr>
        <w:pStyle w:val="ListBullet"/>
      </w:pPr>
      <w:r>
        <w:t>department_area — e.g. “Human Resources”, “Information Technology”</w:t>
      </w:r>
    </w:p>
    <w:p w14:paraId="5E1C8D3D" w14:textId="77777777" w:rsidR="00AB6390" w:rsidRDefault="00000000">
      <w:pPr>
        <w:pStyle w:val="ListBullet"/>
      </w:pPr>
      <w:r>
        <w:t>policy_type — e.g. “hr_leave”, “it_security”</w:t>
      </w:r>
    </w:p>
    <w:p w14:paraId="086342FE" w14:textId="77777777" w:rsidR="00AB6390" w:rsidRDefault="00000000">
      <w:pPr>
        <w:pStyle w:val="ListBullet"/>
      </w:pPr>
      <w:r>
        <w:t>employee_level — “IC” or “manager” (9 sensitive policies are manager-only)</w:t>
      </w:r>
    </w:p>
    <w:p w14:paraId="630DB7FA" w14:textId="77777777" w:rsidR="00AB6390" w:rsidRDefault="00000000">
      <w:pPr>
        <w:pStyle w:val="ListBullet"/>
      </w:pPr>
      <w:r>
        <w:t>status — e.g. “active”</w:t>
      </w:r>
    </w:p>
    <w:p w14:paraId="2057EA62" w14:textId="77777777" w:rsidR="00AB6390" w:rsidRDefault="00000000">
      <w:pPr>
        <w:pStyle w:val="ListBullet"/>
      </w:pPr>
      <w:r>
        <w:t>title — the policy document’s display name</w:t>
      </w:r>
    </w:p>
    <w:p w14:paraId="67C76F0A" w14:textId="77777777" w:rsidR="00AB6390" w:rsidRDefault="00000000">
      <w:pPr>
        <w:pStyle w:val="Heading2"/>
      </w:pPr>
      <w:r>
        <w:rPr>
          <w:color w:val="2F356B"/>
        </w:rPr>
        <w:t>2.2 Chunking</w:t>
      </w:r>
    </w:p>
    <w:p w14:paraId="68FBD0BC" w14:textId="77777777" w:rsidR="00AB6390" w:rsidRDefault="00000000">
      <w:r>
        <w:t>Documents are split using LangChain's RecursiveCharacterTextSplitter with:</w:t>
      </w:r>
    </w:p>
    <w:p w14:paraId="1F83B10A" w14:textId="497D19E5" w:rsidR="00AB6390" w:rsidRDefault="00000000">
      <w:pPr>
        <w:pStyle w:val="ListBullet"/>
      </w:pPr>
      <w:proofErr w:type="spellStart"/>
      <w:r>
        <w:t>chunk_size</w:t>
      </w:r>
      <w:proofErr w:type="spellEnd"/>
      <w:r>
        <w:t xml:space="preserve"> = </w:t>
      </w:r>
      <w:r w:rsidR="007169BC">
        <w:t>400</w:t>
      </w:r>
      <w:r>
        <w:t xml:space="preserve"> characters</w:t>
      </w:r>
    </w:p>
    <w:p w14:paraId="1A2B7FF6" w14:textId="170314B6" w:rsidR="00AB6390" w:rsidRDefault="00000000">
      <w:pPr>
        <w:pStyle w:val="ListBullet"/>
      </w:pPr>
      <w:r>
        <w:t xml:space="preserve">chunk_overlap = </w:t>
      </w:r>
      <w:r w:rsidR="007169BC">
        <w:t>50</w:t>
      </w:r>
      <w:r>
        <w:t xml:space="preserve"> characters</w:t>
      </w:r>
    </w:p>
    <w:p w14:paraId="11D8C41B" w14:textId="77777777" w:rsidR="00AB6390" w:rsidRDefault="00000000">
      <w:pPr>
        <w:pStyle w:val="ListBullet"/>
      </w:pPr>
      <w:r>
        <w:t>add_start_index = True (each chunk records its character offset in the source document)</w:t>
      </w:r>
    </w:p>
    <w:p w14:paraId="43E7FB14" w14:textId="77777777" w:rsidR="00AB6390" w:rsidRDefault="00000000">
      <w:r>
        <w:t>This produced 154 chunks from the 51 source documents (average ~3 chunks per policy). The 100-character overlap helps preserve context across chunk boundaries — e.g. a sentence describing an approval threshold that starts in one chunk and concludes in the next is unlikely to be fully lost.</w:t>
      </w:r>
    </w:p>
    <w:p w14:paraId="3597FBBE" w14:textId="77777777" w:rsidR="00AB6390" w:rsidRDefault="00000000">
      <w:pPr>
        <w:pStyle w:val="Heading2"/>
      </w:pPr>
      <w:r>
        <w:rPr>
          <w:color w:val="2F356B"/>
        </w:rPr>
        <w:t>2.3 Embeddings &amp; Vector Store</w:t>
      </w:r>
    </w:p>
    <w:p w14:paraId="22A17AD2" w14:textId="77777777" w:rsidR="00AB6390" w:rsidRDefault="00000000">
      <w:pPr>
        <w:pStyle w:val="ListBullet"/>
      </w:pPr>
      <w:r>
        <w:t>Embedding model: OpenAI text-embedding-3-small, truncated to 512 dimensions (dimensions=512) to balance retrieval quality with storage/cost.</w:t>
      </w:r>
    </w:p>
    <w:p w14:paraId="27F1991E" w14:textId="77777777" w:rsidR="00AB6390" w:rsidRDefault="00000000">
      <w:pPr>
        <w:pStyle w:val="ListBullet"/>
      </w:pPr>
      <w:r>
        <w:t>Vector database: Pinecone, index “enter-prise-company-policies” (cosine similarity metric).</w:t>
      </w:r>
    </w:p>
    <w:p w14:paraId="7A8BCAAB" w14:textId="77777777" w:rsidR="00AB6390" w:rsidRDefault="00000000">
      <w:pPr>
        <w:pStyle w:val="ListBullet"/>
      </w:pPr>
      <w:r>
        <w:t>Each chunk is stored with a deterministic ID of the form “{policy title}::{start_index}”, so re-running the ingestion cell is idempotent (no duplicate vectors).</w:t>
      </w:r>
    </w:p>
    <w:p w14:paraId="5FEAF9DB" w14:textId="77777777" w:rsidR="00AB6390" w:rsidRDefault="00000000">
      <w:pPr>
        <w:pStyle w:val="ListBullet"/>
      </w:pPr>
      <w:r>
        <w:t>Namespace: “enter-prise-company-policies”, currently holding 154 vectors.</w:t>
      </w:r>
    </w:p>
    <w:p w14:paraId="54802A70" w14:textId="77777777" w:rsidR="00AB6390" w:rsidRDefault="00000000">
      <w:pPr>
        <w:pStyle w:val="Heading1"/>
      </w:pPr>
      <w:r>
        <w:rPr>
          <w:color w:val="2F356B"/>
        </w:rPr>
        <w:t>3. Retrieval, Relevance Gating &amp; Reranking Strategy</w:t>
      </w:r>
    </w:p>
    <w:p w14:paraId="53E8E965" w14:textId="77777777" w:rsidR="00AB6390" w:rsidRDefault="00000000">
      <w:pPr>
        <w:pStyle w:val="Heading2"/>
      </w:pPr>
      <w:r>
        <w:rPr>
          <w:color w:val="2F356B"/>
        </w:rPr>
        <w:t>3.1 Candidate Retrieval</w:t>
      </w:r>
    </w:p>
    <w:p w14:paraId="294EB84F" w14:textId="77777777" w:rsidR="00AB6390" w:rsidRDefault="00000000">
      <w:r>
        <w:t>For each user question, the system runs vector_store.similarity_search_with_score() to retrieve the top 10 most similar chunks (RETRIEVAL_K = 10) by cosine similarity between the question embedding and chunk embeddings.</w:t>
      </w:r>
    </w:p>
    <w:p w14:paraId="4C0188C3" w14:textId="77777777" w:rsidR="00AB6390" w:rsidRDefault="00000000">
      <w:pPr>
        <w:pStyle w:val="Heading2"/>
      </w:pPr>
      <w:r>
        <w:rPr>
          <w:color w:val="2F356B"/>
        </w:rPr>
        <w:t>3.2 Relevance Gate (Out-of-Scope Detection)</w:t>
      </w:r>
    </w:p>
    <w:p w14:paraId="71E8876A" w14:textId="77777777" w:rsidR="00AB6390" w:rsidRDefault="00000000">
      <w:r>
        <w:t>Before generating any answer, the system checks the similarity score of the single best-matching chunk against a fixed threshold (SCORE_THRESHOLD = 0.45):</w:t>
      </w:r>
    </w:p>
    <w:p w14:paraId="009FE0E7" w14:textId="77777777" w:rsidR="00AB6390" w:rsidRDefault="00000000">
      <w:pPr>
        <w:pStyle w:val="ListBullet"/>
      </w:pPr>
      <w:r>
        <w:t>If the top score is below 0.45, the system immediately returns: “I don't have that information about this.” — without calling the LLM.</w:t>
      </w:r>
    </w:p>
    <w:p w14:paraId="1083A6E8" w14:textId="77777777" w:rsidR="00AB6390" w:rsidRDefault="00000000">
      <w:pPr>
        <w:pStyle w:val="ListBullet"/>
      </w:pPr>
      <w:r>
        <w:t>This acts as a cheap, deterministic guardrail against hallucination on out-of-domain questions (e.g. customer-order/shipping questions, or topics entirely outside the policy knowledge base).</w:t>
      </w:r>
    </w:p>
    <w:p w14:paraId="25A6D379" w14:textId="77777777" w:rsidR="00AB6390" w:rsidRDefault="00000000">
      <w:pPr>
        <w:pStyle w:val="Heading2"/>
      </w:pPr>
      <w:r>
        <w:rPr>
          <w:color w:val="2F356B"/>
        </w:rPr>
        <w:t>3.3 Hybrid Reranking</w:t>
      </w:r>
    </w:p>
    <w:p w14:paraId="0C0B88FD" w14:textId="77777777" w:rsidR="00AB6390" w:rsidRDefault="00000000">
      <w:r>
        <w:t>If the relevance gate passes, the 10 candidate chunks are reranked using a hybrid score that combines:</w:t>
      </w:r>
    </w:p>
    <w:p w14:paraId="3192FA56" w14:textId="77777777" w:rsidR="00AB6390" w:rsidRDefault="00000000">
      <w:pPr>
        <w:pStyle w:val="ListBullet"/>
      </w:pPr>
      <w:r>
        <w:t>Vector similarity score (cosine similarity from Pinecone) — weight 0.6</w:t>
      </w:r>
    </w:p>
    <w:p w14:paraId="6E9A7BB6" w14:textId="77777777" w:rsidR="00AB6390" w:rsidRDefault="00000000">
      <w:pPr>
        <w:pStyle w:val="ListBullet"/>
      </w:pPr>
      <w:r>
        <w:t>BM25 keyword-overlap score (rank_bm25.BM25Okapi over the 10 candidates' text, scored against the tokenized question) — weight 0.4</w:t>
      </w:r>
    </w:p>
    <w:p w14:paraId="3788DBBB" w14:textId="77777777" w:rsidR="00AB6390" w:rsidRDefault="00000000">
      <w:r>
        <w:t>Both score sets are min-max normalized to [0, 1] before combining, so the two signals contribute on comparable scales regardless of their raw ranges (cosine similarity vs. BM25 scores have very different magnitudes). The top 5 chunks by combined score (RERANK_TOP_N = 5) are passed to the LLM as context.</w:t>
      </w:r>
    </w:p>
    <w:p w14:paraId="186278AA" w14:textId="77777777" w:rsidR="00AB6390" w:rsidRDefault="00000000">
      <w:r>
        <w:t>Rationale: pure embedding similarity can rank two policy chunks almost identically even when only one contains the exact terminology the employee used (e.g. “notice period” vs. “resignation”). The BM25 component rewards chunks with direct lexical overlap with the question, nudging more literally relevant chunks higher without discarding the semantic signal entirely.</w:t>
      </w:r>
    </w:p>
    <w:p w14:paraId="14BBE289" w14:textId="77777777" w:rsidR="00AB6390" w:rsidRDefault="00000000">
      <w:pPr>
        <w:pStyle w:val="Heading2"/>
      </w:pPr>
      <w:r>
        <w:rPr>
          <w:color w:val="2F356B"/>
        </w:rPr>
        <w:t>3.4 Answer Generation</w:t>
      </w:r>
    </w:p>
    <w:p w14:paraId="06EE4DE8" w14:textId="77777777" w:rsidR="00AB6390" w:rsidRDefault="00000000">
      <w:r>
        <w:t>The selected chunks are concatenated and inserted into a scoped prompt template (employee_rag_template) sent to gpt-4.1-mini. The prompt explicitly:</w:t>
      </w:r>
    </w:p>
    <w:p w14:paraId="7F2F703B" w14:textId="77777777" w:rsidR="00AB6390" w:rsidRDefault="00000000">
      <w:pPr>
        <w:pStyle w:val="ListBullet"/>
      </w:pPr>
      <w:r>
        <w:t>Frames the assistant as an internal EMPLOYEE policy assistant (HR, IT, Finance, Legal, Facilities, Marketing, Sales).</w:t>
      </w:r>
    </w:p>
    <w:p w14:paraId="59F1750D" w14:textId="77777777" w:rsidR="00AB6390" w:rsidRDefault="00000000">
      <w:pPr>
        <w:pStyle w:val="ListBullet"/>
      </w:pPr>
      <w:r>
        <w:t>States the assistant has NO information about external customers' orders, shipments, deliveries, billing, or returns, and must refuse such questions regardless of retrieved context.</w:t>
      </w:r>
    </w:p>
    <w:p w14:paraId="1F246A09" w14:textId="77777777" w:rsidR="00AB6390" w:rsidRDefault="00000000">
      <w:pPr>
        <w:pStyle w:val="ListBullet"/>
      </w:pPr>
      <w:r>
        <w:t>Instructs the model not to guess, state a “likely cause”, or relate unrelated policy topics to the issue — and to respond with the exact refusal text “I don't have that information about this.” when context doesn't directly address the issue.</w:t>
      </w:r>
    </w:p>
    <w:p w14:paraId="5304ADD7" w14:textId="77777777" w:rsidR="00AB6390" w:rsidRDefault="00000000">
      <w:pPr>
        <w:pStyle w:val="ListBullet"/>
      </w:pPr>
      <w:r>
        <w:t>Asks for a concise, practical answer citing the relevant policy and next step when context IS relevant.</w:t>
      </w:r>
    </w:p>
    <w:p w14:paraId="758DF163" w14:textId="77777777" w:rsidR="00AB6390" w:rsidRDefault="00000000">
      <w:r>
        <w:t>The Streamlit UI additionally appends a “Source(s)” line listing the distinct policy titles among the reranked chunks that were sent to the LLM.</w:t>
      </w:r>
    </w:p>
    <w:p w14:paraId="61724C76" w14:textId="77777777" w:rsidR="00AB6390" w:rsidRDefault="00000000">
      <w:r>
        <w:br w:type="page"/>
      </w:r>
    </w:p>
    <w:p w14:paraId="78EC417A" w14:textId="77777777" w:rsidR="00AB6390" w:rsidRDefault="00000000">
      <w:pPr>
        <w:pStyle w:val="Heading1"/>
      </w:pPr>
      <w:r>
        <w:rPr>
          <w:color w:val="2F356B"/>
        </w:rPr>
        <w:t>4. Stress-Test Methodology</w:t>
      </w:r>
    </w:p>
    <w:p w14:paraId="1A98D3C4" w14:textId="77777777" w:rsidR="00AB6390" w:rsidRDefault="00000000">
      <w:r>
        <w:t>15 questions were run end-to-end through the live pipeline (real Pinecone index, real OpenAI calls) and grouped into four categories:</w:t>
      </w:r>
    </w:p>
    <w:p w14:paraId="7400D600" w14:textId="77777777" w:rsidR="00AB6390" w:rsidRDefault="00000000">
      <w:pPr>
        <w:pStyle w:val="ListBullet"/>
      </w:pPr>
      <w:r>
        <w:t>Straightforward (6 questions) — a clear question answerable from a single policy.</w:t>
      </w:r>
    </w:p>
    <w:p w14:paraId="5F1EA8FF" w14:textId="77777777" w:rsidR="00AB6390" w:rsidRDefault="00000000">
      <w:pPr>
        <w:pStyle w:val="ListBullet"/>
      </w:pPr>
      <w:r>
        <w:t>Multi-document (4 questions) — a question whose complete answer requires synthesizing information from two or more distinct policies.</w:t>
      </w:r>
    </w:p>
    <w:p w14:paraId="3646272A" w14:textId="77777777" w:rsidR="00AB6390" w:rsidRDefault="00000000">
      <w:pPr>
        <w:pStyle w:val="ListBullet"/>
      </w:pPr>
      <w:r>
        <w:t>Ambiguous (2 questions) — vague queries with no specific subject, topic, or policy area named.</w:t>
      </w:r>
    </w:p>
    <w:p w14:paraId="3C5938A5" w14:textId="77777777" w:rsidR="00AB6390" w:rsidRDefault="00000000">
      <w:pPr>
        <w:pStyle w:val="ListBullet"/>
      </w:pPr>
      <w:r>
        <w:t>Out-of-scope / unanswerable (3 questions) — questions about topics the policy knowledge base does not, and should not, cover.</w:t>
      </w:r>
    </w:p>
    <w:p w14:paraId="45DEE93C" w14:textId="77777777" w:rsidR="00AB6390" w:rsidRDefault="00000000">
      <w:r>
        <w:t>For each question, the report below records the top similarity score returned by Pinecone, whether the relevance gate triggered a refusal, the final answer, and the policy sources cited.</w:t>
      </w:r>
    </w:p>
    <w:p w14:paraId="13A66DBA" w14:textId="77777777" w:rsidR="00AB6390" w:rsidRDefault="00000000">
      <w:pPr>
        <w:pStyle w:val="Heading1"/>
      </w:pPr>
      <w:r>
        <w:rPr>
          <w:color w:val="2F356B"/>
        </w:rPr>
        <w:t>5. Detailed Results</w:t>
      </w:r>
    </w:p>
    <w:p w14:paraId="72CC449F" w14:textId="77777777" w:rsidR="00AB6390" w:rsidRDefault="00000000">
      <w:pPr>
        <w:pStyle w:val="Heading3"/>
      </w:pPr>
      <w:r>
        <w:rPr>
          <w:color w:val="2F356B"/>
        </w:rPr>
        <w:t>Q1. How many days of annual leave do full-time employees get per year?</w:t>
      </w:r>
    </w:p>
    <w:tbl>
      <w:tblPr>
        <w:tblStyle w:val="LightGrid-Accent1"/>
        <w:tblW w:w="0" w:type="auto"/>
        <w:tblLook w:val="04A0" w:firstRow="1" w:lastRow="0" w:firstColumn="1" w:lastColumn="0" w:noHBand="0" w:noVBand="1"/>
      </w:tblPr>
      <w:tblGrid>
        <w:gridCol w:w="2304"/>
        <w:gridCol w:w="4320"/>
      </w:tblGrid>
      <w:tr w:rsidR="00AB6390" w14:paraId="2E3E3A58"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1716F9D" w14:textId="77777777" w:rsidR="00AB6390" w:rsidRDefault="00000000">
            <w:r>
              <w:t>Category</w:t>
            </w:r>
          </w:p>
        </w:tc>
        <w:tc>
          <w:tcPr>
            <w:tcW w:w="4320" w:type="dxa"/>
          </w:tcPr>
          <w:p w14:paraId="17D3AA70"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6A5F4814"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4510987" w14:textId="77777777" w:rsidR="00AB6390" w:rsidRDefault="00000000">
            <w:r>
              <w:t>Top similarity score</w:t>
            </w:r>
          </w:p>
        </w:tc>
        <w:tc>
          <w:tcPr>
            <w:tcW w:w="4320" w:type="dxa"/>
          </w:tcPr>
          <w:p w14:paraId="53E7456D" w14:textId="77777777" w:rsidR="00AB6390" w:rsidRDefault="00000000">
            <w:pPr>
              <w:cnfStyle w:val="000000100000" w:firstRow="0" w:lastRow="0" w:firstColumn="0" w:lastColumn="0" w:oddVBand="0" w:evenVBand="0" w:oddHBand="1" w:evenHBand="0" w:firstRowFirstColumn="0" w:firstRowLastColumn="0" w:lastRowFirstColumn="0" w:lastRowLastColumn="0"/>
            </w:pPr>
            <w:r>
              <w:t>0.7369  (threshold = 0.45)</w:t>
            </w:r>
          </w:p>
        </w:tc>
      </w:tr>
      <w:tr w:rsidR="00AB6390" w14:paraId="0118F279"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5D0D2B" w14:textId="77777777" w:rsidR="00AB6390" w:rsidRDefault="00000000">
            <w:r>
              <w:t>Relevance gate</w:t>
            </w:r>
          </w:p>
        </w:tc>
        <w:tc>
          <w:tcPr>
            <w:tcW w:w="4320" w:type="dxa"/>
          </w:tcPr>
          <w:p w14:paraId="60CF05A8"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37EFEE71"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51AC9C6" w14:textId="77777777" w:rsidR="00AB6390" w:rsidRDefault="00000000">
            <w:r>
              <w:t>Answer</w:t>
            </w:r>
          </w:p>
        </w:tc>
        <w:tc>
          <w:tcPr>
            <w:tcW w:w="4320" w:type="dxa"/>
          </w:tcPr>
          <w:p w14:paraId="5FBB8526" w14:textId="77777777" w:rsidR="00AB6390" w:rsidRDefault="00000000">
            <w:pPr>
              <w:cnfStyle w:val="000000100000" w:firstRow="0" w:lastRow="0" w:firstColumn="0" w:lastColumn="0" w:oddVBand="0" w:evenVBand="0" w:oddHBand="1" w:evenHBand="0" w:firstRowFirstColumn="0" w:firstRowLastColumn="0" w:lastRowFirstColumn="0" w:lastRowLastColumn="0"/>
            </w:pPr>
            <w:r>
              <w:t>Full-time employees accrue 18 days of paid annual leave per calendar year, credited monthly at 1.5 days per month.</w:t>
            </w:r>
          </w:p>
        </w:tc>
      </w:tr>
      <w:tr w:rsidR="00AB6390" w14:paraId="70AC0FEC"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9B28F0" w14:textId="77777777" w:rsidR="00AB6390" w:rsidRDefault="00000000">
            <w:r>
              <w:t>Sources cited</w:t>
            </w:r>
          </w:p>
        </w:tc>
        <w:tc>
          <w:tcPr>
            <w:tcW w:w="4320" w:type="dxa"/>
          </w:tcPr>
          <w:p w14:paraId="7D7E4864" w14:textId="77777777" w:rsidR="00AB6390" w:rsidRDefault="00000000">
            <w:pPr>
              <w:cnfStyle w:val="000000010000" w:firstRow="0" w:lastRow="0" w:firstColumn="0" w:lastColumn="0" w:oddVBand="0" w:evenVBand="0" w:oddHBand="0" w:evenHBand="1" w:firstRowFirstColumn="0" w:firstRowLastColumn="0" w:lastRowFirstColumn="0" w:lastRowLastColumn="0"/>
            </w:pPr>
            <w:r>
              <w:t>Leave and Time-Off Policy, Remote and Hybrid Work Policy</w:t>
            </w:r>
          </w:p>
        </w:tc>
      </w:tr>
      <w:tr w:rsidR="00AB6390" w14:paraId="7734EA5D"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3EBCAA5" w14:textId="77777777" w:rsidR="00AB6390" w:rsidRDefault="00000000">
            <w:r>
              <w:t>Top-5 candidate scores</w:t>
            </w:r>
          </w:p>
        </w:tc>
        <w:tc>
          <w:tcPr>
            <w:tcW w:w="4320" w:type="dxa"/>
          </w:tcPr>
          <w:p w14:paraId="57C9E3CC" w14:textId="77777777" w:rsidR="00AB6390" w:rsidRDefault="00000000">
            <w:pPr>
              <w:cnfStyle w:val="000000100000" w:firstRow="0" w:lastRow="0" w:firstColumn="0" w:lastColumn="0" w:oddVBand="0" w:evenVBand="0" w:oddHBand="1" w:evenHBand="0" w:firstRowFirstColumn="0" w:firstRowLastColumn="0" w:lastRowFirstColumn="0" w:lastRowLastColumn="0"/>
            </w:pPr>
            <w:r>
              <w:t>Leave and Time-Off Policy: 0.7369</w:t>
            </w:r>
            <w:r>
              <w:br/>
              <w:t>Leave and Time-Off Policy: 0.5725</w:t>
            </w:r>
            <w:r>
              <w:br/>
              <w:t>Leave and Time-Off Policy: 0.5544</w:t>
            </w:r>
            <w:r>
              <w:br/>
              <w:t>Termination and Offboarding Policy: 0.3949</w:t>
            </w:r>
            <w:r>
              <w:br/>
              <w:t>Remote and Hybrid Work Policy: 0.3906</w:t>
            </w:r>
          </w:p>
        </w:tc>
      </w:tr>
    </w:tbl>
    <w:p w14:paraId="440FE925" w14:textId="77777777" w:rsidR="00AB6390" w:rsidRDefault="00AB6390"/>
    <w:p w14:paraId="317017EB" w14:textId="77777777" w:rsidR="00AB6390" w:rsidRDefault="00000000">
      <w:pPr>
        <w:pStyle w:val="Heading3"/>
      </w:pPr>
      <w:r>
        <w:rPr>
          <w:color w:val="2F356B"/>
        </w:rPr>
        <w:t>Q2. What is the notice period for voluntary resignation?</w:t>
      </w:r>
    </w:p>
    <w:tbl>
      <w:tblPr>
        <w:tblStyle w:val="LightGrid-Accent1"/>
        <w:tblW w:w="0" w:type="auto"/>
        <w:tblLook w:val="04A0" w:firstRow="1" w:lastRow="0" w:firstColumn="1" w:lastColumn="0" w:noHBand="0" w:noVBand="1"/>
      </w:tblPr>
      <w:tblGrid>
        <w:gridCol w:w="2304"/>
        <w:gridCol w:w="4320"/>
      </w:tblGrid>
      <w:tr w:rsidR="00AB6390" w14:paraId="06FEB3EA"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452664B" w14:textId="77777777" w:rsidR="00AB6390" w:rsidRDefault="00000000">
            <w:r>
              <w:t>Category</w:t>
            </w:r>
          </w:p>
        </w:tc>
        <w:tc>
          <w:tcPr>
            <w:tcW w:w="4320" w:type="dxa"/>
          </w:tcPr>
          <w:p w14:paraId="582B0F81" w14:textId="77777777" w:rsidR="00AB6390" w:rsidRDefault="00000000">
            <w:pPr>
              <w:cnfStyle w:val="100000000000" w:firstRow="1" w:lastRow="0" w:firstColumn="0" w:lastColumn="0" w:oddVBand="0" w:evenVBand="0" w:oddHBand="0" w:evenHBand="0" w:firstRowFirstColumn="0" w:firstRowLastColumn="0" w:lastRowFirstColumn="0" w:lastRowLastColumn="0"/>
            </w:pPr>
            <w:r>
              <w:t>Multi-document</w:t>
            </w:r>
          </w:p>
        </w:tc>
      </w:tr>
      <w:tr w:rsidR="00AB6390" w14:paraId="40472563"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448C8A2" w14:textId="77777777" w:rsidR="00AB6390" w:rsidRDefault="00000000">
            <w:r>
              <w:t>Top similarity score</w:t>
            </w:r>
          </w:p>
        </w:tc>
        <w:tc>
          <w:tcPr>
            <w:tcW w:w="4320" w:type="dxa"/>
          </w:tcPr>
          <w:p w14:paraId="2745EAA3" w14:textId="77777777" w:rsidR="00AB6390" w:rsidRDefault="00000000">
            <w:pPr>
              <w:cnfStyle w:val="000000100000" w:firstRow="0" w:lastRow="0" w:firstColumn="0" w:lastColumn="0" w:oddVBand="0" w:evenVBand="0" w:oddHBand="1" w:evenHBand="0" w:firstRowFirstColumn="0" w:firstRowLastColumn="0" w:lastRowFirstColumn="0" w:lastRowLastColumn="0"/>
            </w:pPr>
            <w:r>
              <w:t>0.6342  (threshold = 0.45)</w:t>
            </w:r>
          </w:p>
        </w:tc>
      </w:tr>
      <w:tr w:rsidR="00AB6390" w14:paraId="0549785C"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4722D52" w14:textId="77777777" w:rsidR="00AB6390" w:rsidRDefault="00000000">
            <w:r>
              <w:t>Relevance gate</w:t>
            </w:r>
          </w:p>
        </w:tc>
        <w:tc>
          <w:tcPr>
            <w:tcW w:w="4320" w:type="dxa"/>
          </w:tcPr>
          <w:p w14:paraId="2B415AE9"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1FD54118"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E9B217C" w14:textId="77777777" w:rsidR="00AB6390" w:rsidRDefault="00000000">
            <w:r>
              <w:t>Answer</w:t>
            </w:r>
          </w:p>
        </w:tc>
        <w:tc>
          <w:tcPr>
            <w:tcW w:w="4320" w:type="dxa"/>
          </w:tcPr>
          <w:p w14:paraId="50607780" w14:textId="77777777" w:rsidR="00AB6390" w:rsidRDefault="00000000">
            <w:pPr>
              <w:cnfStyle w:val="000000100000" w:firstRow="0" w:lastRow="0" w:firstColumn="0" w:lastColumn="0" w:oddVBand="0" w:evenVBand="0" w:oddHBand="1" w:evenHBand="0" w:firstRowFirstColumn="0" w:firstRowLastColumn="0" w:lastRowFirstColumn="0" w:lastRowLastColumn="0"/>
            </w:pPr>
            <w:r>
              <w:t>The notice period for voluntary resignation is at least 2 weeks' written notice for regular roles and 4 weeks for management roles.</w:t>
            </w:r>
          </w:p>
        </w:tc>
      </w:tr>
      <w:tr w:rsidR="00AB6390" w14:paraId="43B71E37"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32EF628" w14:textId="77777777" w:rsidR="00AB6390" w:rsidRDefault="00000000">
            <w:r>
              <w:t>Sources cited</w:t>
            </w:r>
          </w:p>
        </w:tc>
        <w:tc>
          <w:tcPr>
            <w:tcW w:w="4320" w:type="dxa"/>
          </w:tcPr>
          <w:p w14:paraId="4BA63E76" w14:textId="77777777" w:rsidR="00AB6390" w:rsidRDefault="00000000">
            <w:pPr>
              <w:cnfStyle w:val="000000010000" w:firstRow="0" w:lastRow="0" w:firstColumn="0" w:lastColumn="0" w:oddVBand="0" w:evenVBand="0" w:oddHBand="0" w:evenHBand="1" w:firstRowFirstColumn="0" w:firstRowLastColumn="0" w:lastRowFirstColumn="0" w:lastRowLastColumn="0"/>
            </w:pPr>
            <w:r>
              <w:t>Termination and Offboarding Policy, Employee Onboarding Policy, Vendor Management Policy, Leave and Time-Off Policy</w:t>
            </w:r>
          </w:p>
        </w:tc>
      </w:tr>
      <w:tr w:rsidR="00AB6390" w14:paraId="7221C71B"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30F0CA7" w14:textId="77777777" w:rsidR="00AB6390" w:rsidRDefault="00000000">
            <w:r>
              <w:t>Top-5 candidate scores</w:t>
            </w:r>
          </w:p>
        </w:tc>
        <w:tc>
          <w:tcPr>
            <w:tcW w:w="4320" w:type="dxa"/>
          </w:tcPr>
          <w:p w14:paraId="5365595B" w14:textId="77777777" w:rsidR="00AB6390" w:rsidRDefault="00000000">
            <w:pPr>
              <w:cnfStyle w:val="000000100000" w:firstRow="0" w:lastRow="0" w:firstColumn="0" w:lastColumn="0" w:oddVBand="0" w:evenVBand="0" w:oddHBand="1" w:evenHBand="0" w:firstRowFirstColumn="0" w:firstRowLastColumn="0" w:lastRowFirstColumn="0" w:lastRowLastColumn="0"/>
            </w:pPr>
            <w:r>
              <w:t>Termination and Offboarding Policy: 0.6342</w:t>
            </w:r>
            <w:r>
              <w:br/>
              <w:t>Employee Onboarding Policy: 0.5280</w:t>
            </w:r>
            <w:r>
              <w:br/>
              <w:t>Leave and Time-Off Policy: 0.4708</w:t>
            </w:r>
            <w:r>
              <w:br/>
              <w:t>Vendor Management Policy: 0.4351</w:t>
            </w:r>
            <w:r>
              <w:br/>
              <w:t>Leave and Time-Off Policy: 0.4210</w:t>
            </w:r>
          </w:p>
        </w:tc>
      </w:tr>
    </w:tbl>
    <w:p w14:paraId="14E048DA" w14:textId="77777777" w:rsidR="00AB6390" w:rsidRDefault="00AB6390"/>
    <w:p w14:paraId="7B579833" w14:textId="77777777" w:rsidR="00AB6390" w:rsidRDefault="00000000">
      <w:pPr>
        <w:pStyle w:val="Heading3"/>
      </w:pPr>
      <w:r>
        <w:rPr>
          <w:color w:val="2F356B"/>
        </w:rPr>
        <w:t>Q3. What are the password requirements for company accounts?</w:t>
      </w:r>
    </w:p>
    <w:tbl>
      <w:tblPr>
        <w:tblStyle w:val="LightGrid-Accent1"/>
        <w:tblW w:w="0" w:type="auto"/>
        <w:tblLook w:val="04A0" w:firstRow="1" w:lastRow="0" w:firstColumn="1" w:lastColumn="0" w:noHBand="0" w:noVBand="1"/>
      </w:tblPr>
      <w:tblGrid>
        <w:gridCol w:w="2304"/>
        <w:gridCol w:w="4320"/>
      </w:tblGrid>
      <w:tr w:rsidR="00AB6390" w14:paraId="339E8C68"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76E7E4" w14:textId="77777777" w:rsidR="00AB6390" w:rsidRDefault="00000000">
            <w:r>
              <w:t>Category</w:t>
            </w:r>
          </w:p>
        </w:tc>
        <w:tc>
          <w:tcPr>
            <w:tcW w:w="4320" w:type="dxa"/>
          </w:tcPr>
          <w:p w14:paraId="6EAB1055"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5D1E932F"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7D5176" w14:textId="77777777" w:rsidR="00AB6390" w:rsidRDefault="00000000">
            <w:r>
              <w:t>Top similarity score</w:t>
            </w:r>
          </w:p>
        </w:tc>
        <w:tc>
          <w:tcPr>
            <w:tcW w:w="4320" w:type="dxa"/>
          </w:tcPr>
          <w:p w14:paraId="36AB1A59" w14:textId="77777777" w:rsidR="00AB6390" w:rsidRDefault="00000000">
            <w:pPr>
              <w:cnfStyle w:val="000000100000" w:firstRow="0" w:lastRow="0" w:firstColumn="0" w:lastColumn="0" w:oddVBand="0" w:evenVBand="0" w:oddHBand="1" w:evenHBand="0" w:firstRowFirstColumn="0" w:firstRowLastColumn="0" w:lastRowFirstColumn="0" w:lastRowLastColumn="0"/>
            </w:pPr>
            <w:r>
              <w:t>0.7428  (threshold = 0.45)</w:t>
            </w:r>
          </w:p>
        </w:tc>
      </w:tr>
      <w:tr w:rsidR="00AB6390" w14:paraId="3D1E1DFB"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9015D85" w14:textId="77777777" w:rsidR="00AB6390" w:rsidRDefault="00000000">
            <w:r>
              <w:t>Relevance gate</w:t>
            </w:r>
          </w:p>
        </w:tc>
        <w:tc>
          <w:tcPr>
            <w:tcW w:w="4320" w:type="dxa"/>
          </w:tcPr>
          <w:p w14:paraId="446DA34A"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5386CFD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7106B1" w14:textId="77777777" w:rsidR="00AB6390" w:rsidRDefault="00000000">
            <w:r>
              <w:t>Answer</w:t>
            </w:r>
          </w:p>
        </w:tc>
        <w:tc>
          <w:tcPr>
            <w:tcW w:w="4320" w:type="dxa"/>
          </w:tcPr>
          <w:p w14:paraId="561A8C57" w14:textId="77777777" w:rsidR="00AB6390" w:rsidRDefault="00000000">
            <w:pPr>
              <w:cnfStyle w:val="000000100000" w:firstRow="0" w:lastRow="0" w:firstColumn="0" w:lastColumn="0" w:oddVBand="0" w:evenVBand="0" w:oddHBand="1" w:evenHBand="0" w:firstRowFirstColumn="0" w:firstRowLastColumn="0" w:lastRowFirstColumn="0" w:lastRowLastColumn="0"/>
            </w:pPr>
            <w:r>
              <w:t>Passwords must be at least 12 characters long and include uppercase letters, lowercase letters, numbers, and symbols. They must not contain your username, common dictionary words, or sequential characters. Passwords must be changed every 90 days and cannot be reused for the previous 5 password cycles.</w:t>
            </w:r>
          </w:p>
        </w:tc>
      </w:tr>
      <w:tr w:rsidR="00AB6390" w14:paraId="329EA53C"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5E0CDC3" w14:textId="77777777" w:rsidR="00AB6390" w:rsidRDefault="00000000">
            <w:r>
              <w:t>Sources cited</w:t>
            </w:r>
          </w:p>
        </w:tc>
        <w:tc>
          <w:tcPr>
            <w:tcW w:w="4320" w:type="dxa"/>
          </w:tcPr>
          <w:p w14:paraId="4C429D70" w14:textId="77777777" w:rsidR="00AB6390" w:rsidRDefault="00000000">
            <w:pPr>
              <w:cnfStyle w:val="000000010000" w:firstRow="0" w:lastRow="0" w:firstColumn="0" w:lastColumn="0" w:oddVBand="0" w:evenVBand="0" w:oddHBand="0" w:evenHBand="1" w:firstRowFirstColumn="0" w:firstRowLastColumn="0" w:lastRowFirstColumn="0" w:lastRowLastColumn="0"/>
            </w:pPr>
            <w:r>
              <w:t>IT Security and Acceptable Use Policy, Password and Authentication Policy, Cloud Services Usage Policy</w:t>
            </w:r>
          </w:p>
        </w:tc>
      </w:tr>
      <w:tr w:rsidR="00AB6390" w14:paraId="6882BC34"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B35B695" w14:textId="77777777" w:rsidR="00AB6390" w:rsidRDefault="00000000">
            <w:r>
              <w:t>Top-5 candidate scores</w:t>
            </w:r>
          </w:p>
        </w:tc>
        <w:tc>
          <w:tcPr>
            <w:tcW w:w="4320" w:type="dxa"/>
          </w:tcPr>
          <w:p w14:paraId="26AA260E" w14:textId="77777777" w:rsidR="00AB6390" w:rsidRDefault="00000000">
            <w:pPr>
              <w:cnfStyle w:val="000000100000" w:firstRow="0" w:lastRow="0" w:firstColumn="0" w:lastColumn="0" w:oddVBand="0" w:evenVBand="0" w:oddHBand="1" w:evenHBand="0" w:firstRowFirstColumn="0" w:firstRowLastColumn="0" w:lastRowFirstColumn="0" w:lastRowLastColumn="0"/>
            </w:pPr>
            <w:r>
              <w:t>IT Security and Acceptable Use Policy: 0.7428</w:t>
            </w:r>
            <w:r>
              <w:br/>
              <w:t>Password and Authentication Policy: 0.6811</w:t>
            </w:r>
            <w:r>
              <w:br/>
              <w:t>Password and Authentication Policy: 0.5638</w:t>
            </w:r>
            <w:r>
              <w:br/>
              <w:t>Cloud Services Usage Policy: 0.5503</w:t>
            </w:r>
            <w:r>
              <w:br/>
              <w:t>Password and Authentication Policy: 0.5373</w:t>
            </w:r>
          </w:p>
        </w:tc>
      </w:tr>
    </w:tbl>
    <w:p w14:paraId="7A7AFDEA" w14:textId="77777777" w:rsidR="00AB6390" w:rsidRDefault="00AB6390"/>
    <w:p w14:paraId="5B6BF0D8" w14:textId="77777777" w:rsidR="00AB6390" w:rsidRDefault="00000000">
      <w:pPr>
        <w:pStyle w:val="Heading3"/>
      </w:pPr>
      <w:r>
        <w:rPr>
          <w:color w:val="2F356B"/>
        </w:rPr>
        <w:t>Q4. Can I use my personal phone to access work email?</w:t>
      </w:r>
    </w:p>
    <w:tbl>
      <w:tblPr>
        <w:tblStyle w:val="LightGrid-Accent1"/>
        <w:tblW w:w="0" w:type="auto"/>
        <w:tblLook w:val="04A0" w:firstRow="1" w:lastRow="0" w:firstColumn="1" w:lastColumn="0" w:noHBand="0" w:noVBand="1"/>
      </w:tblPr>
      <w:tblGrid>
        <w:gridCol w:w="2304"/>
        <w:gridCol w:w="4320"/>
      </w:tblGrid>
      <w:tr w:rsidR="00AB6390" w14:paraId="21022550"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7036B74" w14:textId="77777777" w:rsidR="00AB6390" w:rsidRDefault="00000000">
            <w:r>
              <w:t>Category</w:t>
            </w:r>
          </w:p>
        </w:tc>
        <w:tc>
          <w:tcPr>
            <w:tcW w:w="4320" w:type="dxa"/>
          </w:tcPr>
          <w:p w14:paraId="393E2AF1"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41968436"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5E25A8" w14:textId="77777777" w:rsidR="00AB6390" w:rsidRDefault="00000000">
            <w:r>
              <w:t>Top similarity score</w:t>
            </w:r>
          </w:p>
        </w:tc>
        <w:tc>
          <w:tcPr>
            <w:tcW w:w="4320" w:type="dxa"/>
          </w:tcPr>
          <w:p w14:paraId="38D795B1" w14:textId="77777777" w:rsidR="00AB6390" w:rsidRDefault="00000000">
            <w:pPr>
              <w:cnfStyle w:val="000000100000" w:firstRow="0" w:lastRow="0" w:firstColumn="0" w:lastColumn="0" w:oddVBand="0" w:evenVBand="0" w:oddHBand="1" w:evenHBand="0" w:firstRowFirstColumn="0" w:firstRowLastColumn="0" w:lastRowFirstColumn="0" w:lastRowLastColumn="0"/>
            </w:pPr>
            <w:r>
              <w:t>0.5942  (threshold = 0.45)</w:t>
            </w:r>
          </w:p>
        </w:tc>
      </w:tr>
      <w:tr w:rsidR="00AB6390" w14:paraId="5AE6B99E"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65AEE73" w14:textId="77777777" w:rsidR="00AB6390" w:rsidRDefault="00000000">
            <w:r>
              <w:t>Relevance gate</w:t>
            </w:r>
          </w:p>
        </w:tc>
        <w:tc>
          <w:tcPr>
            <w:tcW w:w="4320" w:type="dxa"/>
          </w:tcPr>
          <w:p w14:paraId="297A7BA9"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5A79AB18"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06BB737" w14:textId="77777777" w:rsidR="00AB6390" w:rsidRDefault="00000000">
            <w:r>
              <w:t>Answer</w:t>
            </w:r>
          </w:p>
        </w:tc>
        <w:tc>
          <w:tcPr>
            <w:tcW w:w="4320" w:type="dxa"/>
          </w:tcPr>
          <w:p w14:paraId="1F60AA80" w14:textId="77777777" w:rsidR="00AB6390" w:rsidRDefault="00000000">
            <w:pPr>
              <w:cnfStyle w:val="000000100000" w:firstRow="0" w:lastRow="0" w:firstColumn="0" w:lastColumn="0" w:oddVBand="0" w:evenVBand="0" w:oddHBand="1" w:evenHBand="0" w:firstRowFirstColumn="0" w:firstRowLastColumn="0" w:lastRowFirstColumn="0" w:lastRowLastColumn="0"/>
            </w:pPr>
            <w:r>
              <w:t>Yes, you may use your personal phone to access work email if you enroll in the Mobile Device Management (MDM) system and your device meets security requirements (passcode/biometric lock, automatic screen lock after 5 minutes, and latest OS security updates). Contact IT to enroll your device in MDM before accessing company email.</w:t>
            </w:r>
          </w:p>
        </w:tc>
      </w:tr>
      <w:tr w:rsidR="00AB6390" w14:paraId="3B0882BF"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8A59336" w14:textId="77777777" w:rsidR="00AB6390" w:rsidRDefault="00000000">
            <w:r>
              <w:t>Sources cited</w:t>
            </w:r>
          </w:p>
        </w:tc>
        <w:tc>
          <w:tcPr>
            <w:tcW w:w="4320" w:type="dxa"/>
          </w:tcPr>
          <w:p w14:paraId="530D29C6" w14:textId="77777777" w:rsidR="00AB6390" w:rsidRDefault="00000000">
            <w:pPr>
              <w:cnfStyle w:val="000000010000" w:firstRow="0" w:lastRow="0" w:firstColumn="0" w:lastColumn="0" w:oddVBand="0" w:evenVBand="0" w:oddHBand="0" w:evenHBand="1" w:firstRowFirstColumn="0" w:firstRowLastColumn="0" w:lastRowFirstColumn="0" w:lastRowLastColumn="0"/>
            </w:pPr>
            <w:r>
              <w:t>Bring Your Own Device (BYOD) Policy, IT Security and Acceptable Use Policy, Mobile Phone and Communication Reimbursement Policy</w:t>
            </w:r>
          </w:p>
        </w:tc>
      </w:tr>
      <w:tr w:rsidR="00AB6390" w14:paraId="6C847A55"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08CAFDA" w14:textId="77777777" w:rsidR="00AB6390" w:rsidRDefault="00000000">
            <w:r>
              <w:t>Top-5 candidate scores</w:t>
            </w:r>
          </w:p>
        </w:tc>
        <w:tc>
          <w:tcPr>
            <w:tcW w:w="4320" w:type="dxa"/>
          </w:tcPr>
          <w:p w14:paraId="40432F90" w14:textId="77777777" w:rsidR="00AB6390" w:rsidRDefault="00000000">
            <w:pPr>
              <w:cnfStyle w:val="000000100000" w:firstRow="0" w:lastRow="0" w:firstColumn="0" w:lastColumn="0" w:oddVBand="0" w:evenVBand="0" w:oddHBand="1" w:evenHBand="0" w:firstRowFirstColumn="0" w:firstRowLastColumn="0" w:lastRowFirstColumn="0" w:lastRowLastColumn="0"/>
            </w:pPr>
            <w:r>
              <w:t>Bring Your Own Device (BYOD) Policy: 0.5942</w:t>
            </w:r>
            <w:r>
              <w:br/>
              <w:t>Mobile Phone and Communication Reimbursement Policy: 0.5936</w:t>
            </w:r>
            <w:r>
              <w:br/>
              <w:t>Bring Your Own Device (BYOD) Policy: 0.5706</w:t>
            </w:r>
            <w:r>
              <w:br/>
              <w:t>IT Security and Acceptable Use Policy: 0.5555</w:t>
            </w:r>
            <w:r>
              <w:br/>
              <w:t>Mobile Phone and Communication Reimbursement Policy: 0.4957</w:t>
            </w:r>
          </w:p>
        </w:tc>
      </w:tr>
    </w:tbl>
    <w:p w14:paraId="3155F29C" w14:textId="77777777" w:rsidR="00AB6390" w:rsidRDefault="00AB6390"/>
    <w:p w14:paraId="49491B85" w14:textId="77777777" w:rsidR="00AB6390" w:rsidRDefault="00000000">
      <w:pPr>
        <w:pStyle w:val="Heading3"/>
      </w:pPr>
      <w:r>
        <w:rPr>
          <w:color w:val="2F356B"/>
        </w:rPr>
        <w:t>Q5. What is the process for submitting an expense reimbursement?</w:t>
      </w:r>
    </w:p>
    <w:tbl>
      <w:tblPr>
        <w:tblStyle w:val="LightGrid-Accent1"/>
        <w:tblW w:w="0" w:type="auto"/>
        <w:tblLook w:val="04A0" w:firstRow="1" w:lastRow="0" w:firstColumn="1" w:lastColumn="0" w:noHBand="0" w:noVBand="1"/>
      </w:tblPr>
      <w:tblGrid>
        <w:gridCol w:w="2304"/>
        <w:gridCol w:w="4320"/>
      </w:tblGrid>
      <w:tr w:rsidR="00AB6390" w14:paraId="1954B1D4"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4B196C9" w14:textId="77777777" w:rsidR="00AB6390" w:rsidRDefault="00000000">
            <w:r>
              <w:t>Category</w:t>
            </w:r>
          </w:p>
        </w:tc>
        <w:tc>
          <w:tcPr>
            <w:tcW w:w="4320" w:type="dxa"/>
          </w:tcPr>
          <w:p w14:paraId="7BF24BD9"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6BF6F680"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136DE5E" w14:textId="77777777" w:rsidR="00AB6390" w:rsidRDefault="00000000">
            <w:r>
              <w:t>Top similarity score</w:t>
            </w:r>
          </w:p>
        </w:tc>
        <w:tc>
          <w:tcPr>
            <w:tcW w:w="4320" w:type="dxa"/>
          </w:tcPr>
          <w:p w14:paraId="10FD9983" w14:textId="77777777" w:rsidR="00AB6390" w:rsidRDefault="00000000">
            <w:pPr>
              <w:cnfStyle w:val="000000100000" w:firstRow="0" w:lastRow="0" w:firstColumn="0" w:lastColumn="0" w:oddVBand="0" w:evenVBand="0" w:oddHBand="1" w:evenHBand="0" w:firstRowFirstColumn="0" w:firstRowLastColumn="0" w:lastRowFirstColumn="0" w:lastRowLastColumn="0"/>
            </w:pPr>
            <w:r>
              <w:t>0.6089  (threshold = 0.45)</w:t>
            </w:r>
          </w:p>
        </w:tc>
      </w:tr>
      <w:tr w:rsidR="00AB6390" w14:paraId="345C17AB"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5B8A60" w14:textId="77777777" w:rsidR="00AB6390" w:rsidRDefault="00000000">
            <w:r>
              <w:t>Relevance gate</w:t>
            </w:r>
          </w:p>
        </w:tc>
        <w:tc>
          <w:tcPr>
            <w:tcW w:w="4320" w:type="dxa"/>
          </w:tcPr>
          <w:p w14:paraId="5ED88B12"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4EB39DBF"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04C4B3" w14:textId="77777777" w:rsidR="00AB6390" w:rsidRDefault="00000000">
            <w:r>
              <w:t>Answer</w:t>
            </w:r>
          </w:p>
        </w:tc>
        <w:tc>
          <w:tcPr>
            <w:tcW w:w="4320" w:type="dxa"/>
          </w:tcPr>
          <w:p w14:paraId="6DFAEF1A" w14:textId="77777777" w:rsidR="00AB6390" w:rsidRDefault="00000000">
            <w:pPr>
              <w:cnfStyle w:val="000000100000" w:firstRow="0" w:lastRow="0" w:firstColumn="0" w:lastColumn="0" w:oddVBand="0" w:evenVBand="0" w:oddHBand="1" w:evenHBand="0" w:firstRowFirstColumn="0" w:firstRowLastColumn="0" w:lastRowFirstColumn="0" w:lastRowLastColumn="0"/>
            </w:pPr>
            <w:r>
              <w:t>To submit an expense reimbursement, you must:</w:t>
            </w:r>
            <w:r>
              <w:br/>
            </w:r>
            <w:r>
              <w:br/>
              <w:t>1. Ensure the expense is reasonable, necessary, and supported by an itemized receipt if over $25.</w:t>
            </w:r>
            <w:r>
              <w:br/>
              <w:t>2. Submit the expense within 30 days of incurring it via the expense system.</w:t>
            </w:r>
            <w:r>
              <w:br/>
              <w:t>3. Get manager approval for expenses under $500.</w:t>
            </w:r>
            <w:r>
              <w:br/>
              <w:t>4. Obtain both manager and finance department approval for expenses of $500 or more.</w:t>
            </w:r>
            <w:r>
              <w:br/>
            </w:r>
            <w:r>
              <w:br/>
              <w:t>Follow these steps promptly to ensure reimbursement processing.</w:t>
            </w:r>
          </w:p>
        </w:tc>
      </w:tr>
      <w:tr w:rsidR="00AB6390" w14:paraId="20BF0E0D"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BB79867" w14:textId="77777777" w:rsidR="00AB6390" w:rsidRDefault="00000000">
            <w:r>
              <w:t>Sources cited</w:t>
            </w:r>
          </w:p>
        </w:tc>
        <w:tc>
          <w:tcPr>
            <w:tcW w:w="4320" w:type="dxa"/>
          </w:tcPr>
          <w:p w14:paraId="2D5E9677" w14:textId="77777777" w:rsidR="00AB6390" w:rsidRDefault="00000000">
            <w:pPr>
              <w:cnfStyle w:val="000000010000" w:firstRow="0" w:lastRow="0" w:firstColumn="0" w:lastColumn="0" w:oddVBand="0" w:evenVBand="0" w:oddHBand="0" w:evenHBand="1" w:firstRowFirstColumn="0" w:firstRowLastColumn="0" w:lastRowFirstColumn="0" w:lastRowLastColumn="0"/>
            </w:pPr>
            <w:r>
              <w:t>Expense and Travel Reimbursement Policy, Mobile Phone and Communication Reimbursement Policy, Bring Your Own Device (BYOD) Policy</w:t>
            </w:r>
          </w:p>
        </w:tc>
      </w:tr>
      <w:tr w:rsidR="00AB6390" w14:paraId="7D8B7901"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C8AD2C0" w14:textId="77777777" w:rsidR="00AB6390" w:rsidRDefault="00000000">
            <w:r>
              <w:t>Top-5 candidate scores</w:t>
            </w:r>
          </w:p>
        </w:tc>
        <w:tc>
          <w:tcPr>
            <w:tcW w:w="4320" w:type="dxa"/>
          </w:tcPr>
          <w:p w14:paraId="54C3FB45" w14:textId="77777777" w:rsidR="00AB6390" w:rsidRDefault="00000000">
            <w:pPr>
              <w:cnfStyle w:val="000000100000" w:firstRow="0" w:lastRow="0" w:firstColumn="0" w:lastColumn="0" w:oddVBand="0" w:evenVBand="0" w:oddHBand="1" w:evenHBand="0" w:firstRowFirstColumn="0" w:firstRowLastColumn="0" w:lastRowFirstColumn="0" w:lastRowLastColumn="0"/>
            </w:pPr>
            <w:r>
              <w:t>Expense and Travel Reimbursement Policy: 0.6089</w:t>
            </w:r>
            <w:r>
              <w:br/>
              <w:t>Expense and Travel Reimbursement Policy: 0.5756</w:t>
            </w:r>
            <w:r>
              <w:br/>
              <w:t>Mobile Phone and Communication Reimbursement Policy: 0.5583</w:t>
            </w:r>
            <w:r>
              <w:br/>
              <w:t>Mobile Phone and Communication Reimbursement Policy: 0.4543</w:t>
            </w:r>
            <w:r>
              <w:br/>
              <w:t>Expense and Travel Reimbursement Policy: 0.4470</w:t>
            </w:r>
          </w:p>
        </w:tc>
      </w:tr>
    </w:tbl>
    <w:p w14:paraId="6AAE0DA0" w14:textId="77777777" w:rsidR="00AB6390" w:rsidRDefault="00AB6390"/>
    <w:p w14:paraId="324DB37A" w14:textId="77777777" w:rsidR="00AB6390" w:rsidRDefault="00000000">
      <w:pPr>
        <w:pStyle w:val="Heading3"/>
      </w:pPr>
      <w:r>
        <w:rPr>
          <w:color w:val="2F356B"/>
        </w:rPr>
        <w:t>Q6. What happens if an employee violates the code of conduct?</w:t>
      </w:r>
    </w:p>
    <w:tbl>
      <w:tblPr>
        <w:tblStyle w:val="LightGrid-Accent1"/>
        <w:tblW w:w="0" w:type="auto"/>
        <w:tblLook w:val="04A0" w:firstRow="1" w:lastRow="0" w:firstColumn="1" w:lastColumn="0" w:noHBand="0" w:noVBand="1"/>
      </w:tblPr>
      <w:tblGrid>
        <w:gridCol w:w="2304"/>
        <w:gridCol w:w="4320"/>
      </w:tblGrid>
      <w:tr w:rsidR="00AB6390" w14:paraId="4A9FFCA5"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9EB2EED" w14:textId="77777777" w:rsidR="00AB6390" w:rsidRDefault="00000000">
            <w:r>
              <w:t>Category</w:t>
            </w:r>
          </w:p>
        </w:tc>
        <w:tc>
          <w:tcPr>
            <w:tcW w:w="4320" w:type="dxa"/>
          </w:tcPr>
          <w:p w14:paraId="7E74319B" w14:textId="77777777" w:rsidR="00AB6390" w:rsidRDefault="00000000">
            <w:pPr>
              <w:cnfStyle w:val="100000000000" w:firstRow="1" w:lastRow="0" w:firstColumn="0" w:lastColumn="0" w:oddVBand="0" w:evenVBand="0" w:oddHBand="0" w:evenHBand="0" w:firstRowFirstColumn="0" w:firstRowLastColumn="0" w:lastRowFirstColumn="0" w:lastRowLastColumn="0"/>
            </w:pPr>
            <w:r>
              <w:t>Multi-document</w:t>
            </w:r>
          </w:p>
        </w:tc>
      </w:tr>
      <w:tr w:rsidR="00AB6390" w14:paraId="47EB4BC2"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6AC3103" w14:textId="77777777" w:rsidR="00AB6390" w:rsidRDefault="00000000">
            <w:r>
              <w:t>Top similarity score</w:t>
            </w:r>
          </w:p>
        </w:tc>
        <w:tc>
          <w:tcPr>
            <w:tcW w:w="4320" w:type="dxa"/>
          </w:tcPr>
          <w:p w14:paraId="46E12F95" w14:textId="77777777" w:rsidR="00AB6390" w:rsidRDefault="00000000">
            <w:pPr>
              <w:cnfStyle w:val="000000100000" w:firstRow="0" w:lastRow="0" w:firstColumn="0" w:lastColumn="0" w:oddVBand="0" w:evenVBand="0" w:oddHBand="1" w:evenHBand="0" w:firstRowFirstColumn="0" w:firstRowLastColumn="0" w:lastRowFirstColumn="0" w:lastRowLastColumn="0"/>
            </w:pPr>
            <w:r>
              <w:t>0.6343  (threshold = 0.45)</w:t>
            </w:r>
          </w:p>
        </w:tc>
      </w:tr>
      <w:tr w:rsidR="00AB6390" w14:paraId="0FDC5DA5"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8C62925" w14:textId="77777777" w:rsidR="00AB6390" w:rsidRDefault="00000000">
            <w:r>
              <w:t>Relevance gate</w:t>
            </w:r>
          </w:p>
        </w:tc>
        <w:tc>
          <w:tcPr>
            <w:tcW w:w="4320" w:type="dxa"/>
          </w:tcPr>
          <w:p w14:paraId="552537D9"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7319F6B4"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401464E" w14:textId="77777777" w:rsidR="00AB6390" w:rsidRDefault="00000000">
            <w:r>
              <w:t>Answer</w:t>
            </w:r>
          </w:p>
        </w:tc>
        <w:tc>
          <w:tcPr>
            <w:tcW w:w="4320" w:type="dxa"/>
          </w:tcPr>
          <w:p w14:paraId="0FF2DD21" w14:textId="77777777" w:rsidR="00AB6390" w:rsidRDefault="00000000">
            <w:pPr>
              <w:cnfStyle w:val="000000100000" w:firstRow="0" w:lastRow="0" w:firstColumn="0" w:lastColumn="0" w:oddVBand="0" w:evenVBand="0" w:oddHBand="1" w:evenHBand="0" w:firstRowFirstColumn="0" w:firstRowLastColumn="0" w:lastRowFirstColumn="0" w:lastRowLastColumn="0"/>
            </w:pPr>
            <w:r>
              <w:t>If an employee violates the Code of Conduct, disciplinary action may be taken up to and including termination, depending on the severity of the violation. The employee should report the violation to their manager, HR, or via the anonymous ethics hotline for investigation. HR will investigate and document findings within 14 business days where feasible.</w:t>
            </w:r>
          </w:p>
        </w:tc>
      </w:tr>
      <w:tr w:rsidR="00AB6390" w14:paraId="62DB523A"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61A4EAD" w14:textId="77777777" w:rsidR="00AB6390" w:rsidRDefault="00000000">
            <w:r>
              <w:t>Sources cited</w:t>
            </w:r>
          </w:p>
        </w:tc>
        <w:tc>
          <w:tcPr>
            <w:tcW w:w="4320" w:type="dxa"/>
          </w:tcPr>
          <w:p w14:paraId="7A492347" w14:textId="77777777" w:rsidR="00AB6390" w:rsidRDefault="00000000">
            <w:pPr>
              <w:cnfStyle w:val="000000010000" w:firstRow="0" w:lastRow="0" w:firstColumn="0" w:lastColumn="0" w:oddVBand="0" w:evenVBand="0" w:oddHBand="0" w:evenHBand="1" w:firstRowFirstColumn="0" w:firstRowLastColumn="0" w:lastRowFirstColumn="0" w:lastRowLastColumn="0"/>
            </w:pPr>
            <w:r>
              <w:t>Code of Conduct, Drug and Alcohol Policy, Employee Training and Development Policy, Anti-Harassment and Discrimination Policy</w:t>
            </w:r>
          </w:p>
        </w:tc>
      </w:tr>
      <w:tr w:rsidR="00AB6390" w14:paraId="15D992DC"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2EE6971" w14:textId="77777777" w:rsidR="00AB6390" w:rsidRDefault="00000000">
            <w:r>
              <w:t>Top-5 candidate scores</w:t>
            </w:r>
          </w:p>
        </w:tc>
        <w:tc>
          <w:tcPr>
            <w:tcW w:w="4320" w:type="dxa"/>
          </w:tcPr>
          <w:p w14:paraId="5F4FDCE1" w14:textId="77777777" w:rsidR="00AB6390" w:rsidRDefault="00000000">
            <w:pPr>
              <w:cnfStyle w:val="000000100000" w:firstRow="0" w:lastRow="0" w:firstColumn="0" w:lastColumn="0" w:oddVBand="0" w:evenVBand="0" w:oddHBand="1" w:evenHBand="0" w:firstRowFirstColumn="0" w:firstRowLastColumn="0" w:lastRowFirstColumn="0" w:lastRowLastColumn="0"/>
            </w:pPr>
            <w:r>
              <w:t>Code of Conduct: 0.6343</w:t>
            </w:r>
            <w:r>
              <w:br/>
              <w:t>Code of Conduct: 0.5960</w:t>
            </w:r>
            <w:r>
              <w:br/>
              <w:t>Drug and Alcohol Policy: 0.5647</w:t>
            </w:r>
            <w:r>
              <w:br/>
              <w:t>Anti-Harassment and Discrimination Policy: 0.5382</w:t>
            </w:r>
            <w:r>
              <w:br/>
              <w:t>Anti-Harassment and Discrimination Policy: 0.5148</w:t>
            </w:r>
          </w:p>
        </w:tc>
      </w:tr>
    </w:tbl>
    <w:p w14:paraId="56E3C3B5" w14:textId="77777777" w:rsidR="00AB6390" w:rsidRDefault="00AB6390"/>
    <w:p w14:paraId="7AD7E306" w14:textId="77777777" w:rsidR="00AB6390" w:rsidRDefault="00000000">
      <w:pPr>
        <w:pStyle w:val="Heading3"/>
      </w:pPr>
      <w:r>
        <w:rPr>
          <w:color w:val="2F356B"/>
        </w:rPr>
        <w:t>Q7. How much unpaid leave can an employee take, and who needs to approve it?</w:t>
      </w:r>
    </w:p>
    <w:tbl>
      <w:tblPr>
        <w:tblStyle w:val="LightGrid-Accent1"/>
        <w:tblW w:w="0" w:type="auto"/>
        <w:tblLook w:val="04A0" w:firstRow="1" w:lastRow="0" w:firstColumn="1" w:lastColumn="0" w:noHBand="0" w:noVBand="1"/>
      </w:tblPr>
      <w:tblGrid>
        <w:gridCol w:w="2304"/>
        <w:gridCol w:w="4320"/>
      </w:tblGrid>
      <w:tr w:rsidR="00AB6390" w14:paraId="0FF82074"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2D4914" w14:textId="77777777" w:rsidR="00AB6390" w:rsidRDefault="00000000">
            <w:r>
              <w:t>Category</w:t>
            </w:r>
          </w:p>
        </w:tc>
        <w:tc>
          <w:tcPr>
            <w:tcW w:w="4320" w:type="dxa"/>
          </w:tcPr>
          <w:p w14:paraId="2F594D52"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494A8D16"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D01B791" w14:textId="77777777" w:rsidR="00AB6390" w:rsidRDefault="00000000">
            <w:r>
              <w:t>Top similarity score</w:t>
            </w:r>
          </w:p>
        </w:tc>
        <w:tc>
          <w:tcPr>
            <w:tcW w:w="4320" w:type="dxa"/>
          </w:tcPr>
          <w:p w14:paraId="05EBFCB6" w14:textId="77777777" w:rsidR="00AB6390" w:rsidRDefault="00000000">
            <w:pPr>
              <w:cnfStyle w:val="000000100000" w:firstRow="0" w:lastRow="0" w:firstColumn="0" w:lastColumn="0" w:oddVBand="0" w:evenVBand="0" w:oddHBand="1" w:evenHBand="0" w:firstRowFirstColumn="0" w:firstRowLastColumn="0" w:lastRowFirstColumn="0" w:lastRowLastColumn="0"/>
            </w:pPr>
            <w:r>
              <w:t>0.7096  (threshold = 0.45)</w:t>
            </w:r>
          </w:p>
        </w:tc>
      </w:tr>
      <w:tr w:rsidR="00AB6390" w14:paraId="0317EBD9"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135CF5" w14:textId="77777777" w:rsidR="00AB6390" w:rsidRDefault="00000000">
            <w:r>
              <w:t>Relevance gate</w:t>
            </w:r>
          </w:p>
        </w:tc>
        <w:tc>
          <w:tcPr>
            <w:tcW w:w="4320" w:type="dxa"/>
          </w:tcPr>
          <w:p w14:paraId="1DE20649"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7CB8BA89"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BFA8B1" w14:textId="77777777" w:rsidR="00AB6390" w:rsidRDefault="00000000">
            <w:r>
              <w:t>Answer</w:t>
            </w:r>
          </w:p>
        </w:tc>
        <w:tc>
          <w:tcPr>
            <w:tcW w:w="4320" w:type="dxa"/>
          </w:tcPr>
          <w:p w14:paraId="1EB7655F" w14:textId="77777777" w:rsidR="00AB6390" w:rsidRDefault="00000000">
            <w:pPr>
              <w:cnfStyle w:val="000000100000" w:firstRow="0" w:lastRow="0" w:firstColumn="0" w:lastColumn="0" w:oddVBand="0" w:evenVBand="0" w:oddHBand="1" w:evenHBand="0" w:firstRowFirstColumn="0" w:firstRowLastColumn="0" w:lastRowFirstColumn="0" w:lastRowLastColumn="0"/>
            </w:pPr>
            <w:r>
              <w:t>Employees with more than 1 year of tenure may request up to 30 days of unpaid leave per year. This leave requires approval from both the employee's manager and HR.</w:t>
            </w:r>
          </w:p>
        </w:tc>
      </w:tr>
      <w:tr w:rsidR="00AB6390" w14:paraId="74BEBD8D"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5D90F7B" w14:textId="77777777" w:rsidR="00AB6390" w:rsidRDefault="00000000">
            <w:r>
              <w:t>Sources cited</w:t>
            </w:r>
          </w:p>
        </w:tc>
        <w:tc>
          <w:tcPr>
            <w:tcW w:w="4320" w:type="dxa"/>
          </w:tcPr>
          <w:p w14:paraId="0333C950" w14:textId="77777777" w:rsidR="00AB6390" w:rsidRDefault="00000000">
            <w:pPr>
              <w:cnfStyle w:val="000000010000" w:firstRow="0" w:lastRow="0" w:firstColumn="0" w:lastColumn="0" w:oddVBand="0" w:evenVBand="0" w:oddHBand="0" w:evenHBand="1" w:firstRowFirstColumn="0" w:firstRowLastColumn="0" w:lastRowFirstColumn="0" w:lastRowLastColumn="0"/>
            </w:pPr>
            <w:r>
              <w:t>Leave and Time-Off Policy, Termination and Offboarding Policy, Conflict of Interest Policy</w:t>
            </w:r>
          </w:p>
        </w:tc>
      </w:tr>
      <w:tr w:rsidR="00AB6390" w14:paraId="18D0954B"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7AD2F8" w14:textId="77777777" w:rsidR="00AB6390" w:rsidRDefault="00000000">
            <w:r>
              <w:t>Top-5 candidate scores</w:t>
            </w:r>
          </w:p>
        </w:tc>
        <w:tc>
          <w:tcPr>
            <w:tcW w:w="4320" w:type="dxa"/>
          </w:tcPr>
          <w:p w14:paraId="06FC5188" w14:textId="77777777" w:rsidR="00AB6390" w:rsidRDefault="00000000">
            <w:pPr>
              <w:cnfStyle w:val="000000100000" w:firstRow="0" w:lastRow="0" w:firstColumn="0" w:lastColumn="0" w:oddVBand="0" w:evenVBand="0" w:oddHBand="1" w:evenHBand="0" w:firstRowFirstColumn="0" w:firstRowLastColumn="0" w:lastRowFirstColumn="0" w:lastRowLastColumn="0"/>
            </w:pPr>
            <w:r>
              <w:t>Leave and Time-Off Policy: 0.7096</w:t>
            </w:r>
            <w:r>
              <w:br/>
              <w:t>Leave and Time-Off Policy: 0.6380</w:t>
            </w:r>
            <w:r>
              <w:br/>
              <w:t>Leave and Time-Off Policy: 0.5550</w:t>
            </w:r>
            <w:r>
              <w:br/>
              <w:t>Termination and Offboarding Policy: 0.4632</w:t>
            </w:r>
            <w:r>
              <w:br/>
              <w:t>Conflict of Interest Policy: 0.4278</w:t>
            </w:r>
          </w:p>
        </w:tc>
      </w:tr>
    </w:tbl>
    <w:p w14:paraId="14FC0B48" w14:textId="77777777" w:rsidR="00AB6390" w:rsidRDefault="00AB6390"/>
    <w:p w14:paraId="24498301" w14:textId="77777777" w:rsidR="00AB6390" w:rsidRDefault="00000000">
      <w:pPr>
        <w:pStyle w:val="Heading3"/>
      </w:pPr>
      <w:r>
        <w:rPr>
          <w:color w:val="2F356B"/>
        </w:rPr>
        <w:t>Q8. What security requirements apply when employees work remotely, and what devices are approved for that?</w:t>
      </w:r>
    </w:p>
    <w:tbl>
      <w:tblPr>
        <w:tblStyle w:val="LightGrid-Accent1"/>
        <w:tblW w:w="0" w:type="auto"/>
        <w:tblLook w:val="04A0" w:firstRow="1" w:lastRow="0" w:firstColumn="1" w:lastColumn="0" w:noHBand="0" w:noVBand="1"/>
      </w:tblPr>
      <w:tblGrid>
        <w:gridCol w:w="2304"/>
        <w:gridCol w:w="4320"/>
      </w:tblGrid>
      <w:tr w:rsidR="00AB6390" w14:paraId="5ED7DBFF"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3337988" w14:textId="77777777" w:rsidR="00AB6390" w:rsidRDefault="00000000">
            <w:r>
              <w:t>Category</w:t>
            </w:r>
          </w:p>
        </w:tc>
        <w:tc>
          <w:tcPr>
            <w:tcW w:w="4320" w:type="dxa"/>
          </w:tcPr>
          <w:p w14:paraId="58CA2AC6" w14:textId="77777777" w:rsidR="00AB6390" w:rsidRDefault="00000000">
            <w:pPr>
              <w:cnfStyle w:val="100000000000" w:firstRow="1" w:lastRow="0" w:firstColumn="0" w:lastColumn="0" w:oddVBand="0" w:evenVBand="0" w:oddHBand="0" w:evenHBand="0" w:firstRowFirstColumn="0" w:firstRowLastColumn="0" w:lastRowFirstColumn="0" w:lastRowLastColumn="0"/>
            </w:pPr>
            <w:r>
              <w:t>Multi-document</w:t>
            </w:r>
          </w:p>
        </w:tc>
      </w:tr>
      <w:tr w:rsidR="00AB6390" w14:paraId="2251A132"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1FBF53" w14:textId="77777777" w:rsidR="00AB6390" w:rsidRDefault="00000000">
            <w:r>
              <w:t>Top similarity score</w:t>
            </w:r>
          </w:p>
        </w:tc>
        <w:tc>
          <w:tcPr>
            <w:tcW w:w="4320" w:type="dxa"/>
          </w:tcPr>
          <w:p w14:paraId="4EFB8607" w14:textId="77777777" w:rsidR="00AB6390" w:rsidRDefault="00000000">
            <w:pPr>
              <w:cnfStyle w:val="000000100000" w:firstRow="0" w:lastRow="0" w:firstColumn="0" w:lastColumn="0" w:oddVBand="0" w:evenVBand="0" w:oddHBand="1" w:evenHBand="0" w:firstRowFirstColumn="0" w:firstRowLastColumn="0" w:lastRowFirstColumn="0" w:lastRowLastColumn="0"/>
            </w:pPr>
            <w:r>
              <w:t>0.6601  (threshold = 0.45)</w:t>
            </w:r>
          </w:p>
        </w:tc>
      </w:tr>
      <w:tr w:rsidR="00AB6390" w14:paraId="56714430"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0A1CF29" w14:textId="77777777" w:rsidR="00AB6390" w:rsidRDefault="00000000">
            <w:r>
              <w:t>Relevance gate</w:t>
            </w:r>
          </w:p>
        </w:tc>
        <w:tc>
          <w:tcPr>
            <w:tcW w:w="4320" w:type="dxa"/>
          </w:tcPr>
          <w:p w14:paraId="4A95231F"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3420803B"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251BCCE" w14:textId="77777777" w:rsidR="00AB6390" w:rsidRDefault="00000000">
            <w:r>
              <w:t>Answer</w:t>
            </w:r>
          </w:p>
        </w:tc>
        <w:tc>
          <w:tcPr>
            <w:tcW w:w="4320" w:type="dxa"/>
          </w:tcPr>
          <w:p w14:paraId="24C4FCBC" w14:textId="77777777" w:rsidR="00AB6390" w:rsidRDefault="00000000">
            <w:pPr>
              <w:cnfStyle w:val="000000100000" w:firstRow="0" w:lastRow="0" w:firstColumn="0" w:lastColumn="0" w:oddVBand="0" w:evenVBand="0" w:oddHBand="1" w:evenHBand="0" w:firstRowFirstColumn="0" w:firstRowLastColumn="0" w:lastRowFirstColumn="0" w:lastRowLastColumn="0"/>
            </w:pPr>
            <w:r>
              <w:t>When working remotely, employees must use the company VPN to access internal systems and avoid unsecured public Wi-Fi without VPN protection. Company laptops must have disk encryption and the endpoint security agent enabled at all times. Personal devices accessing company email or documents must be enrolled in the Mobile Device Management (MDM) system and comply with BYOD security requirements: passcode or biometric lock, automatic screen lock after 5 minutes, and latest OS security updates installed. Approved devices include company-provided laptops and personal smartphones/tablets enrolled in MDM.</w:t>
            </w:r>
          </w:p>
        </w:tc>
      </w:tr>
      <w:tr w:rsidR="00AB6390" w14:paraId="4F958DD2"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DE4194B" w14:textId="77777777" w:rsidR="00AB6390" w:rsidRDefault="00000000">
            <w:r>
              <w:t>Sources cited</w:t>
            </w:r>
          </w:p>
        </w:tc>
        <w:tc>
          <w:tcPr>
            <w:tcW w:w="4320" w:type="dxa"/>
          </w:tcPr>
          <w:p w14:paraId="12AB457D" w14:textId="77777777" w:rsidR="00AB6390" w:rsidRDefault="00000000">
            <w:pPr>
              <w:cnfStyle w:val="000000010000" w:firstRow="0" w:lastRow="0" w:firstColumn="0" w:lastColumn="0" w:oddVBand="0" w:evenVBand="0" w:oddHBand="0" w:evenHBand="1" w:firstRowFirstColumn="0" w:firstRowLastColumn="0" w:lastRowFirstColumn="0" w:lastRowLastColumn="0"/>
            </w:pPr>
            <w:r>
              <w:t>Remote and Hybrid Work Policy, IT Security and Acceptable Use Policy, Bring Your Own Device (BYOD) Policy</w:t>
            </w:r>
          </w:p>
        </w:tc>
      </w:tr>
      <w:tr w:rsidR="00AB6390" w14:paraId="218D58C0"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76EA115" w14:textId="77777777" w:rsidR="00AB6390" w:rsidRDefault="00000000">
            <w:r>
              <w:t>Top-5 candidate scores</w:t>
            </w:r>
          </w:p>
        </w:tc>
        <w:tc>
          <w:tcPr>
            <w:tcW w:w="4320" w:type="dxa"/>
          </w:tcPr>
          <w:p w14:paraId="2A267CC5" w14:textId="77777777" w:rsidR="00AB6390" w:rsidRDefault="00000000">
            <w:pPr>
              <w:cnfStyle w:val="000000100000" w:firstRow="0" w:lastRow="0" w:firstColumn="0" w:lastColumn="0" w:oddVBand="0" w:evenVBand="0" w:oddHBand="1" w:evenHBand="0" w:firstRowFirstColumn="0" w:firstRowLastColumn="0" w:lastRowFirstColumn="0" w:lastRowLastColumn="0"/>
            </w:pPr>
            <w:r>
              <w:t>Remote and Hybrid Work Policy: 0.6601</w:t>
            </w:r>
            <w:r>
              <w:br/>
              <w:t>Remote and Hybrid Work Policy: 0.6401</w:t>
            </w:r>
            <w:r>
              <w:br/>
              <w:t>IT Security and Acceptable Use Policy: 0.6195</w:t>
            </w:r>
            <w:r>
              <w:br/>
              <w:t>Bring Your Own Device (BYOD) Policy: 0.5885</w:t>
            </w:r>
            <w:r>
              <w:br/>
              <w:t>Remote and Hybrid Work Policy: 0.5573</w:t>
            </w:r>
          </w:p>
        </w:tc>
      </w:tr>
    </w:tbl>
    <w:p w14:paraId="469286A8" w14:textId="77777777" w:rsidR="00AB6390" w:rsidRDefault="00AB6390"/>
    <w:p w14:paraId="7E44AAC0" w14:textId="77777777" w:rsidR="00AB6390" w:rsidRDefault="00000000">
      <w:pPr>
        <w:pStyle w:val="Heading3"/>
      </w:pPr>
      <w:r>
        <w:rPr>
          <w:color w:val="2F356B"/>
        </w:rPr>
        <w:t>Q9. Can I accept a gift from a vendor, and is there a value limit?</w:t>
      </w:r>
    </w:p>
    <w:tbl>
      <w:tblPr>
        <w:tblStyle w:val="LightGrid-Accent1"/>
        <w:tblW w:w="0" w:type="auto"/>
        <w:tblLook w:val="04A0" w:firstRow="1" w:lastRow="0" w:firstColumn="1" w:lastColumn="0" w:noHBand="0" w:noVBand="1"/>
      </w:tblPr>
      <w:tblGrid>
        <w:gridCol w:w="2304"/>
        <w:gridCol w:w="4320"/>
      </w:tblGrid>
      <w:tr w:rsidR="00AB6390" w14:paraId="45649074"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B579225" w14:textId="77777777" w:rsidR="00AB6390" w:rsidRDefault="00000000">
            <w:r>
              <w:t>Category</w:t>
            </w:r>
          </w:p>
        </w:tc>
        <w:tc>
          <w:tcPr>
            <w:tcW w:w="4320" w:type="dxa"/>
          </w:tcPr>
          <w:p w14:paraId="598E5BCC" w14:textId="77777777" w:rsidR="00AB6390" w:rsidRDefault="00000000">
            <w:pPr>
              <w:cnfStyle w:val="100000000000" w:firstRow="1" w:lastRow="0" w:firstColumn="0" w:lastColumn="0" w:oddVBand="0" w:evenVBand="0" w:oddHBand="0" w:evenHBand="0" w:firstRowFirstColumn="0" w:firstRowLastColumn="0" w:lastRowFirstColumn="0" w:lastRowLastColumn="0"/>
            </w:pPr>
            <w:r>
              <w:t>Straightforward</w:t>
            </w:r>
          </w:p>
        </w:tc>
      </w:tr>
      <w:tr w:rsidR="00AB6390" w14:paraId="1E08648B"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0688D5" w14:textId="77777777" w:rsidR="00AB6390" w:rsidRDefault="00000000">
            <w:r>
              <w:t>Top similarity score</w:t>
            </w:r>
          </w:p>
        </w:tc>
        <w:tc>
          <w:tcPr>
            <w:tcW w:w="4320" w:type="dxa"/>
          </w:tcPr>
          <w:p w14:paraId="1BBC334A" w14:textId="77777777" w:rsidR="00AB6390" w:rsidRDefault="00000000">
            <w:pPr>
              <w:cnfStyle w:val="000000100000" w:firstRow="0" w:lastRow="0" w:firstColumn="0" w:lastColumn="0" w:oddVBand="0" w:evenVBand="0" w:oddHBand="1" w:evenHBand="0" w:firstRowFirstColumn="0" w:firstRowLastColumn="0" w:lastRowFirstColumn="0" w:lastRowLastColumn="0"/>
            </w:pPr>
            <w:r>
              <w:t>0.6119  (threshold = 0.45)</w:t>
            </w:r>
          </w:p>
        </w:tc>
      </w:tr>
      <w:tr w:rsidR="00AB6390" w14:paraId="170AE64F"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305E6FD" w14:textId="77777777" w:rsidR="00AB6390" w:rsidRDefault="00000000">
            <w:r>
              <w:t>Relevance gate</w:t>
            </w:r>
          </w:p>
        </w:tc>
        <w:tc>
          <w:tcPr>
            <w:tcW w:w="4320" w:type="dxa"/>
          </w:tcPr>
          <w:p w14:paraId="547B3E1E"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0649E1C6"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8321D46" w14:textId="77777777" w:rsidR="00AB6390" w:rsidRDefault="00000000">
            <w:r>
              <w:t>Answer</w:t>
            </w:r>
          </w:p>
        </w:tc>
        <w:tc>
          <w:tcPr>
            <w:tcW w:w="4320" w:type="dxa"/>
          </w:tcPr>
          <w:p w14:paraId="5599BF39" w14:textId="77777777" w:rsidR="00AB6390" w:rsidRDefault="00000000">
            <w:pPr>
              <w:cnfStyle w:val="000000100000" w:firstRow="0" w:lastRow="0" w:firstColumn="0" w:lastColumn="0" w:oddVBand="0" w:evenVBand="0" w:oddHBand="1" w:evenHBand="0" w:firstRowFirstColumn="0" w:firstRowLastColumn="0" w:lastRowFirstColumn="0" w:lastRowLastColumn="0"/>
            </w:pPr>
            <w:r>
              <w:t>Employees may accept gifts from vendors only if the gift is valued under $100. Gifts over $100 must be declined or reported to your manager and logged with Compliance. Cash gifts of any amount are prohibited.</w:t>
            </w:r>
          </w:p>
        </w:tc>
      </w:tr>
      <w:tr w:rsidR="00AB6390" w14:paraId="243D284E"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B672A44" w14:textId="77777777" w:rsidR="00AB6390" w:rsidRDefault="00000000">
            <w:r>
              <w:t>Sources cited</w:t>
            </w:r>
          </w:p>
        </w:tc>
        <w:tc>
          <w:tcPr>
            <w:tcW w:w="4320" w:type="dxa"/>
          </w:tcPr>
          <w:p w14:paraId="1FCD5B88" w14:textId="77777777" w:rsidR="00AB6390" w:rsidRDefault="00000000">
            <w:pPr>
              <w:cnfStyle w:val="000000010000" w:firstRow="0" w:lastRow="0" w:firstColumn="0" w:lastColumn="0" w:oddVBand="0" w:evenVBand="0" w:oddHBand="0" w:evenHBand="1" w:firstRowFirstColumn="0" w:firstRowLastColumn="0" w:lastRowFirstColumn="0" w:lastRowLastColumn="0"/>
            </w:pPr>
            <w:r>
              <w:t>Gift and Hospitality Policy, Code of Conduct, Procurement and Purchasing Policy</w:t>
            </w:r>
          </w:p>
        </w:tc>
      </w:tr>
      <w:tr w:rsidR="00AB6390" w14:paraId="3D43FAF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93FFF24" w14:textId="77777777" w:rsidR="00AB6390" w:rsidRDefault="00000000">
            <w:r>
              <w:t>Top-5 candidate scores</w:t>
            </w:r>
          </w:p>
        </w:tc>
        <w:tc>
          <w:tcPr>
            <w:tcW w:w="4320" w:type="dxa"/>
          </w:tcPr>
          <w:p w14:paraId="072BFADF" w14:textId="77777777" w:rsidR="00AB6390" w:rsidRDefault="00000000">
            <w:pPr>
              <w:cnfStyle w:val="000000100000" w:firstRow="0" w:lastRow="0" w:firstColumn="0" w:lastColumn="0" w:oddVBand="0" w:evenVBand="0" w:oddHBand="1" w:evenHBand="0" w:firstRowFirstColumn="0" w:firstRowLastColumn="0" w:lastRowFirstColumn="0" w:lastRowLastColumn="0"/>
            </w:pPr>
            <w:r>
              <w:t>Gift and Hospitality Policy: 0.6119</w:t>
            </w:r>
            <w:r>
              <w:br/>
              <w:t>Gift and Hospitality Policy: 0.5883</w:t>
            </w:r>
            <w:r>
              <w:br/>
              <w:t>Gift and Hospitality Policy: 0.5547</w:t>
            </w:r>
            <w:r>
              <w:br/>
              <w:t>Code of Conduct: 0.5006</w:t>
            </w:r>
            <w:r>
              <w:br/>
              <w:t>Procurement and Purchasing Policy: 0.4153</w:t>
            </w:r>
          </w:p>
        </w:tc>
      </w:tr>
    </w:tbl>
    <w:p w14:paraId="74002AF9" w14:textId="77777777" w:rsidR="00AB6390" w:rsidRDefault="00AB6390"/>
    <w:p w14:paraId="457D90B6" w14:textId="77777777" w:rsidR="00AB6390" w:rsidRDefault="00000000">
      <w:pPr>
        <w:pStyle w:val="Heading3"/>
      </w:pPr>
      <w:r>
        <w:rPr>
          <w:color w:val="2F356B"/>
        </w:rPr>
        <w:t>Q10. What's the policy on this?</w:t>
      </w:r>
    </w:p>
    <w:tbl>
      <w:tblPr>
        <w:tblStyle w:val="LightGrid-Accent1"/>
        <w:tblW w:w="0" w:type="auto"/>
        <w:tblLook w:val="04A0" w:firstRow="1" w:lastRow="0" w:firstColumn="1" w:lastColumn="0" w:noHBand="0" w:noVBand="1"/>
      </w:tblPr>
      <w:tblGrid>
        <w:gridCol w:w="2304"/>
        <w:gridCol w:w="4320"/>
      </w:tblGrid>
      <w:tr w:rsidR="00AB6390" w14:paraId="32066585"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D257280" w14:textId="77777777" w:rsidR="00AB6390" w:rsidRDefault="00000000">
            <w:r>
              <w:t>Category</w:t>
            </w:r>
          </w:p>
        </w:tc>
        <w:tc>
          <w:tcPr>
            <w:tcW w:w="4320" w:type="dxa"/>
          </w:tcPr>
          <w:p w14:paraId="20A69748" w14:textId="77777777" w:rsidR="00AB6390" w:rsidRDefault="00000000">
            <w:pPr>
              <w:cnfStyle w:val="100000000000" w:firstRow="1" w:lastRow="0" w:firstColumn="0" w:lastColumn="0" w:oddVBand="0" w:evenVBand="0" w:oddHBand="0" w:evenHBand="0" w:firstRowFirstColumn="0" w:firstRowLastColumn="0" w:lastRowFirstColumn="0" w:lastRowLastColumn="0"/>
            </w:pPr>
            <w:r>
              <w:t>Ambiguous</w:t>
            </w:r>
          </w:p>
        </w:tc>
      </w:tr>
      <w:tr w:rsidR="00AB6390" w14:paraId="225769A4"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717A48" w14:textId="77777777" w:rsidR="00AB6390" w:rsidRDefault="00000000">
            <w:r>
              <w:t>Top similarity score</w:t>
            </w:r>
          </w:p>
        </w:tc>
        <w:tc>
          <w:tcPr>
            <w:tcW w:w="4320" w:type="dxa"/>
          </w:tcPr>
          <w:p w14:paraId="2E6CE344" w14:textId="77777777" w:rsidR="00AB6390" w:rsidRDefault="00000000">
            <w:pPr>
              <w:cnfStyle w:val="000000100000" w:firstRow="0" w:lastRow="0" w:firstColumn="0" w:lastColumn="0" w:oddVBand="0" w:evenVBand="0" w:oddHBand="1" w:evenHBand="0" w:firstRowFirstColumn="0" w:firstRowLastColumn="0" w:lastRowFirstColumn="0" w:lastRowLastColumn="0"/>
            </w:pPr>
            <w:r>
              <w:t>0.4286  (threshold = 0.45)</w:t>
            </w:r>
          </w:p>
        </w:tc>
      </w:tr>
      <w:tr w:rsidR="00AB6390" w14:paraId="0C906AA3"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E7C8C6D" w14:textId="77777777" w:rsidR="00AB6390" w:rsidRDefault="00000000">
            <w:r>
              <w:t>Relevance gate</w:t>
            </w:r>
          </w:p>
        </w:tc>
        <w:tc>
          <w:tcPr>
            <w:tcW w:w="4320" w:type="dxa"/>
          </w:tcPr>
          <w:p w14:paraId="5B23EEE3" w14:textId="77777777" w:rsidR="00AB6390" w:rsidRDefault="00000000">
            <w:pPr>
              <w:cnfStyle w:val="000000010000" w:firstRow="0" w:lastRow="0" w:firstColumn="0" w:lastColumn="0" w:oddVBand="0" w:evenVBand="0" w:oddHBand="0" w:evenHBand="1" w:firstRowFirstColumn="0" w:firstRowLastColumn="0" w:lastRowFirstColumn="0" w:lastRowLastColumn="0"/>
            </w:pPr>
            <w:r>
              <w:t>REFUSED (below threshold)</w:t>
            </w:r>
          </w:p>
        </w:tc>
      </w:tr>
      <w:tr w:rsidR="00AB6390" w14:paraId="51FB2D8C"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B579F79" w14:textId="77777777" w:rsidR="00AB6390" w:rsidRDefault="00000000">
            <w:r>
              <w:t>Answer</w:t>
            </w:r>
          </w:p>
        </w:tc>
        <w:tc>
          <w:tcPr>
            <w:tcW w:w="4320" w:type="dxa"/>
          </w:tcPr>
          <w:p w14:paraId="0B8D978A" w14:textId="77777777" w:rsidR="00AB6390" w:rsidRDefault="00000000">
            <w:pPr>
              <w:cnfStyle w:val="000000100000" w:firstRow="0" w:lastRow="0" w:firstColumn="0" w:lastColumn="0" w:oddVBand="0" w:evenVBand="0" w:oddHBand="1" w:evenHBand="0" w:firstRowFirstColumn="0" w:firstRowLastColumn="0" w:lastRowFirstColumn="0" w:lastRowLastColumn="0"/>
            </w:pPr>
            <w:r>
              <w:t>I don't have that information about this.</w:t>
            </w:r>
          </w:p>
        </w:tc>
      </w:tr>
      <w:tr w:rsidR="00AB6390" w14:paraId="651851E4"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0F3857" w14:textId="77777777" w:rsidR="00AB6390" w:rsidRDefault="00000000">
            <w:r>
              <w:t>Sources cited</w:t>
            </w:r>
          </w:p>
        </w:tc>
        <w:tc>
          <w:tcPr>
            <w:tcW w:w="4320" w:type="dxa"/>
          </w:tcPr>
          <w:p w14:paraId="5EF12B55" w14:textId="77777777" w:rsidR="00AB6390" w:rsidRDefault="00000000">
            <w:pPr>
              <w:cnfStyle w:val="000000010000" w:firstRow="0" w:lastRow="0" w:firstColumn="0" w:lastColumn="0" w:oddVBand="0" w:evenVBand="0" w:oddHBand="0" w:evenHBand="1" w:firstRowFirstColumn="0" w:firstRowLastColumn="0" w:lastRowFirstColumn="0" w:lastRowLastColumn="0"/>
            </w:pPr>
            <w:r>
              <w:t>— (none)</w:t>
            </w:r>
          </w:p>
        </w:tc>
      </w:tr>
      <w:tr w:rsidR="00AB6390" w14:paraId="785BD482"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10A74E3" w14:textId="77777777" w:rsidR="00AB6390" w:rsidRDefault="00000000">
            <w:r>
              <w:t>Top-5 candidate scores</w:t>
            </w:r>
          </w:p>
        </w:tc>
        <w:tc>
          <w:tcPr>
            <w:tcW w:w="4320" w:type="dxa"/>
          </w:tcPr>
          <w:p w14:paraId="3933193C" w14:textId="77777777" w:rsidR="00AB6390" w:rsidRDefault="00000000">
            <w:pPr>
              <w:cnfStyle w:val="000000100000" w:firstRow="0" w:lastRow="0" w:firstColumn="0" w:lastColumn="0" w:oddVBand="0" w:evenVBand="0" w:oddHBand="1" w:evenHBand="0" w:firstRowFirstColumn="0" w:firstRowLastColumn="0" w:lastRowFirstColumn="0" w:lastRowLastColumn="0"/>
            </w:pPr>
            <w:r>
              <w:t>Drug and Alcohol Policy: 0.4286</w:t>
            </w:r>
            <w:r>
              <w:br/>
              <w:t>Gift and Hospitality Policy: 0.4226</w:t>
            </w:r>
            <w:r>
              <w:br/>
              <w:t>Intellectual Property Policy: 0.4176</w:t>
            </w:r>
            <w:r>
              <w:br/>
              <w:t>Remote and Hybrid Work Policy: 0.4150</w:t>
            </w:r>
            <w:r>
              <w:br/>
              <w:t>Social Media Policy: 0.4141</w:t>
            </w:r>
          </w:p>
        </w:tc>
      </w:tr>
    </w:tbl>
    <w:p w14:paraId="75F46487" w14:textId="77777777" w:rsidR="00AB6390" w:rsidRDefault="00AB6390"/>
    <w:p w14:paraId="3BC17F10" w14:textId="77777777" w:rsidR="00AB6390" w:rsidRDefault="00000000">
      <w:pPr>
        <w:pStyle w:val="Heading3"/>
      </w:pPr>
      <w:r>
        <w:rPr>
          <w:color w:val="2F356B"/>
        </w:rPr>
        <w:t>Q11. How do I get a refund for a product I bought as a customer?</w:t>
      </w:r>
    </w:p>
    <w:tbl>
      <w:tblPr>
        <w:tblStyle w:val="LightGrid-Accent1"/>
        <w:tblW w:w="0" w:type="auto"/>
        <w:tblLook w:val="04A0" w:firstRow="1" w:lastRow="0" w:firstColumn="1" w:lastColumn="0" w:noHBand="0" w:noVBand="1"/>
      </w:tblPr>
      <w:tblGrid>
        <w:gridCol w:w="2304"/>
        <w:gridCol w:w="4320"/>
      </w:tblGrid>
      <w:tr w:rsidR="00AB6390" w14:paraId="63ADFDEC"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9345192" w14:textId="77777777" w:rsidR="00AB6390" w:rsidRDefault="00000000">
            <w:r>
              <w:t>Category</w:t>
            </w:r>
          </w:p>
        </w:tc>
        <w:tc>
          <w:tcPr>
            <w:tcW w:w="4320" w:type="dxa"/>
          </w:tcPr>
          <w:p w14:paraId="372A0FD4" w14:textId="77777777" w:rsidR="00AB6390" w:rsidRDefault="00000000">
            <w:pPr>
              <w:cnfStyle w:val="100000000000" w:firstRow="1" w:lastRow="0" w:firstColumn="0" w:lastColumn="0" w:oddVBand="0" w:evenVBand="0" w:oddHBand="0" w:evenHBand="0" w:firstRowFirstColumn="0" w:firstRowLastColumn="0" w:lastRowFirstColumn="0" w:lastRowLastColumn="0"/>
            </w:pPr>
            <w:r>
              <w:t>Out-of-scope</w:t>
            </w:r>
          </w:p>
        </w:tc>
      </w:tr>
      <w:tr w:rsidR="00AB6390" w14:paraId="54BC56F1"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4F332A2" w14:textId="77777777" w:rsidR="00AB6390" w:rsidRDefault="00000000">
            <w:r>
              <w:t>Top similarity score</w:t>
            </w:r>
          </w:p>
        </w:tc>
        <w:tc>
          <w:tcPr>
            <w:tcW w:w="4320" w:type="dxa"/>
          </w:tcPr>
          <w:p w14:paraId="20EA39E9" w14:textId="77777777" w:rsidR="00AB6390" w:rsidRDefault="00000000">
            <w:pPr>
              <w:cnfStyle w:val="000000100000" w:firstRow="0" w:lastRow="0" w:firstColumn="0" w:lastColumn="0" w:oddVBand="0" w:evenVBand="0" w:oddHBand="1" w:evenHBand="0" w:firstRowFirstColumn="0" w:firstRowLastColumn="0" w:lastRowFirstColumn="0" w:lastRowLastColumn="0"/>
            </w:pPr>
            <w:r>
              <w:t>0.3650  (threshold = 0.45)</w:t>
            </w:r>
          </w:p>
        </w:tc>
      </w:tr>
      <w:tr w:rsidR="00AB6390" w14:paraId="3D8C0D8C"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603756" w14:textId="77777777" w:rsidR="00AB6390" w:rsidRDefault="00000000">
            <w:r>
              <w:t>Relevance gate</w:t>
            </w:r>
          </w:p>
        </w:tc>
        <w:tc>
          <w:tcPr>
            <w:tcW w:w="4320" w:type="dxa"/>
          </w:tcPr>
          <w:p w14:paraId="7E37CBA2" w14:textId="77777777" w:rsidR="00AB6390" w:rsidRDefault="00000000">
            <w:pPr>
              <w:cnfStyle w:val="000000010000" w:firstRow="0" w:lastRow="0" w:firstColumn="0" w:lastColumn="0" w:oddVBand="0" w:evenVBand="0" w:oddHBand="0" w:evenHBand="1" w:firstRowFirstColumn="0" w:firstRowLastColumn="0" w:lastRowFirstColumn="0" w:lastRowLastColumn="0"/>
            </w:pPr>
            <w:r>
              <w:t>REFUSED (below threshold)</w:t>
            </w:r>
          </w:p>
        </w:tc>
      </w:tr>
      <w:tr w:rsidR="00AB6390" w14:paraId="4C44080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0F08BE6" w14:textId="77777777" w:rsidR="00AB6390" w:rsidRDefault="00000000">
            <w:r>
              <w:t>Answer</w:t>
            </w:r>
          </w:p>
        </w:tc>
        <w:tc>
          <w:tcPr>
            <w:tcW w:w="4320" w:type="dxa"/>
          </w:tcPr>
          <w:p w14:paraId="6733E0CD" w14:textId="77777777" w:rsidR="00AB6390" w:rsidRDefault="00000000">
            <w:pPr>
              <w:cnfStyle w:val="000000100000" w:firstRow="0" w:lastRow="0" w:firstColumn="0" w:lastColumn="0" w:oddVBand="0" w:evenVBand="0" w:oddHBand="1" w:evenHBand="0" w:firstRowFirstColumn="0" w:firstRowLastColumn="0" w:lastRowFirstColumn="0" w:lastRowLastColumn="0"/>
            </w:pPr>
            <w:r>
              <w:t>I don't have that information about this.</w:t>
            </w:r>
          </w:p>
        </w:tc>
      </w:tr>
      <w:tr w:rsidR="00AB6390" w14:paraId="1D3251F8"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8F5533A" w14:textId="77777777" w:rsidR="00AB6390" w:rsidRDefault="00000000">
            <w:r>
              <w:t>Sources cited</w:t>
            </w:r>
          </w:p>
        </w:tc>
        <w:tc>
          <w:tcPr>
            <w:tcW w:w="4320" w:type="dxa"/>
          </w:tcPr>
          <w:p w14:paraId="2686D1FB" w14:textId="77777777" w:rsidR="00AB6390" w:rsidRDefault="00000000">
            <w:pPr>
              <w:cnfStyle w:val="000000010000" w:firstRow="0" w:lastRow="0" w:firstColumn="0" w:lastColumn="0" w:oddVBand="0" w:evenVBand="0" w:oddHBand="0" w:evenHBand="1" w:firstRowFirstColumn="0" w:firstRowLastColumn="0" w:lastRowFirstColumn="0" w:lastRowLastColumn="0"/>
            </w:pPr>
            <w:r>
              <w:t>— (none)</w:t>
            </w:r>
          </w:p>
        </w:tc>
      </w:tr>
      <w:tr w:rsidR="00AB6390" w14:paraId="64685ED9"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7F4B05" w14:textId="77777777" w:rsidR="00AB6390" w:rsidRDefault="00000000">
            <w:r>
              <w:t>Top-5 candidate scores</w:t>
            </w:r>
          </w:p>
        </w:tc>
        <w:tc>
          <w:tcPr>
            <w:tcW w:w="4320" w:type="dxa"/>
          </w:tcPr>
          <w:p w14:paraId="646DD3EF" w14:textId="77777777" w:rsidR="00AB6390" w:rsidRDefault="00000000">
            <w:pPr>
              <w:cnfStyle w:val="000000100000" w:firstRow="0" w:lastRow="0" w:firstColumn="0" w:lastColumn="0" w:oddVBand="0" w:evenVBand="0" w:oddHBand="1" w:evenHBand="0" w:firstRowFirstColumn="0" w:firstRowLastColumn="0" w:lastRowFirstColumn="0" w:lastRowLastColumn="0"/>
            </w:pPr>
            <w:r>
              <w:t>Customer Data Handling Policy: 0.3650</w:t>
            </w:r>
            <w:r>
              <w:br/>
              <w:t>Sales Commission Policy: 0.3384</w:t>
            </w:r>
            <w:r>
              <w:br/>
              <w:t>Invoice and Payment Policy: 0.3257</w:t>
            </w:r>
            <w:r>
              <w:br/>
              <w:t>Expense and Travel Reimbursement Policy: 0.3142</w:t>
            </w:r>
            <w:r>
              <w:br/>
              <w:t>Customer Data Handling Policy: 0.2838</w:t>
            </w:r>
          </w:p>
        </w:tc>
      </w:tr>
    </w:tbl>
    <w:p w14:paraId="130BA1AC" w14:textId="77777777" w:rsidR="00AB6390" w:rsidRDefault="00AB6390"/>
    <w:p w14:paraId="4045FA1B" w14:textId="77777777" w:rsidR="00AB6390" w:rsidRDefault="00000000">
      <w:pPr>
        <w:pStyle w:val="Heading3"/>
      </w:pPr>
      <w:r>
        <w:rPr>
          <w:color w:val="2F356B"/>
        </w:rPr>
        <w:t>Q12. What's the weather forecast for tomorrow?</w:t>
      </w:r>
    </w:p>
    <w:tbl>
      <w:tblPr>
        <w:tblStyle w:val="LightGrid-Accent1"/>
        <w:tblW w:w="0" w:type="auto"/>
        <w:tblLook w:val="04A0" w:firstRow="1" w:lastRow="0" w:firstColumn="1" w:lastColumn="0" w:noHBand="0" w:noVBand="1"/>
      </w:tblPr>
      <w:tblGrid>
        <w:gridCol w:w="2304"/>
        <w:gridCol w:w="4320"/>
      </w:tblGrid>
      <w:tr w:rsidR="00AB6390" w14:paraId="5FC266EB"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798C79B" w14:textId="77777777" w:rsidR="00AB6390" w:rsidRDefault="00000000">
            <w:r>
              <w:t>Category</w:t>
            </w:r>
          </w:p>
        </w:tc>
        <w:tc>
          <w:tcPr>
            <w:tcW w:w="4320" w:type="dxa"/>
          </w:tcPr>
          <w:p w14:paraId="1B2E716F" w14:textId="77777777" w:rsidR="00AB6390" w:rsidRDefault="00000000">
            <w:pPr>
              <w:cnfStyle w:val="100000000000" w:firstRow="1" w:lastRow="0" w:firstColumn="0" w:lastColumn="0" w:oddVBand="0" w:evenVBand="0" w:oddHBand="0" w:evenHBand="0" w:firstRowFirstColumn="0" w:firstRowLastColumn="0" w:lastRowFirstColumn="0" w:lastRowLastColumn="0"/>
            </w:pPr>
            <w:r>
              <w:t>Out-of-scope</w:t>
            </w:r>
          </w:p>
        </w:tc>
      </w:tr>
      <w:tr w:rsidR="00AB6390" w14:paraId="52858CC1"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F33D08" w14:textId="77777777" w:rsidR="00AB6390" w:rsidRDefault="00000000">
            <w:r>
              <w:t>Top similarity score</w:t>
            </w:r>
          </w:p>
        </w:tc>
        <w:tc>
          <w:tcPr>
            <w:tcW w:w="4320" w:type="dxa"/>
          </w:tcPr>
          <w:p w14:paraId="717938D1" w14:textId="77777777" w:rsidR="00AB6390" w:rsidRDefault="00000000">
            <w:pPr>
              <w:cnfStyle w:val="000000100000" w:firstRow="0" w:lastRow="0" w:firstColumn="0" w:lastColumn="0" w:oddVBand="0" w:evenVBand="0" w:oddHBand="1" w:evenHBand="0" w:firstRowFirstColumn="0" w:firstRowLastColumn="0" w:lastRowFirstColumn="0" w:lastRowLastColumn="0"/>
            </w:pPr>
            <w:r>
              <w:t>0.1871  (threshold = 0.45)</w:t>
            </w:r>
          </w:p>
        </w:tc>
      </w:tr>
      <w:tr w:rsidR="00AB6390" w14:paraId="0651F0A8"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875B86E" w14:textId="77777777" w:rsidR="00AB6390" w:rsidRDefault="00000000">
            <w:r>
              <w:t>Relevance gate</w:t>
            </w:r>
          </w:p>
        </w:tc>
        <w:tc>
          <w:tcPr>
            <w:tcW w:w="4320" w:type="dxa"/>
          </w:tcPr>
          <w:p w14:paraId="07313885" w14:textId="77777777" w:rsidR="00AB6390" w:rsidRDefault="00000000">
            <w:pPr>
              <w:cnfStyle w:val="000000010000" w:firstRow="0" w:lastRow="0" w:firstColumn="0" w:lastColumn="0" w:oddVBand="0" w:evenVBand="0" w:oddHBand="0" w:evenHBand="1" w:firstRowFirstColumn="0" w:firstRowLastColumn="0" w:lastRowFirstColumn="0" w:lastRowLastColumn="0"/>
            </w:pPr>
            <w:r>
              <w:t>REFUSED (below threshold)</w:t>
            </w:r>
          </w:p>
        </w:tc>
      </w:tr>
      <w:tr w:rsidR="00AB6390" w14:paraId="54E07BD4"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08A0233" w14:textId="77777777" w:rsidR="00AB6390" w:rsidRDefault="00000000">
            <w:r>
              <w:t>Answer</w:t>
            </w:r>
          </w:p>
        </w:tc>
        <w:tc>
          <w:tcPr>
            <w:tcW w:w="4320" w:type="dxa"/>
          </w:tcPr>
          <w:p w14:paraId="1983159A" w14:textId="77777777" w:rsidR="00AB6390" w:rsidRDefault="00000000">
            <w:pPr>
              <w:cnfStyle w:val="000000100000" w:firstRow="0" w:lastRow="0" w:firstColumn="0" w:lastColumn="0" w:oddVBand="0" w:evenVBand="0" w:oddHBand="1" w:evenHBand="0" w:firstRowFirstColumn="0" w:firstRowLastColumn="0" w:lastRowFirstColumn="0" w:lastRowLastColumn="0"/>
            </w:pPr>
            <w:r>
              <w:t>I don't have that information about this.</w:t>
            </w:r>
          </w:p>
        </w:tc>
      </w:tr>
      <w:tr w:rsidR="00AB6390" w14:paraId="475CCA3A"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2FB4769" w14:textId="77777777" w:rsidR="00AB6390" w:rsidRDefault="00000000">
            <w:r>
              <w:t>Sources cited</w:t>
            </w:r>
          </w:p>
        </w:tc>
        <w:tc>
          <w:tcPr>
            <w:tcW w:w="4320" w:type="dxa"/>
          </w:tcPr>
          <w:p w14:paraId="3CEF675A" w14:textId="77777777" w:rsidR="00AB6390" w:rsidRDefault="00000000">
            <w:pPr>
              <w:cnfStyle w:val="000000010000" w:firstRow="0" w:lastRow="0" w:firstColumn="0" w:lastColumn="0" w:oddVBand="0" w:evenVBand="0" w:oddHBand="0" w:evenHBand="1" w:firstRowFirstColumn="0" w:firstRowLastColumn="0" w:lastRowFirstColumn="0" w:lastRowLastColumn="0"/>
            </w:pPr>
            <w:r>
              <w:t>— (none)</w:t>
            </w:r>
          </w:p>
        </w:tc>
      </w:tr>
      <w:tr w:rsidR="00AB6390" w14:paraId="20AF62CD"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DC6E770" w14:textId="77777777" w:rsidR="00AB6390" w:rsidRDefault="00000000">
            <w:r>
              <w:t>Top-5 candidate scores</w:t>
            </w:r>
          </w:p>
        </w:tc>
        <w:tc>
          <w:tcPr>
            <w:tcW w:w="4320" w:type="dxa"/>
          </w:tcPr>
          <w:p w14:paraId="62A9A1C1" w14:textId="77777777" w:rsidR="00AB6390" w:rsidRDefault="00000000">
            <w:pPr>
              <w:cnfStyle w:val="000000100000" w:firstRow="0" w:lastRow="0" w:firstColumn="0" w:lastColumn="0" w:oddVBand="0" w:evenVBand="0" w:oddHBand="1" w:evenHBand="0" w:firstRowFirstColumn="0" w:firstRowLastColumn="0" w:lastRowFirstColumn="0" w:lastRowLastColumn="0"/>
            </w:pPr>
            <w:r>
              <w:t>Leave and Time-Off Policy: 0.1871</w:t>
            </w:r>
            <w:r>
              <w:br/>
              <w:t>Travel Safety Policy: 0.1842</w:t>
            </w:r>
            <w:r>
              <w:br/>
              <w:t>Sustainability and Environmental Policy: 0.1820</w:t>
            </w:r>
            <w:r>
              <w:br/>
              <w:t>Remote and Hybrid Work Policy: 0.1740</w:t>
            </w:r>
            <w:r>
              <w:br/>
              <w:t>Remote and Hybrid Work Policy: 0.1628</w:t>
            </w:r>
          </w:p>
        </w:tc>
      </w:tr>
    </w:tbl>
    <w:p w14:paraId="036E055A" w14:textId="77777777" w:rsidR="00AB6390" w:rsidRDefault="00AB6390"/>
    <w:p w14:paraId="2ED00DFC" w14:textId="77777777" w:rsidR="00AB6390" w:rsidRDefault="00000000">
      <w:pPr>
        <w:pStyle w:val="Heading3"/>
      </w:pPr>
      <w:r>
        <w:rPr>
          <w:color w:val="2F356B"/>
        </w:rPr>
        <w:t>Q13. What is the parental leave policy, and how is performance reviewed for an employee who is on leave during the review cycle?</w:t>
      </w:r>
    </w:p>
    <w:tbl>
      <w:tblPr>
        <w:tblStyle w:val="LightGrid-Accent1"/>
        <w:tblW w:w="0" w:type="auto"/>
        <w:tblLook w:val="04A0" w:firstRow="1" w:lastRow="0" w:firstColumn="1" w:lastColumn="0" w:noHBand="0" w:noVBand="1"/>
      </w:tblPr>
      <w:tblGrid>
        <w:gridCol w:w="2304"/>
        <w:gridCol w:w="4320"/>
      </w:tblGrid>
      <w:tr w:rsidR="00AB6390" w14:paraId="7C653421"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EB5508A" w14:textId="77777777" w:rsidR="00AB6390" w:rsidRDefault="00000000">
            <w:r>
              <w:t>Category</w:t>
            </w:r>
          </w:p>
        </w:tc>
        <w:tc>
          <w:tcPr>
            <w:tcW w:w="4320" w:type="dxa"/>
          </w:tcPr>
          <w:p w14:paraId="0CDFAFBA" w14:textId="77777777" w:rsidR="00AB6390" w:rsidRDefault="00000000">
            <w:pPr>
              <w:cnfStyle w:val="100000000000" w:firstRow="1" w:lastRow="0" w:firstColumn="0" w:lastColumn="0" w:oddVBand="0" w:evenVBand="0" w:oddHBand="0" w:evenHBand="0" w:firstRowFirstColumn="0" w:firstRowLastColumn="0" w:lastRowFirstColumn="0" w:lastRowLastColumn="0"/>
            </w:pPr>
            <w:r>
              <w:t>Multi-document</w:t>
            </w:r>
          </w:p>
        </w:tc>
      </w:tr>
      <w:tr w:rsidR="00AB6390" w14:paraId="21CF3FF5"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8DD3B8" w14:textId="77777777" w:rsidR="00AB6390" w:rsidRDefault="00000000">
            <w:r>
              <w:t>Top similarity score</w:t>
            </w:r>
          </w:p>
        </w:tc>
        <w:tc>
          <w:tcPr>
            <w:tcW w:w="4320" w:type="dxa"/>
          </w:tcPr>
          <w:p w14:paraId="49000BBD" w14:textId="77777777" w:rsidR="00AB6390" w:rsidRDefault="00000000">
            <w:pPr>
              <w:cnfStyle w:val="000000100000" w:firstRow="0" w:lastRow="0" w:firstColumn="0" w:lastColumn="0" w:oddVBand="0" w:evenVBand="0" w:oddHBand="1" w:evenHBand="0" w:firstRowFirstColumn="0" w:firstRowLastColumn="0" w:lastRowFirstColumn="0" w:lastRowLastColumn="0"/>
            </w:pPr>
            <w:r>
              <w:t>0.6176  (threshold = 0.45)</w:t>
            </w:r>
          </w:p>
        </w:tc>
      </w:tr>
      <w:tr w:rsidR="00AB6390" w14:paraId="38169C75"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6D55BDE" w14:textId="77777777" w:rsidR="00AB6390" w:rsidRDefault="00000000">
            <w:r>
              <w:t>Relevance gate</w:t>
            </w:r>
          </w:p>
        </w:tc>
        <w:tc>
          <w:tcPr>
            <w:tcW w:w="4320" w:type="dxa"/>
          </w:tcPr>
          <w:p w14:paraId="62322086" w14:textId="77777777" w:rsidR="00AB6390" w:rsidRDefault="00000000">
            <w:pPr>
              <w:cnfStyle w:val="000000010000" w:firstRow="0" w:lastRow="0" w:firstColumn="0" w:lastColumn="0" w:oddVBand="0" w:evenVBand="0" w:oddHBand="0" w:evenHBand="1" w:firstRowFirstColumn="0" w:firstRowLastColumn="0" w:lastRowFirstColumn="0" w:lastRowLastColumn="0"/>
            </w:pPr>
            <w:r>
              <w:t>PASSED</w:t>
            </w:r>
          </w:p>
        </w:tc>
      </w:tr>
      <w:tr w:rsidR="00AB6390" w14:paraId="270731E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67CFDEF" w14:textId="77777777" w:rsidR="00AB6390" w:rsidRDefault="00000000">
            <w:r>
              <w:t>Answer</w:t>
            </w:r>
          </w:p>
        </w:tc>
        <w:tc>
          <w:tcPr>
            <w:tcW w:w="4320" w:type="dxa"/>
          </w:tcPr>
          <w:p w14:paraId="142693F7" w14:textId="77777777" w:rsidR="00AB6390" w:rsidRDefault="00000000">
            <w:pPr>
              <w:cnfStyle w:val="000000100000" w:firstRow="0" w:lastRow="0" w:firstColumn="0" w:lastColumn="0" w:oddVBand="0" w:evenVBand="0" w:oddHBand="1" w:evenHBand="0" w:firstRowFirstColumn="0" w:firstRowLastColumn="0" w:lastRowFirstColumn="0" w:lastRowLastColumn="0"/>
            </w:pPr>
            <w:r>
              <w:t xml:space="preserve">The parental leave policy entitles primary caregivers to 16 weeks of paid leave and secondary caregivers to 4 weeks of paid leave, to be taken within 12 months of the child's birth or adoption. </w:t>
            </w:r>
            <w:r>
              <w:br/>
            </w:r>
            <w:r>
              <w:br/>
              <w:t xml:space="preserve">Performance reviews occur twice yearly: mid-year in June and annual in December. Employees on leave during the review cycle will still be included in the review process. Goals (OKRs) are set quarterly, so managers should coordinate to ensure fair evaluation despite the leave. </w:t>
            </w:r>
            <w:r>
              <w:br/>
            </w:r>
            <w:r>
              <w:br/>
              <w:t>For next steps, your manager or HR can provide specific guidance on how your review will be handled during leave.</w:t>
            </w:r>
          </w:p>
        </w:tc>
      </w:tr>
      <w:tr w:rsidR="00AB6390" w14:paraId="6DFF9FF6"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A12A6E9" w14:textId="77777777" w:rsidR="00AB6390" w:rsidRDefault="00000000">
            <w:r>
              <w:t>Sources cited</w:t>
            </w:r>
          </w:p>
        </w:tc>
        <w:tc>
          <w:tcPr>
            <w:tcW w:w="4320" w:type="dxa"/>
          </w:tcPr>
          <w:p w14:paraId="189A2EBC" w14:textId="77777777" w:rsidR="00AB6390" w:rsidRDefault="00000000">
            <w:pPr>
              <w:cnfStyle w:val="000000010000" w:firstRow="0" w:lastRow="0" w:firstColumn="0" w:lastColumn="0" w:oddVBand="0" w:evenVBand="0" w:oddHBand="0" w:evenHBand="1" w:firstRowFirstColumn="0" w:firstRowLastColumn="0" w:lastRowFirstColumn="0" w:lastRowLastColumn="0"/>
            </w:pPr>
            <w:r>
              <w:t>Leave and Time-Off Policy, Compensation and Benefits Policy, Performance Review Policy</w:t>
            </w:r>
          </w:p>
        </w:tc>
      </w:tr>
      <w:tr w:rsidR="00AB6390" w14:paraId="23EA740C"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2A88D04" w14:textId="77777777" w:rsidR="00AB6390" w:rsidRDefault="00000000">
            <w:r>
              <w:t>Top-5 candidate scores</w:t>
            </w:r>
          </w:p>
        </w:tc>
        <w:tc>
          <w:tcPr>
            <w:tcW w:w="4320" w:type="dxa"/>
          </w:tcPr>
          <w:p w14:paraId="17369478" w14:textId="77777777" w:rsidR="00AB6390" w:rsidRDefault="00000000">
            <w:pPr>
              <w:cnfStyle w:val="000000100000" w:firstRow="0" w:lastRow="0" w:firstColumn="0" w:lastColumn="0" w:oddVBand="0" w:evenVBand="0" w:oddHBand="1" w:evenHBand="0" w:firstRowFirstColumn="0" w:firstRowLastColumn="0" w:lastRowFirstColumn="0" w:lastRowLastColumn="0"/>
            </w:pPr>
            <w:r>
              <w:t>Leave and Time-Off Policy: 0.6176</w:t>
            </w:r>
            <w:r>
              <w:br/>
              <w:t>Leave and Time-Off Policy: 0.5785</w:t>
            </w:r>
            <w:r>
              <w:br/>
              <w:t>Performance Review Policy: 0.5497</w:t>
            </w:r>
            <w:r>
              <w:br/>
              <w:t>Compensation and Benefits Policy: 0.5414</w:t>
            </w:r>
            <w:r>
              <w:br/>
              <w:t>Leave and Time-Off Policy: 0.5412</w:t>
            </w:r>
          </w:p>
        </w:tc>
      </w:tr>
    </w:tbl>
    <w:p w14:paraId="7472C088" w14:textId="77777777" w:rsidR="00AB6390" w:rsidRDefault="00AB6390"/>
    <w:p w14:paraId="715108E1" w14:textId="77777777" w:rsidR="00AB6390" w:rsidRDefault="00000000">
      <w:pPr>
        <w:pStyle w:val="Heading3"/>
      </w:pPr>
      <w:r>
        <w:rPr>
          <w:color w:val="2F356B"/>
        </w:rPr>
        <w:t>Q14. What is our company's current stock price?</w:t>
      </w:r>
    </w:p>
    <w:tbl>
      <w:tblPr>
        <w:tblStyle w:val="LightGrid-Accent1"/>
        <w:tblW w:w="0" w:type="auto"/>
        <w:tblLook w:val="04A0" w:firstRow="1" w:lastRow="0" w:firstColumn="1" w:lastColumn="0" w:noHBand="0" w:noVBand="1"/>
      </w:tblPr>
      <w:tblGrid>
        <w:gridCol w:w="2304"/>
        <w:gridCol w:w="4320"/>
      </w:tblGrid>
      <w:tr w:rsidR="00AB6390" w14:paraId="2082AA7F"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CE9A19" w14:textId="77777777" w:rsidR="00AB6390" w:rsidRDefault="00000000">
            <w:r>
              <w:t>Category</w:t>
            </w:r>
          </w:p>
        </w:tc>
        <w:tc>
          <w:tcPr>
            <w:tcW w:w="4320" w:type="dxa"/>
          </w:tcPr>
          <w:p w14:paraId="2CFA7C63" w14:textId="77777777" w:rsidR="00AB6390" w:rsidRDefault="00000000">
            <w:pPr>
              <w:cnfStyle w:val="100000000000" w:firstRow="1" w:lastRow="0" w:firstColumn="0" w:lastColumn="0" w:oddVBand="0" w:evenVBand="0" w:oddHBand="0" w:evenHBand="0" w:firstRowFirstColumn="0" w:firstRowLastColumn="0" w:lastRowFirstColumn="0" w:lastRowLastColumn="0"/>
            </w:pPr>
            <w:r>
              <w:t>Out-of-scope</w:t>
            </w:r>
          </w:p>
        </w:tc>
      </w:tr>
      <w:tr w:rsidR="00AB6390" w14:paraId="146177CA"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FD39D62" w14:textId="77777777" w:rsidR="00AB6390" w:rsidRDefault="00000000">
            <w:r>
              <w:t>Top similarity score</w:t>
            </w:r>
          </w:p>
        </w:tc>
        <w:tc>
          <w:tcPr>
            <w:tcW w:w="4320" w:type="dxa"/>
          </w:tcPr>
          <w:p w14:paraId="04498AE0" w14:textId="77777777" w:rsidR="00AB6390" w:rsidRDefault="00000000">
            <w:pPr>
              <w:cnfStyle w:val="000000100000" w:firstRow="0" w:lastRow="0" w:firstColumn="0" w:lastColumn="0" w:oddVBand="0" w:evenVBand="0" w:oddHBand="1" w:evenHBand="0" w:firstRowFirstColumn="0" w:firstRowLastColumn="0" w:lastRowFirstColumn="0" w:lastRowLastColumn="0"/>
            </w:pPr>
            <w:r>
              <w:t>0.3553  (threshold = 0.45)</w:t>
            </w:r>
          </w:p>
        </w:tc>
      </w:tr>
      <w:tr w:rsidR="00AB6390" w14:paraId="3B7B5BC2"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A3D2DA3" w14:textId="77777777" w:rsidR="00AB6390" w:rsidRDefault="00000000">
            <w:r>
              <w:t>Relevance gate</w:t>
            </w:r>
          </w:p>
        </w:tc>
        <w:tc>
          <w:tcPr>
            <w:tcW w:w="4320" w:type="dxa"/>
          </w:tcPr>
          <w:p w14:paraId="180CBB55" w14:textId="77777777" w:rsidR="00AB6390" w:rsidRDefault="00000000">
            <w:pPr>
              <w:cnfStyle w:val="000000010000" w:firstRow="0" w:lastRow="0" w:firstColumn="0" w:lastColumn="0" w:oddVBand="0" w:evenVBand="0" w:oddHBand="0" w:evenHBand="1" w:firstRowFirstColumn="0" w:firstRowLastColumn="0" w:lastRowFirstColumn="0" w:lastRowLastColumn="0"/>
            </w:pPr>
            <w:r>
              <w:t>REFUSED (below threshold)</w:t>
            </w:r>
          </w:p>
        </w:tc>
      </w:tr>
      <w:tr w:rsidR="00AB6390" w14:paraId="1FC726A6"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67BFDF1" w14:textId="77777777" w:rsidR="00AB6390" w:rsidRDefault="00000000">
            <w:r>
              <w:t>Answer</w:t>
            </w:r>
          </w:p>
        </w:tc>
        <w:tc>
          <w:tcPr>
            <w:tcW w:w="4320" w:type="dxa"/>
          </w:tcPr>
          <w:p w14:paraId="5DC9BF92" w14:textId="77777777" w:rsidR="00AB6390" w:rsidRDefault="00000000">
            <w:pPr>
              <w:cnfStyle w:val="000000100000" w:firstRow="0" w:lastRow="0" w:firstColumn="0" w:lastColumn="0" w:oddVBand="0" w:evenVBand="0" w:oddHBand="1" w:evenHBand="0" w:firstRowFirstColumn="0" w:firstRowLastColumn="0" w:lastRowFirstColumn="0" w:lastRowLastColumn="0"/>
            </w:pPr>
            <w:r>
              <w:t>I don't have that information about this.</w:t>
            </w:r>
          </w:p>
        </w:tc>
      </w:tr>
      <w:tr w:rsidR="00AB6390" w14:paraId="32BC40B8"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6226348" w14:textId="77777777" w:rsidR="00AB6390" w:rsidRDefault="00000000">
            <w:r>
              <w:t>Sources cited</w:t>
            </w:r>
          </w:p>
        </w:tc>
        <w:tc>
          <w:tcPr>
            <w:tcW w:w="4320" w:type="dxa"/>
          </w:tcPr>
          <w:p w14:paraId="604784BD" w14:textId="77777777" w:rsidR="00AB6390" w:rsidRDefault="00000000">
            <w:pPr>
              <w:cnfStyle w:val="000000010000" w:firstRow="0" w:lastRow="0" w:firstColumn="0" w:lastColumn="0" w:oddVBand="0" w:evenVBand="0" w:oddHBand="0" w:evenHBand="1" w:firstRowFirstColumn="0" w:firstRowLastColumn="0" w:lastRowFirstColumn="0" w:lastRowLastColumn="0"/>
            </w:pPr>
            <w:r>
              <w:t>— (none)</w:t>
            </w:r>
          </w:p>
        </w:tc>
      </w:tr>
      <w:tr w:rsidR="00AB6390" w14:paraId="20EC955E"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0BA88F" w14:textId="77777777" w:rsidR="00AB6390" w:rsidRDefault="00000000">
            <w:r>
              <w:t>Top-5 candidate scores</w:t>
            </w:r>
          </w:p>
        </w:tc>
        <w:tc>
          <w:tcPr>
            <w:tcW w:w="4320" w:type="dxa"/>
          </w:tcPr>
          <w:p w14:paraId="094E6E5D" w14:textId="77777777" w:rsidR="00AB6390" w:rsidRDefault="00000000">
            <w:pPr>
              <w:cnfStyle w:val="000000100000" w:firstRow="0" w:lastRow="0" w:firstColumn="0" w:lastColumn="0" w:oddVBand="0" w:evenVBand="0" w:oddHBand="1" w:evenHBand="0" w:firstRowFirstColumn="0" w:firstRowLastColumn="0" w:lastRowFirstColumn="0" w:lastRowLastColumn="0"/>
            </w:pPr>
            <w:r>
              <w:t>Compensation and Benefits Policy: 0.3553</w:t>
            </w:r>
            <w:r>
              <w:br/>
              <w:t>Compensation and Benefits Policy: 0.3310</w:t>
            </w:r>
            <w:r>
              <w:br/>
              <w:t>Diversity, Equity and Inclusion Policy: 0.3284</w:t>
            </w:r>
            <w:r>
              <w:br/>
              <w:t>Compensation and Benefits Policy: 0.3068</w:t>
            </w:r>
            <w:r>
              <w:br/>
              <w:t>Workplace Dress Code Policy: 0.2972</w:t>
            </w:r>
          </w:p>
        </w:tc>
      </w:tr>
    </w:tbl>
    <w:p w14:paraId="2F2AF7BD" w14:textId="77777777" w:rsidR="00AB6390" w:rsidRDefault="00AB6390"/>
    <w:p w14:paraId="1E6ED72B" w14:textId="77777777" w:rsidR="00AB6390" w:rsidRDefault="00000000">
      <w:pPr>
        <w:pStyle w:val="Heading3"/>
      </w:pPr>
      <w:r>
        <w:rPr>
          <w:color w:val="2F356B"/>
        </w:rPr>
        <w:t>Q15. Tell me about the policy.</w:t>
      </w:r>
    </w:p>
    <w:tbl>
      <w:tblPr>
        <w:tblStyle w:val="LightGrid-Accent1"/>
        <w:tblW w:w="0" w:type="auto"/>
        <w:tblLook w:val="04A0" w:firstRow="1" w:lastRow="0" w:firstColumn="1" w:lastColumn="0" w:noHBand="0" w:noVBand="1"/>
      </w:tblPr>
      <w:tblGrid>
        <w:gridCol w:w="2304"/>
        <w:gridCol w:w="4320"/>
      </w:tblGrid>
      <w:tr w:rsidR="00AB6390" w14:paraId="12B774E6" w14:textId="77777777" w:rsidTr="00AB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D41475E" w14:textId="77777777" w:rsidR="00AB6390" w:rsidRDefault="00000000">
            <w:r>
              <w:t>Category</w:t>
            </w:r>
          </w:p>
        </w:tc>
        <w:tc>
          <w:tcPr>
            <w:tcW w:w="4320" w:type="dxa"/>
          </w:tcPr>
          <w:p w14:paraId="6C5BA435" w14:textId="77777777" w:rsidR="00AB6390" w:rsidRDefault="00000000">
            <w:pPr>
              <w:cnfStyle w:val="100000000000" w:firstRow="1" w:lastRow="0" w:firstColumn="0" w:lastColumn="0" w:oddVBand="0" w:evenVBand="0" w:oddHBand="0" w:evenHBand="0" w:firstRowFirstColumn="0" w:firstRowLastColumn="0" w:lastRowFirstColumn="0" w:lastRowLastColumn="0"/>
            </w:pPr>
            <w:r>
              <w:t>Ambiguous</w:t>
            </w:r>
          </w:p>
        </w:tc>
      </w:tr>
      <w:tr w:rsidR="00AB6390" w14:paraId="36940213"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30C67C2" w14:textId="77777777" w:rsidR="00AB6390" w:rsidRDefault="00000000">
            <w:r>
              <w:t>Top similarity score</w:t>
            </w:r>
          </w:p>
        </w:tc>
        <w:tc>
          <w:tcPr>
            <w:tcW w:w="4320" w:type="dxa"/>
          </w:tcPr>
          <w:p w14:paraId="2DF54CE7" w14:textId="77777777" w:rsidR="00AB6390" w:rsidRDefault="00000000">
            <w:pPr>
              <w:cnfStyle w:val="000000100000" w:firstRow="0" w:lastRow="0" w:firstColumn="0" w:lastColumn="0" w:oddVBand="0" w:evenVBand="0" w:oddHBand="1" w:evenHBand="0" w:firstRowFirstColumn="0" w:firstRowLastColumn="0" w:lastRowFirstColumn="0" w:lastRowLastColumn="0"/>
            </w:pPr>
            <w:r>
              <w:t>0.3945  (threshold = 0.45)</w:t>
            </w:r>
          </w:p>
        </w:tc>
      </w:tr>
      <w:tr w:rsidR="00AB6390" w14:paraId="6D0D3E89"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72069AB" w14:textId="77777777" w:rsidR="00AB6390" w:rsidRDefault="00000000">
            <w:r>
              <w:t>Relevance gate</w:t>
            </w:r>
          </w:p>
        </w:tc>
        <w:tc>
          <w:tcPr>
            <w:tcW w:w="4320" w:type="dxa"/>
          </w:tcPr>
          <w:p w14:paraId="6182ABFF" w14:textId="77777777" w:rsidR="00AB6390" w:rsidRDefault="00000000">
            <w:pPr>
              <w:cnfStyle w:val="000000010000" w:firstRow="0" w:lastRow="0" w:firstColumn="0" w:lastColumn="0" w:oddVBand="0" w:evenVBand="0" w:oddHBand="0" w:evenHBand="1" w:firstRowFirstColumn="0" w:firstRowLastColumn="0" w:lastRowFirstColumn="0" w:lastRowLastColumn="0"/>
            </w:pPr>
            <w:r>
              <w:t>REFUSED (below threshold)</w:t>
            </w:r>
          </w:p>
        </w:tc>
      </w:tr>
      <w:tr w:rsidR="00AB6390" w14:paraId="3502519C"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024F300" w14:textId="77777777" w:rsidR="00AB6390" w:rsidRDefault="00000000">
            <w:r>
              <w:t>Answer</w:t>
            </w:r>
          </w:p>
        </w:tc>
        <w:tc>
          <w:tcPr>
            <w:tcW w:w="4320" w:type="dxa"/>
          </w:tcPr>
          <w:p w14:paraId="148B09C4" w14:textId="77777777" w:rsidR="00AB6390" w:rsidRDefault="00000000">
            <w:pPr>
              <w:cnfStyle w:val="000000100000" w:firstRow="0" w:lastRow="0" w:firstColumn="0" w:lastColumn="0" w:oddVBand="0" w:evenVBand="0" w:oddHBand="1" w:evenHBand="0" w:firstRowFirstColumn="0" w:firstRowLastColumn="0" w:lastRowFirstColumn="0" w:lastRowLastColumn="0"/>
            </w:pPr>
            <w:r>
              <w:t>I don't have that information about this.</w:t>
            </w:r>
          </w:p>
        </w:tc>
      </w:tr>
      <w:tr w:rsidR="00AB6390" w14:paraId="14FD8194" w14:textId="77777777" w:rsidTr="00AB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501AA5C" w14:textId="77777777" w:rsidR="00AB6390" w:rsidRDefault="00000000">
            <w:r>
              <w:t>Sources cited</w:t>
            </w:r>
          </w:p>
        </w:tc>
        <w:tc>
          <w:tcPr>
            <w:tcW w:w="4320" w:type="dxa"/>
          </w:tcPr>
          <w:p w14:paraId="1BF1595A" w14:textId="77777777" w:rsidR="00AB6390" w:rsidRDefault="00000000">
            <w:pPr>
              <w:cnfStyle w:val="000000010000" w:firstRow="0" w:lastRow="0" w:firstColumn="0" w:lastColumn="0" w:oddVBand="0" w:evenVBand="0" w:oddHBand="0" w:evenHBand="1" w:firstRowFirstColumn="0" w:firstRowLastColumn="0" w:lastRowFirstColumn="0" w:lastRowLastColumn="0"/>
            </w:pPr>
            <w:r>
              <w:t>— (none)</w:t>
            </w:r>
          </w:p>
        </w:tc>
      </w:tr>
      <w:tr w:rsidR="00AB6390" w14:paraId="04202BBB" w14:textId="77777777" w:rsidTr="00AB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C60C0DD" w14:textId="77777777" w:rsidR="00AB6390" w:rsidRDefault="00000000">
            <w:r>
              <w:t>Top-5 candidate scores</w:t>
            </w:r>
          </w:p>
        </w:tc>
        <w:tc>
          <w:tcPr>
            <w:tcW w:w="4320" w:type="dxa"/>
          </w:tcPr>
          <w:p w14:paraId="06D3BDAC" w14:textId="77777777" w:rsidR="00AB6390" w:rsidRDefault="00000000">
            <w:pPr>
              <w:cnfStyle w:val="000000100000" w:firstRow="0" w:lastRow="0" w:firstColumn="0" w:lastColumn="0" w:oddVBand="0" w:evenVBand="0" w:oddHBand="1" w:evenHBand="0" w:firstRowFirstColumn="0" w:firstRowLastColumn="0" w:lastRowFirstColumn="0" w:lastRowLastColumn="0"/>
            </w:pPr>
            <w:r>
              <w:t>Intellectual Property Policy: 0.3945</w:t>
            </w:r>
            <w:r>
              <w:br/>
              <w:t>Diversity, Equity and Inclusion Policy: 0.3858</w:t>
            </w:r>
            <w:r>
              <w:br/>
              <w:t>Software Licensing Policy: 0.3658</w:t>
            </w:r>
            <w:r>
              <w:br/>
              <w:t>IT Asset Management Policy: 0.3655</w:t>
            </w:r>
            <w:r>
              <w:br/>
              <w:t>Expense and Travel Reimbursement Policy: 0.3607</w:t>
            </w:r>
          </w:p>
        </w:tc>
      </w:tr>
    </w:tbl>
    <w:p w14:paraId="613A59E8" w14:textId="77777777" w:rsidR="00AB6390" w:rsidRDefault="00AB6390"/>
    <w:p w14:paraId="1698033C" w14:textId="77777777" w:rsidR="00AB6390" w:rsidRDefault="00000000">
      <w:r>
        <w:br w:type="page"/>
      </w:r>
    </w:p>
    <w:p w14:paraId="60C0C220" w14:textId="77777777" w:rsidR="00AB6390" w:rsidRDefault="00000000">
      <w:pPr>
        <w:pStyle w:val="Heading1"/>
      </w:pPr>
      <w:r>
        <w:rPr>
          <w:color w:val="2F356B"/>
        </w:rPr>
        <w:t>6. Analysis — Where Retrieval Succeeds</w:t>
      </w:r>
    </w:p>
    <w:p w14:paraId="5DE441B4" w14:textId="77777777" w:rsidR="00AB6390" w:rsidRDefault="00000000">
      <w:pPr>
        <w:pStyle w:val="Heading2"/>
      </w:pPr>
      <w:r>
        <w:rPr>
          <w:color w:val="2F356B"/>
        </w:rPr>
        <w:t>6.1 Single-policy questions with clear terminology (Q1, Q3, Q4, Q5, Q7, Q9)</w:t>
      </w:r>
    </w:p>
    <w:p w14:paraId="18B98ECE" w14:textId="77777777" w:rsidR="00AB6390" w:rsidRDefault="00000000">
      <w:r>
        <w:t>All six straightforward questions scored well above the 0.45 threshold (0.59–0.74) and produced accurate, concise answers grounded in the correct policy. These questions share two traits: the question's vocabulary closely matches the policy's vocabulary (e.g. “password requirements” → “Password and Authentication Policy”), and the answer is contained within one or two adjacent chunks of a single document. The hybrid BM25 component particularly helps here — e.g. for Q3 (“password requirements”), the top two reranked chunks are both from password-related policies because they share exact keywords with the question.</w:t>
      </w:r>
    </w:p>
    <w:p w14:paraId="21A82458" w14:textId="77777777" w:rsidR="00AB6390" w:rsidRDefault="00000000">
      <w:pPr>
        <w:pStyle w:val="Heading2"/>
      </w:pPr>
      <w:r>
        <w:rPr>
          <w:color w:val="2F356B"/>
        </w:rPr>
        <w:t>6.2 Multi-document synthesis (Q2, Q6, Q8, Q13)</w:t>
      </w:r>
    </w:p>
    <w:p w14:paraId="4A86FD97" w14:textId="77777777" w:rsidR="00AB6390" w:rsidRDefault="00000000">
      <w:r>
        <w:t>The system successfully synthesized information across policy boundaries in all four multi-document cases:</w:t>
      </w:r>
    </w:p>
    <w:p w14:paraId="37BB577B" w14:textId="77777777" w:rsidR="00AB6390" w:rsidRDefault="00000000">
      <w:pPr>
        <w:pStyle w:val="ListBullet"/>
      </w:pPr>
      <w:r>
        <w:t>Q2 (notice period): combined the Termination and Offboarding Policy (general notice rules) with the Employee Onboarding Policy (probationary-period exception) into one coherent answer.</w:t>
      </w:r>
    </w:p>
    <w:p w14:paraId="2917EA6B" w14:textId="77777777" w:rsidR="00AB6390" w:rsidRDefault="00000000">
      <w:pPr>
        <w:pStyle w:val="ListBullet"/>
      </w:pPr>
      <w:r>
        <w:t>Q6 (code of conduct violation): retrieved Code of Conduct, Drug and Alcohol Policy, and Anti-Harassment and Discrimination Policy chunks, and produced a generically correct answer about disciplinary process and reporting channels without over-committing to any single violation type — an appropriate response given the question itself was generic.</w:t>
      </w:r>
    </w:p>
    <w:p w14:paraId="1588D175" w14:textId="77777777" w:rsidR="00AB6390" w:rsidRDefault="00000000">
      <w:pPr>
        <w:pStyle w:val="ListBullet"/>
      </w:pPr>
      <w:r>
        <w:t>Q8 (remote work security &amp; approved devices): combined the Remote and Hybrid Work Policy, IT Security and Acceptable Use Policy, and BYOD Policy into a single answer covering VPN use, device encryption, and MDM enrollment — genuinely spanning three source documents.</w:t>
      </w:r>
    </w:p>
    <w:p w14:paraId="3CD82D07" w14:textId="77777777" w:rsidR="00AB6390" w:rsidRDefault="00000000">
      <w:pPr>
        <w:pStyle w:val="ListBullet"/>
      </w:pPr>
      <w:r>
        <w:t>Q13 (parental leave + performance review during leave): combined the Leave and Time-Off Policy with the Performance Review Policy and Compensation and Benefits Policy to answer both halves of the compound question.</w:t>
      </w:r>
    </w:p>
    <w:p w14:paraId="4C442FDF" w14:textId="77777777" w:rsidR="00AB6390" w:rsidRDefault="00000000">
      <w:r>
        <w:t>This works because RETRIEVAL_K = 10 deliberately over-retrieves before reranking, giving the reranker (and ultimately the LLM) enough cross-document candidates to draw from, rather than locking in on the single nearest document.</w:t>
      </w:r>
    </w:p>
    <w:p w14:paraId="6EED5F0B" w14:textId="77777777" w:rsidR="00AB6390" w:rsidRDefault="00000000">
      <w:pPr>
        <w:pStyle w:val="Heading2"/>
      </w:pPr>
      <w:r>
        <w:rPr>
          <w:color w:val="2F356B"/>
        </w:rPr>
        <w:t>6.3 Out-of-scope detection (Q11, Q12, Q14)</w:t>
      </w:r>
    </w:p>
    <w:p w14:paraId="23640B74" w14:textId="77777777" w:rsidR="00AB6390" w:rsidRDefault="00000000">
      <w:r>
        <w:t>All three unanswerable questions were correctly refused by the relevance gate before any LLM call was made:</w:t>
      </w:r>
    </w:p>
    <w:p w14:paraId="50182E8A" w14:textId="77777777" w:rsidR="00AB6390" w:rsidRDefault="00000000">
      <w:pPr>
        <w:pStyle w:val="ListBullet"/>
      </w:pPr>
      <w:r>
        <w:t>Q12 (“weather forecast”): top score 0.1871 — essentially no semantic overlap with any policy. A clean signal.</w:t>
      </w:r>
    </w:p>
    <w:p w14:paraId="4ABE5653" w14:textId="77777777" w:rsidR="00AB6390" w:rsidRDefault="00000000">
      <w:pPr>
        <w:pStyle w:val="ListBullet"/>
      </w:pPr>
      <w:r>
        <w:t>Q11 (customer refund) and Q14 (stock price): top scores 0.3650 and 0.3553 — moderate similarity (the embeddings pick up on “refund”/“charges”-adjacent language in Invoice and Payment Policy, and “stock price” — “compensation” language in Compensation and Benefits Policy), but still comfortably below the 0.45 threshold.</w:t>
      </w:r>
    </w:p>
    <w:p w14:paraId="0302811A" w14:textId="77777777" w:rsidR="00AB6390" w:rsidRDefault="00000000">
      <w:r>
        <w:t>The scoped system prompt (Section 3.4) provides a second line of defense: even if a borderline-relevant chunk passed the gate, the prompt explicitly instructs the model to refuse questions about external customer orders/shipping/billing/returns regardless of retrieved context.</w:t>
      </w:r>
    </w:p>
    <w:p w14:paraId="121F78D9" w14:textId="77777777" w:rsidR="00AB6390" w:rsidRDefault="00000000">
      <w:pPr>
        <w:pStyle w:val="Heading1"/>
      </w:pPr>
      <w:r>
        <w:rPr>
          <w:color w:val="2F356B"/>
        </w:rPr>
        <w:t>7. Analysis — Where Retrieval Fails or Shows Limitations</w:t>
      </w:r>
    </w:p>
    <w:p w14:paraId="5C6BCB5D" w14:textId="77777777" w:rsidR="00AB6390" w:rsidRDefault="00000000">
      <w:pPr>
        <w:pStyle w:val="Heading2"/>
      </w:pPr>
      <w:r>
        <w:rPr>
          <w:color w:val="2F356B"/>
        </w:rPr>
        <w:t>7.1 Ambiguous queries are refused, not clarified (Q10, Q15)</w:t>
      </w:r>
    </w:p>
    <w:p w14:paraId="2E6597E9" w14:textId="77777777" w:rsidR="00AB6390" w:rsidRDefault="00000000">
      <w:r>
        <w:t>“What's the policy on this?” (score 0.4286) and “Tell me about the policy.” (score 0.3945) both fell just below the 0.45 threshold and were refused with the generic “I don't have that information about this.” message.</w:t>
      </w:r>
    </w:p>
    <w:p w14:paraId="0A81996B" w14:textId="77777777" w:rsidR="00AB6390" w:rsidRDefault="00000000">
      <w:r>
        <w:t>This is technically correct (the system genuinely cannot know what “this” refers to), but it is a poor user experience: the response is indistinguishable from a true “not in the knowledge base” answer. A user asking a vague question gets the same dead-end as a user asking about something the company has no policy on at all.</w:t>
      </w:r>
    </w:p>
    <w:p w14:paraId="28E75432" w14:textId="77777777" w:rsidR="00AB6390" w:rsidRDefault="00000000">
      <w:r>
        <w:t>Why it happens: with no topic keywords, the question embedding is a generic “about policy” vector that sits roughly equidistant from many policies (note the top-5 candidates for Q10 span Drug and Alcohol, Gift and Hospitality, IP, Remote Work, and Social Media policies — all in a narrow 0.41–0.43 band, i.e. no single policy stands out).</w:t>
      </w:r>
    </w:p>
    <w:p w14:paraId="4D95D017" w14:textId="77777777" w:rsidR="00AB6390" w:rsidRDefault="00000000">
      <w:pPr>
        <w:pStyle w:val="Heading2"/>
      </w:pPr>
      <w:r>
        <w:rPr>
          <w:color w:val="2F356B"/>
        </w:rPr>
        <w:t>7.2 Source list includes tangential / noisy documents</w:t>
      </w:r>
    </w:p>
    <w:p w14:paraId="075CD89A" w14:textId="77777777" w:rsidR="00AB6390" w:rsidRDefault="00000000">
      <w:r>
        <w:t>In several answers, the “Sources cited” list includes a policy document that the generated answer never actually references:</w:t>
      </w:r>
    </w:p>
    <w:p w14:paraId="0FEE420C" w14:textId="77777777" w:rsidR="00AB6390" w:rsidRDefault="00000000">
      <w:pPr>
        <w:pStyle w:val="ListBullet"/>
      </w:pPr>
      <w:r>
        <w:t>Q2 (notice period) cites “Vendor Management Policy” (score 0.4351) alongside the genuinely relevant Termination/Onboarding/Leave policies — the LLM correctly ignored this chunk's content, but it still appears in the displayed source list.</w:t>
      </w:r>
    </w:p>
    <w:p w14:paraId="42687F61" w14:textId="77777777" w:rsidR="00AB6390" w:rsidRDefault="00000000">
      <w:pPr>
        <w:pStyle w:val="ListBullet"/>
      </w:pPr>
      <w:r>
        <w:t>Q7 (unpaid leave approval) cites “Termination and Offboarding Policy” and “Conflict of Interest Policy” (scores 0.4632 and 0.4278) even though the answer is fully derived from the Leave and Time-Off Policy.</w:t>
      </w:r>
    </w:p>
    <w:p w14:paraId="3DEB8ED8" w14:textId="77777777" w:rsidR="00AB6390" w:rsidRDefault="00000000">
      <w:r>
        <w:t>Why it happens: RERANK_TOP_N = 5 always returns exactly 5 chunks once the gate passes, even if only 1–2 of them are truly on-topic — the reranker has no mechanism to return fewer than 5 when fewer than 5 are relevant. The LLM is good at silently ignoring irrelevant context in its answer, but the “Source(s)” line in the UI is built directly from the reranked chunk list, not from what the LLM actually used — so it can overstate how many policies were consulted.</w:t>
      </w:r>
    </w:p>
    <w:p w14:paraId="10D3CFCF" w14:textId="77777777" w:rsidR="00AB6390" w:rsidRDefault="00000000">
      <w:pPr>
        <w:pStyle w:val="Heading2"/>
      </w:pPr>
      <w:r>
        <w:rPr>
          <w:color w:val="2F356B"/>
        </w:rPr>
        <w:t>7.3 Threshold is a single global cutoff tuned on limited data</w:t>
      </w:r>
    </w:p>
    <w:p w14:paraId="28D7FBC9" w14:textId="77777777" w:rsidR="00AB6390" w:rsidRDefault="00000000">
      <w:r>
        <w:t>SCORE_THRESHOLD = 0.45 was chosen by observing that genuinely relevant chunks for a clearly in-scope question (“notice period”) scored 0.49–0.57, while a fully irrelevant question (“order never arrived”) scored in the 0.3–0.5 range for its best match. Because OpenAI embeddings of generic business text tend to cluster in a fairly narrow cosine-similarity band (roughly 0.3–0.6) regardless of true topical relevance, there is inherent overlap between “true positive” and “true negative” score distributions. A single global threshold cannot perfectly separate these cases:</w:t>
      </w:r>
    </w:p>
    <w:p w14:paraId="00E321B8" w14:textId="77777777" w:rsidR="00AB6390" w:rsidRDefault="00000000">
      <w:pPr>
        <w:pStyle w:val="ListBullet"/>
      </w:pPr>
      <w:r>
        <w:t>Borderline in-scope questions phrased unusually could score just under 0.45 and be wrongly refused (false negative).</w:t>
      </w:r>
    </w:p>
    <w:p w14:paraId="24913F33" w14:textId="77777777" w:rsidR="00AB6390" w:rsidRDefault="00000000">
      <w:pPr>
        <w:pStyle w:val="ListBullet"/>
      </w:pPr>
      <w:r>
        <w:t>Borderline out-of-scope questions that happen to share vocabulary with a policy (e.g. “charged” / “refund” → Invoice and Payment Policy) could in principle score just over 0.45 and reach the LLM — in which case the system prompt's explicit scope restriction (Section 3.4) is the only remaining safeguard.</w:t>
      </w:r>
    </w:p>
    <w:p w14:paraId="73325992" w14:textId="77777777" w:rsidR="00AB6390" w:rsidRDefault="00000000">
      <w:pPr>
        <w:pStyle w:val="Heading2"/>
      </w:pPr>
      <w:r>
        <w:rPr>
          <w:color w:val="2F356B"/>
        </w:rPr>
        <w:t>7.4 No conversational memory in generate_answer / get_answer</w:t>
      </w:r>
    </w:p>
    <w:p w14:paraId="6DA33DC5" w14:textId="77777777" w:rsidR="00AB6390" w:rsidRDefault="00000000">
      <w:r>
        <w:t>Each question is answered independently — retrieval and generation have no access to prior turns in the conversation. A natural follow-up such as “what about for managers?” after Q2 would be retrieved and answered as a standalone query, likely failing the relevance gate (it has almost no topical vocabulary of its own) or retrieving unrelated chunks. The Streamlit UI stores conversation history for display, but does not feed it back into retrieval or the prompt.</w:t>
      </w:r>
    </w:p>
    <w:p w14:paraId="2A859D3D" w14:textId="77777777" w:rsidR="00AB6390" w:rsidRDefault="00000000">
      <w:r>
        <w:br w:type="page"/>
      </w:r>
    </w:p>
    <w:p w14:paraId="62EDEB93" w14:textId="77777777" w:rsidR="00AB6390" w:rsidRDefault="00000000">
      <w:pPr>
        <w:pStyle w:val="Heading1"/>
      </w:pPr>
      <w:r>
        <w:rPr>
          <w:color w:val="2F356B"/>
        </w:rPr>
        <w:t>8. Recommendations for Improvement</w:t>
      </w:r>
    </w:p>
    <w:p w14:paraId="5C734C01" w14:textId="77777777" w:rsidR="00AB6390" w:rsidRDefault="00000000">
      <w:r>
        <w:rPr>
          <w:b/>
        </w:rPr>
        <w:t xml:space="preserve">Clarify vs. refuse for ambiguous queries: </w:t>
      </w:r>
      <w:r>
        <w:t>When the top score falls in a “grey zone” just below the threshold (e.g. 0.35–0.45), respond with a clarifying question (“Could you tell me which policy area this relates to — HR, IT, Finance, etc.?”) instead of the same flat refusal used for genuinely out-of-scope questions.</w:t>
      </w:r>
    </w:p>
    <w:p w14:paraId="4E37A7E4" w14:textId="77777777" w:rsidR="00AB6390" w:rsidRDefault="00000000">
      <w:r>
        <w:rPr>
          <w:b/>
        </w:rPr>
        <w:t xml:space="preserve">Filter the displayed source list by score: </w:t>
      </w:r>
      <w:r>
        <w:t>Only list a policy in “Source(s)” if its individual chunk score (vector or combined rerank score) exceeds a secondary, higher threshold — or better, ask the LLM to report which sources it actually used.</w:t>
      </w:r>
    </w:p>
    <w:p w14:paraId="4830B463" w14:textId="77777777" w:rsidR="00AB6390" w:rsidRDefault="00000000">
      <w:r>
        <w:rPr>
          <w:b/>
        </w:rPr>
        <w:t xml:space="preserve">Make RERANK_TOP_N adaptive: </w:t>
      </w:r>
      <w:r>
        <w:t>Instead of always returning exactly 5 chunks, return only chunks whose combined score is within some margin of the top score (e.g. top score − 0.2), so weakly relevant chunks are dropped rather than padded in.</w:t>
      </w:r>
    </w:p>
    <w:p w14:paraId="0F851CA6" w14:textId="77777777" w:rsidR="00AB6390" w:rsidRDefault="00000000">
      <w:r>
        <w:rPr>
          <w:b/>
        </w:rPr>
        <w:t xml:space="preserve">Add lightweight conversational context: </w:t>
      </w:r>
      <w:r>
        <w:t>Prepend the previous question (or a short rolling summary) to the current question before embedding/retrieval, so follow-up questions retrieve appropriately without requiring the user to restate context.</w:t>
      </w:r>
    </w:p>
    <w:p w14:paraId="00A8C840" w14:textId="77777777" w:rsidR="00AB6390" w:rsidRDefault="00000000">
      <w:r>
        <w:rPr>
          <w:b/>
        </w:rPr>
        <w:t xml:space="preserve">Calibrate the threshold with a larger labeled test set: </w:t>
      </w:r>
      <w:r>
        <w:t>Expand this 15-question stress test into a larger regression set (30–50 questions with known correct policies vs. known out-of-scope questions) and sweep SCORE_THRESHOLD to find the value that best separates the two distributions, rather than relying on the two data points used here.</w:t>
      </w:r>
    </w:p>
    <w:p w14:paraId="6616FEB6" w14:textId="77777777" w:rsidR="00AB6390" w:rsidRDefault="00000000">
      <w:r>
        <w:rPr>
          <w:b/>
        </w:rPr>
        <w:t xml:space="preserve">Surface employee_level in answers: </w:t>
      </w:r>
      <w:r>
        <w:t>Several retrieved policies (e.g. Termination and Offboarding Policy) are manager-only. The current pipeline does not filter or flag this — an IC asking about notice periods is given content drawn partly from a manager-only policy. Consider filtering retrieval by the requesting employee's level, or noting in the answer when information comes from a manager-level policy.</w:t>
      </w:r>
    </w:p>
    <w:p w14:paraId="1B36868E" w14:textId="77777777" w:rsidR="00AB6390" w:rsidRDefault="00000000">
      <w:pPr>
        <w:pStyle w:val="Heading1"/>
      </w:pPr>
      <w:r>
        <w:rPr>
          <w:color w:val="2F356B"/>
        </w:rPr>
        <w:t>9. Summary</w:t>
      </w:r>
    </w:p>
    <w:p w14:paraId="15D4ACE3" w14:textId="77777777" w:rsidR="00AB6390" w:rsidRDefault="00000000">
      <w:r>
        <w:t>Out of 15 stress-test questions: 10 were answered correctly and accurately (6 straightforward, 4 multi-document), and 5 correctly resulted in a refusal (2 ambiguous, 3 out-of-scope). No hallucinated or incorrect policy answer was observed in this test set. The relevance-gate + scoped-prompt combination proved effective at preventing the model from fabricating answers for out-of-domain questions — the main remaining gaps are UX-level (ambiguous-query handling and source-list precision) rather than correctness failures.</w:t>
      </w:r>
    </w:p>
    <w:sectPr w:rsidR="00AB63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67253">
    <w:abstractNumId w:val="8"/>
  </w:num>
  <w:num w:numId="2" w16cid:durableId="1962610720">
    <w:abstractNumId w:val="6"/>
  </w:num>
  <w:num w:numId="3" w16cid:durableId="1855725255">
    <w:abstractNumId w:val="5"/>
  </w:num>
  <w:num w:numId="4" w16cid:durableId="2048334801">
    <w:abstractNumId w:val="4"/>
  </w:num>
  <w:num w:numId="5" w16cid:durableId="173300899">
    <w:abstractNumId w:val="7"/>
  </w:num>
  <w:num w:numId="6" w16cid:durableId="73859976">
    <w:abstractNumId w:val="3"/>
  </w:num>
  <w:num w:numId="7" w16cid:durableId="813178523">
    <w:abstractNumId w:val="2"/>
  </w:num>
  <w:num w:numId="8" w16cid:durableId="1666787694">
    <w:abstractNumId w:val="1"/>
  </w:num>
  <w:num w:numId="9" w16cid:durableId="112041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9BC"/>
    <w:rsid w:val="00AA1D8D"/>
    <w:rsid w:val="00AB6390"/>
    <w:rsid w:val="00B47730"/>
    <w:rsid w:val="00CB0664"/>
    <w:rsid w:val="00EA5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2AC93"/>
  <w14:defaultImageDpi w14:val="300"/>
  <w15:docId w15:val="{FCC6369A-5563-A549-9953-EF1AC127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3989</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 kumar Garlapathi</cp:lastModifiedBy>
  <cp:revision>2</cp:revision>
  <dcterms:created xsi:type="dcterms:W3CDTF">2013-12-23T23:15:00Z</dcterms:created>
  <dcterms:modified xsi:type="dcterms:W3CDTF">2026-06-14T19:56:00Z</dcterms:modified>
  <cp:category/>
</cp:coreProperties>
</file>