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GreenOps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kepler_policy.yaml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Kepler telemetry rules, carbon-intensity scheduling crons, and cost/carbon-offset SRE runbooks.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GreenOps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https://github.com/Pradeeptalari14/tp-greenops.</w:t>
      </w:r>
    </w:p>
    <w:p>
      <w:pPr>
        <w:pStyle w:val="Heading1"/>
      </w:pPr>
      <w:r>
        <w:t>3. Concrete Production Implementation (kepler_policy.yaml)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GreenOps Studio</w:t>
              <w:br/>
              <w:t># Domain: Incident Triage &amp; Observability</w:t>
              <w:br/>
              <w:t># Target Artifact: kepler_policy.yaml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greenops-studio</w:t>
              <w:br/>
              <w:t xml:space="preserve">  namespace: production</w:t>
              <w:br/>
              <w:t xml:space="preserve">  labels:</w:t>
              <w:br/>
              <w:t xml:space="preserve">    app.kubernetes.io/name: greenops-studio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greenops-studio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greenops-studio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ghcr.io/pradeeptalari14/tp-greenops:v1.0.0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(kepler_policy.yaml),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https://github.com/Pradeeptalari14/tp-greenops.git &amp;&amp; cd $(basename "Pradeeptalari14/tp-greenops")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https://github.com/Pradeeptalari14/tp-greenops.git &amp;&amp; cd $(basename "Pradeeptalari14/tp-greenops")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https://www.youtube.com/results?search_query=GreenOps+Studio+tutorial+deep+dive+architecture+production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https://www.youtube.com/results?search_query=GreenOps+Studio+KubeCon+SREcon+AI+Engineer+Summit+conference+talk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