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Policy-as-Code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policy.rego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OPA Rego security policies, Kyverno Kubernetes validation rules, and automated compliance scan runners.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Policy-as-Code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https://github.com/Pradeeptalari14/tp-compliance.</w:t>
      </w:r>
    </w:p>
    <w:p>
      <w:pPr>
        <w:pStyle w:val="Heading1"/>
      </w:pPr>
      <w:r>
        <w:t>3. Concrete Production Implementation (policy.rego)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policy.rego</w:t>
              <w:br/>
              <w:t># Studio: Policy-as-Code Studio</w:t>
              <w:br/>
              <w:t># Domain: Incident Triage &amp; Observability</w:t>
              <w:br/>
              <w:t># Target SRE Standard: 100% Infrastructure-as-Code Compliance &amp; Audited Reproducibility</w:t>
              <w:br/>
              <w:br/>
              <w:t>[service]</w:t>
              <w:br/>
              <w:t>name = "policy-as-code-studio"</w:t>
              <w:br/>
              <w:t>domain = "Incident Triage &amp; Observability"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(policy.rego),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https://github.com/Pradeeptalari14/tp-compliance.git &amp;&amp; cd $(basename "Pradeeptalari14/tp-compliance")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https://github.com/Pradeeptalari14/tp-compliance.git &amp;&amp; cd $(basename "Pradeeptalari14/tp-compliance")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https://www.youtube.com/results?search_query=Policy-as-Code+Studio+tutorial+deep+dive+architecture+production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https://www.youtube.com/results?search_query=Policy-as-Code+Studio+KubeCon+SREcon+AI+Engineer+Summit+conference+talk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